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CA2" w:rsidP="00E56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TLIA3008 Transfer cargo</w:t>
      </w:r>
      <w:r>
        <w:fldChar w:fldCharType="end"/>
      </w:r>
    </w:p>
    <w:p w:rsidR="00E56CA2" w:rsidP="00E56CA2">
      <w:pPr>
        <w:pStyle w:val="Version"/>
        <w:sectPr w:rsidSect="00250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7BA" w:rsidP="002507BA">
      <w:pPr>
        <w:pStyle w:val="SuperHeading"/>
      </w:pPr>
      <w:r w:rsidRPr="002507BA">
        <w:t>TLIA3008 Transfer cargo</w:t>
      </w:r>
    </w:p>
    <w:p w:rsidR="00000000" w:rsidRPr="002507BA" w:rsidP="002507BA">
      <w:pPr>
        <w:pStyle w:val="Heading1"/>
      </w:pPr>
      <w:bookmarkStart w:id="1" w:name="O_840697"/>
      <w:bookmarkEnd w:id="1"/>
      <w:r w:rsidRPr="002507BA">
        <w:t>Modification History</w:t>
      </w:r>
    </w:p>
    <w:p w:rsidR="00E56CA2" w:rsidP="00E56CA2">
      <w:pPr>
        <w:pStyle w:val="BodyText"/>
      </w:pPr>
      <w:r w:rsidRPr="002507BA">
        <w:t>Release 1. This is the first release of this unit of competency in the TLI Transport and Logistics Training Package.</w:t>
      </w:r>
    </w:p>
    <w:p w:rsidR="00000000" w:rsidRPr="002507BA" w:rsidP="002507BA">
      <w:pPr>
        <w:pStyle w:val="Heading1"/>
      </w:pPr>
      <w:bookmarkStart w:id="2" w:name="O_840698"/>
      <w:bookmarkEnd w:id="2"/>
      <w:r w:rsidRPr="002507B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507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t>This unit involves the skills and knowledge required to transfer cargo in accordance with relevant regulation</w:t>
            </w:r>
            <w:r w:rsidRPr="002507BA">
              <w:t>s, and workplace requirements as part of work activities in the transport and logistics industry.</w:t>
            </w:r>
          </w:p>
          <w:p w:rsidR="00000000" w:rsidRPr="002507BA" w:rsidP="002507BA">
            <w:pPr>
              <w:pStyle w:val="BodyText"/>
            </w:pPr>
            <w:r w:rsidRPr="002507BA">
              <w:t>It includes preparing for load transfer, safely transferring cargo using appropriate lifting equipment, finalising a transfer, and completing all required doc</w:t>
            </w:r>
            <w:r w:rsidRPr="002507BA">
              <w:t>umentation.</w:t>
            </w:r>
          </w:p>
          <w:p w:rsidR="00000000" w:rsidRPr="002507BA" w:rsidP="002507BA">
            <w:pPr>
              <w:pStyle w:val="BodyText"/>
            </w:pPr>
            <w:r w:rsidRPr="002507BA">
              <w:t xml:space="preserve">Work is performed under some supervision generally within a team environment. </w:t>
            </w:r>
          </w:p>
          <w:p w:rsidR="00000000" w:rsidRPr="002507BA" w:rsidP="002507BA">
            <w:pPr>
              <w:pStyle w:val="BodyText"/>
            </w:pPr>
            <w:r w:rsidRPr="002507BA">
              <w:t>No licensing, legislative or certification requirements apply to this unit at the time of publication.</w:t>
            </w:r>
          </w:p>
        </w:tc>
      </w:tr>
    </w:tbl>
    <w:p w:rsidR="00E56CA2" w:rsidP="002507BA">
      <w:pPr>
        <w:pStyle w:val="BodyText"/>
      </w:pPr>
    </w:p>
    <w:p w:rsidR="00E56CA2" w:rsidP="002507BA">
      <w:pPr>
        <w:pStyle w:val="BodyText"/>
      </w:pPr>
    </w:p>
    <w:p w:rsidR="00000000" w:rsidRPr="002507BA" w:rsidP="002507BA">
      <w:pPr>
        <w:pStyle w:val="Heading1"/>
      </w:pPr>
      <w:bookmarkStart w:id="3" w:name="O_840699"/>
      <w:bookmarkEnd w:id="3"/>
      <w:r w:rsidRPr="002507BA">
        <w:t>Pre-requisite Unit</w:t>
      </w:r>
    </w:p>
    <w:p w:rsidR="00E56CA2" w:rsidP="00E56CA2">
      <w:pPr>
        <w:pStyle w:val="BodyText"/>
      </w:pPr>
      <w:r w:rsidRPr="002507BA">
        <w:t>Not applicable.</w:t>
      </w:r>
    </w:p>
    <w:p w:rsidR="00000000" w:rsidRPr="002507BA" w:rsidP="002507BA">
      <w:pPr>
        <w:pStyle w:val="Heading1"/>
      </w:pPr>
      <w:bookmarkStart w:id="4" w:name="O_840700"/>
      <w:bookmarkEnd w:id="4"/>
      <w:r w:rsidRPr="002507BA">
        <w:t>Competency Field</w:t>
      </w:r>
    </w:p>
    <w:p w:rsidR="00E56CA2" w:rsidP="00E56CA2">
      <w:pPr>
        <w:pStyle w:val="BodyText"/>
      </w:pPr>
      <w:r w:rsidRPr="002507BA">
        <w:t>A – Handling Cargo/Stock</w:t>
      </w:r>
    </w:p>
    <w:p w:rsidR="00000000" w:rsidRPr="002507BA" w:rsidP="002507BA">
      <w:pPr>
        <w:pStyle w:val="Heading1"/>
      </w:pPr>
      <w:bookmarkStart w:id="5" w:name="O_840701"/>
      <w:bookmarkEnd w:id="5"/>
      <w:r w:rsidRPr="002507BA">
        <w:t>Unit Sector</w:t>
      </w:r>
    </w:p>
    <w:p w:rsidR="00E56CA2" w:rsidP="00E56CA2">
      <w:pPr>
        <w:pStyle w:val="BodyText"/>
      </w:pPr>
      <w:r w:rsidRPr="002507BA">
        <w:t>Not applicable.</w:t>
      </w:r>
    </w:p>
    <w:p w:rsidR="00000000" w:rsidRPr="002507BA" w:rsidP="002507BA">
      <w:pPr>
        <w:pStyle w:val="Heading1"/>
      </w:pPr>
      <w:bookmarkStart w:id="6" w:name="O_840702"/>
      <w:bookmarkEnd w:id="6"/>
      <w:r w:rsidRPr="002507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"/>
        <w:gridCol w:w="1867"/>
        <w:gridCol w:w="1"/>
        <w:gridCol w:w="582"/>
        <w:gridCol w:w="6396"/>
      </w:tblGrid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rPr>
                <w:rStyle w:val="SpecialBold"/>
              </w:rPr>
              <w:t>PERFORMANCE CRITERIA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Performance criteria describe the performance needed to demonstrate achievement of the element.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rPr>
                <w:rStyle w:val="SpecialBold"/>
              </w:rPr>
              <w:t>Prepare for load transfer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Load characteristics are identified to determine special handling or equipment requirements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Job hazards are identified and required action is taken to minimise, control or eliminate identified hazards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Location of load in yard is confirmed and transfer method is determined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Pathway for load transfer is established consistent with work</w:t>
            </w:r>
            <w:r w:rsidRPr="002507BA">
              <w:t>place procedures, and obstacles and particular safety precautions are noted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Working area is prepared in accordance with national standards, safety codes and site operating procedures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Personal protective equipment and other safety equipment is assembled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Safe working load (SWL) or working load limit (WLL) is calculated using appropriate formulae for type of lifting equipment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Lifting equipment is inspected, before it is used</w:t>
            </w:r>
            <w:r w:rsidRPr="002507BA">
              <w:t>, to identify any manufacturing faults or damage, in accordance with manufacturer specifications and workplace procedures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Unsafe equipment is isolated, marked as unsafe and reported to appropriate personnel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rPr>
                <w:rStyle w:val="SpecialBold"/>
              </w:rPr>
              <w:t>Transfer cargo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Cargo is steadied and secured using appropriate devices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Load is lifted and shifted safely following national standards, safety codes and site operating procedures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Load is transferred and set down, ensuring no injury to personnel or damage to machinery or cargo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rPr>
                <w:rStyle w:val="SpecialBold"/>
              </w:rPr>
              <w:t>Complete transfer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Securing arrangements are released from load, ensuring no injury to personnel or damage to machinery or cargo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Relevant documen</w:t>
            </w:r>
            <w:r w:rsidRPr="002507BA">
              <w:t>tation is completed including reporting of damaged cargo in accordance with workplace reporting requirements</w:t>
            </w:r>
          </w:p>
        </w:tc>
      </w:tr>
      <w:tr w:rsidTr="00E56C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7BA">
            <w:pPr>
              <w:pStyle w:val="BodyText"/>
              <w:rPr>
                <w:lang w:val="en-NZ"/>
              </w:rPr>
            </w:pPr>
            <w:r w:rsidRPr="002507B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7BA" w:rsidP="002507BA">
            <w:pPr>
              <w:pStyle w:val="BodyText"/>
            </w:pPr>
            <w:r w:rsidRPr="002507BA">
              <w:t>Equipment is returned to store and work area is returned to normal working condition</w:t>
            </w:r>
          </w:p>
        </w:tc>
      </w:tr>
    </w:tbl>
    <w:p w:rsidR="00E56CA2" w:rsidP="002507BA">
      <w:pPr>
        <w:pStyle w:val="BodyText"/>
      </w:pPr>
    </w:p>
    <w:p w:rsidR="00E56CA2" w:rsidP="002507BA">
      <w:pPr>
        <w:pStyle w:val="BodyText"/>
      </w:pPr>
    </w:p>
    <w:p w:rsidR="00000000" w:rsidRPr="002507BA" w:rsidP="002507BA">
      <w:pPr>
        <w:pStyle w:val="Heading1"/>
      </w:pPr>
      <w:bookmarkStart w:id="7" w:name="O_840703"/>
      <w:bookmarkEnd w:id="7"/>
      <w:r w:rsidRPr="002507BA">
        <w:t>Foundation Skills</w:t>
      </w:r>
    </w:p>
    <w:p w:rsidR="00E56CA2" w:rsidP="00E56CA2">
      <w:pPr>
        <w:pStyle w:val="BodyText"/>
      </w:pPr>
      <w:r w:rsidRPr="002507BA">
        <w:t>Foundation skills essential to performance are explicit in the performance criteria of this unit of competency.</w:t>
      </w:r>
    </w:p>
    <w:p w:rsidR="00000000" w:rsidRPr="002507BA" w:rsidP="002507BA">
      <w:pPr>
        <w:pStyle w:val="Heading1"/>
      </w:pPr>
      <w:bookmarkStart w:id="8" w:name="O_840704"/>
      <w:bookmarkEnd w:id="8"/>
      <w:r w:rsidRPr="002507BA">
        <w:t>Range of Conditions</w:t>
      </w:r>
    </w:p>
    <w:p w:rsidR="00000000" w:rsidRPr="002507BA" w:rsidP="00E56CA2">
      <w:pPr>
        <w:pStyle w:val="BodyText"/>
      </w:pPr>
      <w:r w:rsidRPr="002507BA">
        <w:t>Range is restricted to essential operating conditions and any other variables essential to the work enviro</w:t>
      </w:r>
      <w:r w:rsidRPr="002507BA">
        <w:t>nment.</w:t>
      </w:r>
    </w:p>
    <w:p w:rsidR="00E56CA2" w:rsidP="00E56CA2">
      <w:pPr>
        <w:pStyle w:val="BodyText"/>
      </w:pPr>
      <w:r w:rsidRPr="002507BA">
        <w:t>Non-essential conditions can be found in the Companion Volume Implementation Guide.</w:t>
      </w:r>
    </w:p>
    <w:p w:rsidR="00000000" w:rsidRPr="002507BA" w:rsidP="002507BA">
      <w:pPr>
        <w:pStyle w:val="Heading1"/>
      </w:pPr>
      <w:bookmarkStart w:id="9" w:name="O_840705"/>
      <w:bookmarkEnd w:id="9"/>
      <w:r w:rsidRPr="002507BA">
        <w:t>Unit Mapping Information</w:t>
      </w:r>
    </w:p>
    <w:p w:rsidR="00E56CA2" w:rsidP="00E56CA2">
      <w:pPr>
        <w:pStyle w:val="BodyText"/>
      </w:pPr>
      <w:r w:rsidRPr="002507BA">
        <w:t>This unit replaces and is equivalent to TLIA3008A Transfer cargo.</w:t>
      </w:r>
    </w:p>
    <w:p w:rsidR="00000000" w:rsidRPr="002507BA" w:rsidP="002507BA">
      <w:pPr>
        <w:pStyle w:val="Heading1"/>
      </w:pPr>
      <w:bookmarkStart w:id="10" w:name="O_840712"/>
      <w:bookmarkEnd w:id="10"/>
      <w:r w:rsidRPr="002507BA">
        <w:t>Links</w:t>
      </w:r>
    </w:p>
    <w:p w:rsidR="00000000" w:rsidRPr="002507BA" w:rsidP="00E56CA2">
      <w:pPr>
        <w:pStyle w:val="BodyText"/>
      </w:pPr>
      <w:r w:rsidRPr="002507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7F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507BA" w:rsidP="002507BA"/>
    <w:sectPr w:rsidSect="002507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BA" w:rsidRPr="00E56CA2" w:rsidP="00E56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A2" w:rsidP="00250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CA2" w:rsidP="00250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6CA2" w:rsidP="00250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7BA" w:rsidRPr="00E56CA2" w:rsidP="00E56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A2" w:rsidRPr="002D2AF8" w:rsidP="00250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TLIA3008 Transfer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July 2020</w:t>
    </w:r>
    <w:r>
      <w:fldChar w:fldCharType="end"/>
    </w:r>
  </w:p>
  <w:p w:rsidR="00E56CA2" w:rsidP="00250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7BA"/>
  </w:style>
  <w:style w:type="character" w:customStyle="1" w:styleId="Heading1Char">
    <w:name w:val="Heading 1 Char"/>
    <w:basedOn w:val="DefaultParagraphFont"/>
    <w:link w:val="Heading1"/>
    <w:rsid w:val="00250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7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07BA"/>
    <w:rPr>
      <w:b/>
      <w:spacing w:val="0"/>
    </w:rPr>
  </w:style>
  <w:style w:type="paragraph" w:customStyle="1" w:styleId="SuperHeading">
    <w:name w:val="SuperHeading"/>
    <w:basedOn w:val="Normal"/>
    <w:rsid w:val="00250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7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7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07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0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07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0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7BA"/>
    <w:rPr>
      <w:i/>
    </w:rPr>
  </w:style>
  <w:style w:type="paragraph" w:styleId="Caption">
    <w:name w:val="caption"/>
    <w:basedOn w:val="BodyText"/>
    <w:next w:val="Normal"/>
    <w:qFormat/>
    <w:rsid w:val="00250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7BA"/>
  </w:style>
  <w:style w:type="paragraph" w:styleId="TableofFigures">
    <w:name w:val="table of figures"/>
    <w:basedOn w:val="Normal"/>
    <w:next w:val="Normal"/>
    <w:semiHidden/>
    <w:rsid w:val="00250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7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507BA"/>
    <w:rPr>
      <w:rFonts w:ascii="Wingdings" w:hAnsi="Wingdings"/>
    </w:rPr>
  </w:style>
  <w:style w:type="paragraph" w:customStyle="1" w:styleId="TableHeading">
    <w:name w:val="Table Heading"/>
    <w:basedOn w:val="HeadingBase"/>
    <w:rsid w:val="00250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7BA"/>
    <w:rPr>
      <w:color w:val="0033CC"/>
      <w:u w:val="none"/>
    </w:rPr>
  </w:style>
  <w:style w:type="paragraph" w:customStyle="1" w:styleId="BodyTextRight">
    <w:name w:val="Body Text Right"/>
    <w:basedOn w:val="BodyText"/>
    <w:rsid w:val="00250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7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7BA"/>
    <w:rPr>
      <w:sz w:val="32"/>
    </w:rPr>
  </w:style>
  <w:style w:type="paragraph" w:customStyle="1" w:styleId="HeadingProcedure">
    <w:name w:val="Heading Procedure"/>
    <w:basedOn w:val="HeadingBase"/>
    <w:next w:val="Normal"/>
    <w:rsid w:val="00250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7BA"/>
    <w:pPr>
      <w:spacing w:before="60" w:after="60"/>
    </w:pPr>
  </w:style>
  <w:style w:type="paragraph" w:styleId="ListContinue">
    <w:name w:val="List Continue"/>
    <w:basedOn w:val="List"/>
    <w:rsid w:val="002507BA"/>
    <w:pPr>
      <w:ind w:firstLine="0"/>
    </w:pPr>
  </w:style>
  <w:style w:type="paragraph" w:customStyle="1" w:styleId="ListNote">
    <w:name w:val="List Note"/>
    <w:basedOn w:val="List"/>
    <w:rsid w:val="00250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7BA"/>
    <w:rPr>
      <w:rFonts w:ascii="Courier New" w:hAnsi="Courier New"/>
    </w:rPr>
  </w:style>
  <w:style w:type="paragraph" w:customStyle="1" w:styleId="NoteBullet">
    <w:name w:val="Note Bullet"/>
    <w:basedOn w:val="Note"/>
    <w:rsid w:val="00250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7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50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7BA"/>
    <w:rPr>
      <w:b/>
      <w:smallCaps/>
    </w:rPr>
  </w:style>
  <w:style w:type="paragraph" w:customStyle="1" w:styleId="TableListNumber">
    <w:name w:val="Table List Number"/>
    <w:basedOn w:val="ListNumber"/>
    <w:rsid w:val="00250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7BA"/>
    <w:pPr>
      <w:numPr>
        <w:numId w:val="7"/>
      </w:numPr>
    </w:pPr>
  </w:style>
  <w:style w:type="paragraph" w:customStyle="1" w:styleId="ListAlpha2">
    <w:name w:val="List Alpha 2"/>
    <w:basedOn w:val="List2"/>
    <w:rsid w:val="002507BA"/>
    <w:pPr>
      <w:numPr>
        <w:numId w:val="6"/>
      </w:numPr>
    </w:pPr>
  </w:style>
  <w:style w:type="paragraph" w:styleId="List2">
    <w:name w:val="List 2"/>
    <w:basedOn w:val="BodyText"/>
    <w:rsid w:val="00250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7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7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7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07BA"/>
    <w:pPr>
      <w:numPr>
        <w:numId w:val="2"/>
      </w:numPr>
    </w:pPr>
  </w:style>
  <w:style w:type="paragraph" w:styleId="ListContinue2">
    <w:name w:val="List Continue 2"/>
    <w:basedOn w:val="List2"/>
    <w:rsid w:val="002507BA"/>
    <w:pPr>
      <w:ind w:firstLine="0"/>
    </w:pPr>
  </w:style>
  <w:style w:type="paragraph" w:styleId="ListContinue3">
    <w:name w:val="List Continue 3"/>
    <w:basedOn w:val="List3"/>
    <w:rsid w:val="002507BA"/>
    <w:pPr>
      <w:ind w:left="1021" w:firstLine="0"/>
    </w:pPr>
  </w:style>
  <w:style w:type="paragraph" w:styleId="ListContinue4">
    <w:name w:val="List Continue 4"/>
    <w:basedOn w:val="List4"/>
    <w:rsid w:val="002507BA"/>
    <w:pPr>
      <w:ind w:firstLine="0"/>
    </w:pPr>
  </w:style>
  <w:style w:type="paragraph" w:styleId="ListContinue5">
    <w:name w:val="List Continue 5"/>
    <w:basedOn w:val="List5"/>
    <w:rsid w:val="002507BA"/>
    <w:pPr>
      <w:ind w:firstLine="0"/>
    </w:pPr>
  </w:style>
  <w:style w:type="paragraph" w:styleId="ListNumber3">
    <w:name w:val="List Number 3"/>
    <w:basedOn w:val="List3"/>
    <w:rsid w:val="002507BA"/>
    <w:pPr>
      <w:numPr>
        <w:numId w:val="3"/>
      </w:numPr>
    </w:pPr>
  </w:style>
  <w:style w:type="paragraph" w:styleId="ListNumber4">
    <w:name w:val="List Number 4"/>
    <w:basedOn w:val="List4"/>
    <w:rsid w:val="002507BA"/>
    <w:pPr>
      <w:numPr>
        <w:numId w:val="4"/>
      </w:numPr>
    </w:pPr>
  </w:style>
  <w:style w:type="paragraph" w:styleId="ListNumber5">
    <w:name w:val="List Number 5"/>
    <w:basedOn w:val="List5"/>
    <w:rsid w:val="002507BA"/>
    <w:pPr>
      <w:numPr>
        <w:numId w:val="5"/>
      </w:numPr>
    </w:pPr>
  </w:style>
  <w:style w:type="paragraph" w:styleId="BlockText">
    <w:name w:val="Block Text"/>
    <w:basedOn w:val="Normal"/>
    <w:rsid w:val="00250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7BA"/>
    <w:rPr>
      <w:sz w:val="16"/>
      <w:vertAlign w:val="superscript"/>
    </w:rPr>
  </w:style>
  <w:style w:type="character" w:customStyle="1" w:styleId="Symbols">
    <w:name w:val="Symbols"/>
    <w:basedOn w:val="DefaultParagraphFont"/>
    <w:rsid w:val="002507BA"/>
    <w:rPr>
      <w:rFonts w:ascii="Symbol" w:hAnsi="Symbol"/>
    </w:rPr>
  </w:style>
  <w:style w:type="character" w:customStyle="1" w:styleId="MenuOptions">
    <w:name w:val="Menu Options"/>
    <w:basedOn w:val="DefaultParagraphFont"/>
    <w:rsid w:val="00250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7BA"/>
    <w:rPr>
      <w:b/>
    </w:rPr>
  </w:style>
  <w:style w:type="character" w:customStyle="1" w:styleId="Underlined">
    <w:name w:val="Underlined"/>
    <w:basedOn w:val="DefaultParagraphFont"/>
    <w:rsid w:val="002507BA"/>
    <w:rPr>
      <w:u w:val="single"/>
    </w:rPr>
  </w:style>
  <w:style w:type="paragraph" w:customStyle="1" w:styleId="TableBodyTextRight">
    <w:name w:val="Table Body Text Right"/>
    <w:basedOn w:val="TableBodyText"/>
    <w:rsid w:val="00250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7BA"/>
    <w:rPr>
      <w:sz w:val="18"/>
    </w:rPr>
  </w:style>
  <w:style w:type="paragraph" w:customStyle="1" w:styleId="BodySmallRight">
    <w:name w:val="Body Small Right"/>
    <w:basedOn w:val="BodyTextRight"/>
    <w:rsid w:val="002507BA"/>
    <w:rPr>
      <w:sz w:val="18"/>
      <w:szCs w:val="18"/>
    </w:rPr>
  </w:style>
  <w:style w:type="paragraph" w:customStyle="1" w:styleId="MarginEdition">
    <w:name w:val="Margin Edition"/>
    <w:basedOn w:val="MarginNote"/>
    <w:rsid w:val="00250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7BA"/>
    <w:rPr>
      <w:sz w:val="2"/>
      <w:szCs w:val="2"/>
    </w:rPr>
  </w:style>
  <w:style w:type="character" w:customStyle="1" w:styleId="Small">
    <w:name w:val="Small"/>
    <w:basedOn w:val="DefaultParagraphFont"/>
    <w:rsid w:val="002507BA"/>
    <w:rPr>
      <w:sz w:val="16"/>
    </w:rPr>
  </w:style>
  <w:style w:type="paragraph" w:customStyle="1" w:styleId="WideTable">
    <w:name w:val="Wide Table"/>
    <w:basedOn w:val="Normal"/>
    <w:rsid w:val="00250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7BA"/>
  </w:style>
  <w:style w:type="paragraph" w:styleId="Quote">
    <w:name w:val="Quote"/>
    <w:basedOn w:val="Heading1"/>
    <w:link w:val="QuoteChar"/>
    <w:qFormat/>
    <w:rsid w:val="00250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7BA"/>
    <w:pPr>
      <w:pageBreakBefore/>
    </w:pPr>
  </w:style>
  <w:style w:type="paragraph" w:customStyle="1" w:styleId="Border">
    <w:name w:val="Border"/>
    <w:basedOn w:val="Normal"/>
    <w:qFormat/>
    <w:rsid w:val="00250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7BA"/>
    <w:rPr>
      <w:u w:val="single"/>
    </w:rPr>
  </w:style>
  <w:style w:type="character" w:customStyle="1" w:styleId="BoldandItalics">
    <w:name w:val="Bold and Italics"/>
    <w:qFormat/>
    <w:rsid w:val="002507BA"/>
    <w:rPr>
      <w:b/>
      <w:i/>
      <w:u w:val="none"/>
    </w:rPr>
  </w:style>
  <w:style w:type="paragraph" w:styleId="BalloonText">
    <w:name w:val="Balloon Text"/>
    <w:basedOn w:val="Normal"/>
    <w:link w:val="BalloonTextChar"/>
    <w:rsid w:val="00250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7BA"/>
    <w:pPr>
      <w:spacing w:before="0" w:after="0"/>
    </w:pPr>
  </w:style>
  <w:style w:type="paragraph" w:customStyle="1" w:styleId="BodyTextBold">
    <w:name w:val="Body Text Bold"/>
    <w:basedOn w:val="BodyText"/>
    <w:qFormat/>
    <w:rsid w:val="002507BA"/>
    <w:rPr>
      <w:b/>
    </w:rPr>
  </w:style>
  <w:style w:type="character" w:styleId="Hyperlink">
    <w:name w:val="Hyperlink"/>
    <w:basedOn w:val="DefaultParagraphFont"/>
    <w:uiPriority w:val="99"/>
    <w:unhideWhenUsed/>
    <w:rsid w:val="00E56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3060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TLIA3008 Transfer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2020-07-28T00:58:00Z</dcterms:created>
  <dcterms:modified xsi:type="dcterms:W3CDTF">2020-07-28T00:58:00Z</dcterms:modified>
</cp:coreProperties>
</file>