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F43" w:rsidP="00B03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TLIA2045 Process international parcels and letters</w:t>
      </w:r>
      <w:r>
        <w:fldChar w:fldCharType="end"/>
      </w:r>
    </w:p>
    <w:p w:rsidR="00B03F43" w:rsidP="00B03F43">
      <w:pPr>
        <w:pStyle w:val="Version"/>
        <w:sectPr w:rsidSect="004D4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45B" w:rsidP="004D445B">
      <w:pPr>
        <w:pStyle w:val="SuperHeading"/>
      </w:pPr>
      <w:r w:rsidRPr="004D445B">
        <w:t>TLIA2045 Process international parcels and letters</w:t>
      </w:r>
    </w:p>
    <w:p w:rsidR="00000000" w:rsidRPr="004D445B" w:rsidP="004D445B">
      <w:pPr>
        <w:pStyle w:val="Heading1"/>
      </w:pPr>
      <w:bookmarkStart w:id="1" w:name="O_840602"/>
      <w:bookmarkEnd w:id="1"/>
      <w:r w:rsidRPr="004D445B">
        <w:t>Modification History</w:t>
      </w:r>
    </w:p>
    <w:p w:rsidR="00B03F43" w:rsidP="00B03F43">
      <w:pPr>
        <w:pStyle w:val="BodyText"/>
      </w:pPr>
      <w:r w:rsidRPr="004D445B">
        <w:t>Release 1. This is the first release of this unit of competency in the TLI Transport and Logistics Training Package.</w:t>
      </w:r>
    </w:p>
    <w:p w:rsidR="00000000" w:rsidRPr="004D445B" w:rsidP="004D445B">
      <w:pPr>
        <w:pStyle w:val="Heading1"/>
      </w:pPr>
      <w:bookmarkStart w:id="2" w:name="O_840603"/>
      <w:bookmarkEnd w:id="2"/>
      <w:r w:rsidRPr="004D445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D44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t>This unit involves the skills and knowledge required to prepare and process inte</w:t>
            </w:r>
            <w:r w:rsidRPr="004D445B">
              <w:t xml:space="preserve">rnational parcels and letters for both air and surface movement, in accordance with regulations and workplace requirements within the transport and logistics industry. </w:t>
            </w:r>
          </w:p>
          <w:p w:rsidR="00000000" w:rsidRPr="004D445B" w:rsidP="004D445B">
            <w:pPr>
              <w:pStyle w:val="BodyText"/>
            </w:pPr>
            <w:r w:rsidRPr="004D445B">
              <w:t>It includes preparing to process international parcels and mail, processing airmail par</w:t>
            </w:r>
            <w:r w:rsidRPr="004D445B">
              <w:t xml:space="preserve">cels and letters, and processing economy air surface parcels. </w:t>
            </w:r>
          </w:p>
          <w:p w:rsidR="00000000" w:rsidRPr="004D445B" w:rsidP="004D445B">
            <w:pPr>
              <w:pStyle w:val="BodyText"/>
            </w:pPr>
            <w:r w:rsidRPr="004D445B">
              <w:t xml:space="preserve">Work is performed under some supervision generally within a team environment. </w:t>
            </w:r>
          </w:p>
          <w:p w:rsidR="00000000" w:rsidRPr="004D445B" w:rsidP="004D445B">
            <w:pPr>
              <w:pStyle w:val="BodyText"/>
            </w:pPr>
            <w:r w:rsidRPr="004D445B">
              <w:t>No licensing, legislative or certification requirements apply to this unit at the time of publication.</w:t>
            </w:r>
          </w:p>
        </w:tc>
      </w:tr>
    </w:tbl>
    <w:p w:rsidR="00B03F43" w:rsidP="004D445B">
      <w:pPr>
        <w:pStyle w:val="BodyText"/>
      </w:pPr>
    </w:p>
    <w:p w:rsidR="00B03F43" w:rsidP="004D445B">
      <w:pPr>
        <w:pStyle w:val="BodyText"/>
      </w:pPr>
    </w:p>
    <w:p w:rsidR="00000000" w:rsidRPr="004D445B" w:rsidP="004D445B">
      <w:pPr>
        <w:pStyle w:val="Heading1"/>
      </w:pPr>
      <w:bookmarkStart w:id="3" w:name="O_840604"/>
      <w:bookmarkEnd w:id="3"/>
      <w:r w:rsidRPr="004D445B">
        <w:t>Pre-requisite Unit</w:t>
      </w:r>
    </w:p>
    <w:p w:rsidR="00B03F43" w:rsidP="00B03F43">
      <w:pPr>
        <w:pStyle w:val="BodyText"/>
      </w:pPr>
      <w:r w:rsidRPr="004D445B">
        <w:t>Not applicable.</w:t>
      </w:r>
    </w:p>
    <w:p w:rsidR="00000000" w:rsidRPr="004D445B" w:rsidP="004D445B">
      <w:pPr>
        <w:pStyle w:val="Heading1"/>
      </w:pPr>
      <w:bookmarkStart w:id="4" w:name="O_840605"/>
      <w:bookmarkEnd w:id="4"/>
      <w:r w:rsidRPr="004D445B">
        <w:t>Competency Field</w:t>
      </w:r>
    </w:p>
    <w:p w:rsidR="00B03F43" w:rsidP="00B03F43">
      <w:pPr>
        <w:pStyle w:val="BodyText"/>
      </w:pPr>
      <w:r w:rsidRPr="004D445B">
        <w:t>A – Handling Cargo/Stock</w:t>
      </w:r>
    </w:p>
    <w:p w:rsidR="00000000" w:rsidRPr="004D445B" w:rsidP="004D445B">
      <w:pPr>
        <w:pStyle w:val="Heading1"/>
      </w:pPr>
      <w:bookmarkStart w:id="5" w:name="O_840606"/>
      <w:bookmarkEnd w:id="5"/>
      <w:r w:rsidRPr="004D445B">
        <w:t>Unit Sector</w:t>
      </w:r>
    </w:p>
    <w:p w:rsidR="00B03F43" w:rsidP="00B03F43">
      <w:pPr>
        <w:pStyle w:val="BodyText"/>
      </w:pPr>
      <w:r w:rsidRPr="004D445B">
        <w:t>Not applicable.</w:t>
      </w:r>
    </w:p>
    <w:p w:rsidR="00000000" w:rsidRPr="004D445B" w:rsidP="004D445B">
      <w:pPr>
        <w:pStyle w:val="Heading1"/>
      </w:pPr>
      <w:bookmarkStart w:id="6" w:name="O_840607"/>
      <w:bookmarkEnd w:id="6"/>
      <w:r w:rsidRPr="004D44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8"/>
        <w:gridCol w:w="1961"/>
        <w:gridCol w:w="612"/>
        <w:gridCol w:w="6255"/>
      </w:tblGrid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rPr>
                <w:rStyle w:val="SpecialBold"/>
              </w:rPr>
              <w:t>PERFORMANCE CRITERIA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Performance criteria describe the performance needed to demonstrate achievement of the element.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rPr>
                <w:rStyle w:val="SpecialBold"/>
              </w:rPr>
              <w:t>Prepare to process international parcels and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Individual and work team priorities and responsibilities ar</w:t>
            </w:r>
            <w:r w:rsidRPr="004D445B">
              <w:t>e identified and confirmed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Hazards are identified, risks are assessed and control measures are implemented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All work health safety (WHS)/occupational health and safety (OHS) and workplace environment protection procedures and requirements are identified, accessed and applied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Availability of parcels and mail for processing is identified and confirmed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Parcels and mail received from streaming are segregated into airmail, economy air and surface categories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Mail and parcels are weighed prior to processing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rPr>
                <w:rStyle w:val="SpecialBold"/>
              </w:rPr>
              <w:t>Process airmail parcels and letters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Operating procedures and performance standards a</w:t>
            </w:r>
            <w:r w:rsidRPr="004D445B">
              <w:t>re applied to sorting parcels and letters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Parcels are handled safely to minimise risk of injury to people and damage to parcels and letters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Airmail parcels are quarantined for stipulated period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Parcels and letters are sorted accurately and correctly by nation, in accordance with established priorities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Parcels and letters are documented and placed in appropriate containers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Completed bags are weighed and labels are generated and scanned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Containers of parcels are moved to consolidation/despatch area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Excess equipment is removed and work area is prepared for next activity/shift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International parcels and letters processes and surveys are conducted as required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Parcels and letters incorrectly classified and non-conforming items are identified, separated and re-sorted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rPr>
                <w:rStyle w:val="SpecialBold"/>
              </w:rPr>
              <w:t>Process economy air surface parcels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Operating proce</w:t>
            </w:r>
            <w:r w:rsidRPr="004D445B">
              <w:t>dures and performance standards are applied to sorting parcels and mail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Economy air and surface parcels and mail are held in temporary storage for the service standard time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 xml:space="preserve">Parcels and mail are scanned and sorted accurately and correctly by nation </w:t>
            </w:r>
            <w:r w:rsidRPr="004D445B">
              <w:t>in accordance with established practices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Parcels and mail are documented and placed in containers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Containers of parcels and mail are moved to consolidation/despatch area using correct shifting equipment and labels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Excess equipment is removed and work area is prepared for next activity/shift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t xml:space="preserve">Information required to complete record of mail </w:t>
            </w:r>
            <w:r w:rsidRPr="004D445B">
              <w:t>and parcels is provided and recorded, and records are processed in accordance with workplace procedures</w:t>
            </w:r>
          </w:p>
        </w:tc>
      </w:tr>
    </w:tbl>
    <w:p w:rsidR="00B03F43" w:rsidP="004D445B">
      <w:pPr>
        <w:pStyle w:val="BodyText"/>
      </w:pPr>
    </w:p>
    <w:p w:rsidR="00B03F43" w:rsidP="004D445B">
      <w:pPr>
        <w:pStyle w:val="BodyText"/>
      </w:pPr>
    </w:p>
    <w:p w:rsidR="00000000" w:rsidRPr="004D445B" w:rsidP="004D445B">
      <w:pPr>
        <w:pStyle w:val="Heading1"/>
      </w:pPr>
      <w:bookmarkStart w:id="7" w:name="O_840608"/>
      <w:bookmarkEnd w:id="7"/>
      <w:r w:rsidRPr="004D445B">
        <w:t>Foundation Skills</w:t>
      </w:r>
    </w:p>
    <w:p w:rsidR="00B03F43" w:rsidP="00B03F43">
      <w:pPr>
        <w:pStyle w:val="BodyText"/>
      </w:pPr>
      <w:r w:rsidRPr="004D445B">
        <w:t>Foundation skills essential to performance are explicit in the performance criteria of this unit of competency.</w:t>
      </w:r>
    </w:p>
    <w:p w:rsidR="00000000" w:rsidRPr="004D445B" w:rsidP="004D445B">
      <w:pPr>
        <w:pStyle w:val="Heading1"/>
      </w:pPr>
      <w:bookmarkStart w:id="8" w:name="O_840609"/>
      <w:bookmarkEnd w:id="8"/>
      <w:r w:rsidRPr="004D445B">
        <w:t>Range of Conditions</w:t>
      </w:r>
    </w:p>
    <w:p w:rsidR="00000000" w:rsidRPr="004D445B" w:rsidP="00B03F43">
      <w:pPr>
        <w:pStyle w:val="BodyText"/>
      </w:pPr>
      <w:r w:rsidRPr="004D445B">
        <w:t>Range is restricted to essential operating conditions and any other variables essential to the work environment.</w:t>
      </w:r>
    </w:p>
    <w:p w:rsidR="00B03F43" w:rsidP="00B03F43">
      <w:pPr>
        <w:pStyle w:val="BodyText"/>
      </w:pPr>
      <w:r w:rsidRPr="004D445B">
        <w:t>Non-essential conditions can be found in the Companion Volume Implementation Guide.</w:t>
      </w:r>
    </w:p>
    <w:p w:rsidR="00000000" w:rsidRPr="004D445B" w:rsidP="004D445B">
      <w:pPr>
        <w:pStyle w:val="Heading1"/>
      </w:pPr>
      <w:bookmarkStart w:id="9" w:name="O_840610"/>
      <w:bookmarkEnd w:id="9"/>
      <w:r w:rsidRPr="004D445B">
        <w:t xml:space="preserve">Unit </w:t>
      </w:r>
      <w:r w:rsidRPr="004D445B">
        <w:t>Mapping Information</w:t>
      </w:r>
    </w:p>
    <w:p w:rsidR="00B03F43" w:rsidP="00B03F43">
      <w:pPr>
        <w:pStyle w:val="BodyText"/>
      </w:pPr>
      <w:r w:rsidRPr="004D445B">
        <w:t>This unit replaces and is equivalent to TLIA2045A Process international parcels and letters.</w:t>
      </w:r>
    </w:p>
    <w:p w:rsidR="00000000" w:rsidRPr="004D445B" w:rsidP="004D445B">
      <w:pPr>
        <w:pStyle w:val="Heading1"/>
      </w:pPr>
      <w:bookmarkStart w:id="10" w:name="O_840617"/>
      <w:bookmarkEnd w:id="10"/>
      <w:r w:rsidRPr="004D445B">
        <w:t>Links</w:t>
      </w:r>
    </w:p>
    <w:p w:rsidR="00000000" w:rsidRPr="004D445B" w:rsidP="00B03F43">
      <w:pPr>
        <w:pStyle w:val="BodyText"/>
      </w:pPr>
      <w:r w:rsidRPr="004D44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4F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445B" w:rsidP="00B03F43">
      <w:pPr>
        <w:pStyle w:val="BodyText"/>
        <w:sectPr w:rsidSect="004D44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445B" w:rsidP="004D445B">
      <w:pPr>
        <w:pStyle w:val="SuperHeading"/>
      </w:pPr>
      <w:r w:rsidRPr="004D445B">
        <w:t>Assessment Requirements for TLIA2045 Process international parcels and letters</w:t>
      </w:r>
    </w:p>
    <w:p w:rsidR="00000000" w:rsidRPr="004D445B" w:rsidP="004D445B">
      <w:pPr>
        <w:pStyle w:val="Heading1"/>
      </w:pPr>
      <w:bookmarkStart w:id="11" w:name="O_840612"/>
      <w:bookmarkEnd w:id="11"/>
      <w:r w:rsidRPr="004D445B">
        <w:t>Modification History</w:t>
      </w:r>
    </w:p>
    <w:p w:rsidR="00B03F43" w:rsidP="00B03F43">
      <w:pPr>
        <w:pStyle w:val="BodyText"/>
      </w:pPr>
      <w:r w:rsidRPr="004D445B">
        <w:t>Release 1. This is the first release of this unit of competency in</w:t>
      </w:r>
      <w:r w:rsidRPr="004D445B">
        <w:t xml:space="preserve"> the TLI Transport and Logistics Training Package.</w:t>
      </w:r>
    </w:p>
    <w:p w:rsidR="00000000" w:rsidRPr="004D445B" w:rsidP="004D445B">
      <w:pPr>
        <w:pStyle w:val="Heading1"/>
      </w:pPr>
      <w:bookmarkStart w:id="12" w:name="O_840613"/>
      <w:bookmarkEnd w:id="12"/>
      <w:r w:rsidRPr="004D445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 xml:space="preserve">Evidence required to demonstrate competence in this unit must be relevant to and satisfy all of the requirements of the elements and performance criteria on </w:t>
            </w:r>
            <w:r w:rsidRPr="004D445B">
              <w:t>at least one occasion and include: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ListBullet"/>
            </w:pPr>
            <w:r w:rsidRPr="004D445B">
              <w:t>applying relevant legislation and workplace procedures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applying safety and security precautions and required action to minimise, control or eliminate identified hazards 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communicating and working effectively with others 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completing relevant documentation 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identifying, selecting and using relevant equipment, processes and procedures 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implementing contingency plans </w:t>
            </w:r>
          </w:p>
          <w:p w:rsidR="00000000" w:rsidRPr="004D445B" w:rsidP="004D445B">
            <w:pPr>
              <w:pStyle w:val="ListBullet"/>
            </w:pPr>
            <w:r w:rsidRPr="004D445B">
              <w:t>interpreting and applying relevant agreements, codes of pra</w:t>
            </w:r>
            <w:r w:rsidRPr="004D445B">
              <w:t>ctice, workplace procedures and other legislative requirements</w:t>
            </w:r>
          </w:p>
          <w:p w:rsidR="00000000" w:rsidRPr="004D445B" w:rsidP="004D445B">
            <w:pPr>
              <w:pStyle w:val="ListBullet"/>
            </w:pPr>
            <w:r w:rsidRPr="004D445B">
              <w:t>modifying activities depending on operational contingencies, risk situations and environments</w:t>
            </w:r>
          </w:p>
          <w:p w:rsidR="00000000" w:rsidRPr="004D445B" w:rsidP="004D445B">
            <w:pPr>
              <w:pStyle w:val="ListBullet"/>
            </w:pPr>
            <w:r w:rsidRPr="004D445B">
              <w:t>monitoring work activities in terms of planned schedule</w:t>
            </w:r>
          </w:p>
          <w:p w:rsidR="00000000" w:rsidRPr="004D445B" w:rsidP="004D445B">
            <w:pPr>
              <w:pStyle w:val="ListBullet"/>
            </w:pPr>
            <w:r w:rsidRPr="004D445B">
              <w:t>operating and adapting to differences in eq</w:t>
            </w:r>
            <w:r w:rsidRPr="004D445B">
              <w:t>uipment in accordance with workplace operating procedures</w:t>
            </w:r>
          </w:p>
          <w:p w:rsidR="00000000" w:rsidRPr="004D445B" w:rsidP="004D445B">
            <w:pPr>
              <w:pStyle w:val="ListBullet"/>
            </w:pPr>
            <w:r w:rsidRPr="004D445B">
              <w:t>planning own work, predicting consequences and identifying improvements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reading, interpreting and following relevant instructions, procedures and labels </w:t>
            </w:r>
          </w:p>
          <w:p w:rsidR="00000000" w:rsidRPr="004D445B" w:rsidP="004D445B">
            <w:pPr>
              <w:pStyle w:val="ListBullet"/>
            </w:pPr>
            <w:r w:rsidRPr="004D445B">
              <w:t>reporting and/or rectifying identified probl</w:t>
            </w:r>
            <w:r w:rsidRPr="004D445B">
              <w:t>ems promptly, in accordance with regulatory requirements and workplace procedures</w:t>
            </w:r>
          </w:p>
          <w:p w:rsidR="00000000" w:rsidRPr="004D445B" w:rsidP="004D445B">
            <w:pPr>
              <w:pStyle w:val="ListBullet"/>
            </w:pPr>
            <w:r w:rsidRPr="004D445B">
              <w:t>selecting and using required personal protective equipment conforming to industry and work health and safety (WHS)/occupational health and safety (OHS) standards</w:t>
            </w:r>
          </w:p>
          <w:p w:rsidR="00000000" w:rsidRPr="004D445B" w:rsidP="004D445B">
            <w:pPr>
              <w:pStyle w:val="ListBullet"/>
            </w:pPr>
            <w:r w:rsidRPr="004D445B">
              <w:t>working syst</w:t>
            </w:r>
            <w:r w:rsidRPr="004D445B">
              <w:t>ematically with required attention to detail without injury to self or others, or damage to mail or equipment.</w:t>
            </w:r>
          </w:p>
        </w:tc>
      </w:tr>
    </w:tbl>
    <w:p w:rsidR="00B03F43" w:rsidP="004D445B">
      <w:pPr>
        <w:pStyle w:val="BodyText"/>
      </w:pPr>
    </w:p>
    <w:p w:rsidR="00B03F43" w:rsidP="004D445B">
      <w:pPr>
        <w:pStyle w:val="BodyText"/>
      </w:pPr>
    </w:p>
    <w:p w:rsidR="00000000" w:rsidRPr="004D445B" w:rsidP="004D445B">
      <w:pPr>
        <w:pStyle w:val="Heading1"/>
      </w:pPr>
      <w:bookmarkStart w:id="13" w:name="O_840614"/>
      <w:bookmarkEnd w:id="13"/>
      <w:r w:rsidRPr="004D445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5B">
            <w:pPr>
              <w:pStyle w:val="BodyText"/>
              <w:rPr>
                <w:lang w:val="en-NZ"/>
              </w:rPr>
            </w:pPr>
            <w:r w:rsidRPr="004D445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ListBullet"/>
            </w:pPr>
            <w:r w:rsidRPr="004D445B">
              <w:t>operational work systems, equipment, management and site operating systems for processing international parcels and letters</w:t>
            </w:r>
          </w:p>
          <w:p w:rsidR="00000000" w:rsidRPr="004D445B" w:rsidP="004D445B">
            <w:pPr>
              <w:pStyle w:val="ListBullet"/>
            </w:pPr>
            <w:r w:rsidRPr="004D445B">
              <w:t>performance standards and regulations relevant to mail operations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problems that may occur when processing international parcels and </w:t>
            </w:r>
            <w:r w:rsidRPr="004D445B">
              <w:t>letters and appropriate action that can be taken to resolve/avoid these problems</w:t>
            </w:r>
          </w:p>
          <w:p w:rsidR="00000000" w:rsidRPr="004D445B" w:rsidP="004D445B">
            <w:pPr>
              <w:pStyle w:val="ListBullet"/>
            </w:pPr>
            <w:r w:rsidRPr="004D445B">
              <w:t>relevant WHS/OHS and environmental protection procedures and guidelines</w:t>
            </w:r>
          </w:p>
          <w:p w:rsidR="00000000" w:rsidRPr="004D445B" w:rsidP="004D445B">
            <w:pPr>
              <w:pStyle w:val="ListBullet"/>
            </w:pPr>
            <w:r w:rsidRPr="004D445B">
              <w:t>requirements of international parcels processing systems, operations and relevant equipment</w:t>
            </w:r>
          </w:p>
          <w:p w:rsidR="00000000" w:rsidRPr="004D445B" w:rsidP="004D445B">
            <w:pPr>
              <w:pStyle w:val="ListBullet"/>
            </w:pPr>
            <w:r w:rsidRPr="004D445B">
              <w:t xml:space="preserve">safety and </w:t>
            </w:r>
            <w:r w:rsidRPr="004D445B">
              <w:t>security hazards that may occur when processing international parcels and letters, and ways of controlling the risks involved</w:t>
            </w:r>
          </w:p>
          <w:p w:rsidR="00000000" w:rsidRPr="004D445B" w:rsidP="004D445B">
            <w:pPr>
              <w:pStyle w:val="ListBullet"/>
            </w:pPr>
            <w:r w:rsidRPr="004D445B">
              <w:t>site layout</w:t>
            </w:r>
          </w:p>
          <w:p w:rsidR="00000000" w:rsidRPr="004D445B" w:rsidP="004D445B">
            <w:pPr>
              <w:pStyle w:val="ListBullet"/>
            </w:pPr>
            <w:r w:rsidRPr="004D445B">
              <w:t>workplace procedures and policies for the processing of international parcels and letters.</w:t>
            </w:r>
          </w:p>
        </w:tc>
      </w:tr>
    </w:tbl>
    <w:p w:rsidR="00B03F43" w:rsidP="004D445B">
      <w:pPr>
        <w:pStyle w:val="BodyText"/>
      </w:pPr>
    </w:p>
    <w:p w:rsidR="00B03F43" w:rsidP="004D445B">
      <w:pPr>
        <w:pStyle w:val="BodyText"/>
      </w:pPr>
    </w:p>
    <w:p w:rsidR="00000000" w:rsidRPr="004D445B" w:rsidP="004D445B">
      <w:pPr>
        <w:pStyle w:val="Heading1"/>
      </w:pPr>
      <w:bookmarkStart w:id="14" w:name="O_840615"/>
      <w:bookmarkEnd w:id="14"/>
      <w:r w:rsidRPr="004D445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3F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5B" w:rsidP="004D445B">
            <w:pPr>
              <w:pStyle w:val="BodyText"/>
            </w:pPr>
            <w:r w:rsidRPr="004D445B">
              <w:t xml:space="preserve">As a minimum, assessors must satisfy applicable regulatory requirements, which include requirements in the </w:t>
            </w:r>
            <w:r w:rsidRPr="004D445B">
              <w:rPr>
                <w:rStyle w:val="Emphasis"/>
              </w:rPr>
              <w:t>Standards for Registered Training Organisations</w:t>
            </w:r>
            <w:r w:rsidRPr="004D445B">
              <w:t xml:space="preserve"> current at the time of assessment. </w:t>
            </w:r>
          </w:p>
          <w:p w:rsidR="00000000" w:rsidRPr="004D445B" w:rsidP="004D445B">
            <w:pPr>
              <w:pStyle w:val="BodyText"/>
            </w:pPr>
            <w:r w:rsidRPr="004D445B">
              <w:t>As a minimum, assessment must satisfy appli</w:t>
            </w:r>
            <w:r w:rsidRPr="004D445B">
              <w:t xml:space="preserve">cable regulatory requirements, which include requirements in the </w:t>
            </w:r>
            <w:r w:rsidRPr="004D445B">
              <w:rPr>
                <w:rStyle w:val="Emphasis"/>
              </w:rPr>
              <w:t>Standards for Registered Training Organisations</w:t>
            </w:r>
            <w:r w:rsidRPr="004D445B">
              <w:t xml:space="preserve"> current at the time of assessment.</w:t>
            </w:r>
          </w:p>
          <w:p w:rsidR="00000000" w:rsidRPr="004D445B" w:rsidP="004D445B">
            <w:pPr>
              <w:pStyle w:val="BodyText"/>
            </w:pPr>
            <w:r w:rsidRPr="004D445B">
              <w:t>Assessment must occur in workplace operational situations where it is appropriate to do so; where this is no</w:t>
            </w:r>
            <w:r w:rsidRPr="004D445B">
              <w:t xml:space="preserve">t appropriate, assessment must occur in simulated workplace operational situations that replicate workplace conditions. </w:t>
            </w:r>
          </w:p>
          <w:p w:rsidR="00000000" w:rsidRPr="004D445B" w:rsidP="004D445B">
            <w:pPr>
              <w:pStyle w:val="BodyText"/>
            </w:pPr>
            <w:r w:rsidRPr="004D445B">
              <w:t>Assessment processes and techniques must be appropriate to the language, literacy and numeracy requirements of the work being performed</w:t>
            </w:r>
            <w:r w:rsidRPr="004D445B">
              <w:t xml:space="preserve"> and the needs of the candidate.</w:t>
            </w:r>
          </w:p>
          <w:p w:rsidR="00000000" w:rsidRPr="004D445B" w:rsidP="004D445B">
            <w:pPr>
              <w:pStyle w:val="BodyText"/>
            </w:pPr>
            <w:r w:rsidRPr="004D445B">
              <w:t>Resources for assessment include:</w:t>
            </w:r>
          </w:p>
          <w:p w:rsidR="00000000" w:rsidRPr="004D445B" w:rsidP="004D445B">
            <w:pPr>
              <w:pStyle w:val="ListBullet"/>
            </w:pPr>
            <w:r w:rsidRPr="004D445B">
              <w:t>a range of relevant exercises, case studies and/or simulations</w:t>
            </w:r>
          </w:p>
          <w:p w:rsidR="00000000" w:rsidRPr="004D445B" w:rsidP="004D445B">
            <w:pPr>
              <w:pStyle w:val="ListBullet"/>
            </w:pPr>
            <w:r w:rsidRPr="004D445B">
              <w:t>applicable documentation including workplace procedures, regulations, codes of practice and operation manuals</w:t>
            </w:r>
          </w:p>
          <w:p w:rsidR="00000000" w:rsidRPr="004D445B" w:rsidP="004D445B">
            <w:pPr>
              <w:pStyle w:val="ListBullet"/>
            </w:pPr>
            <w:r w:rsidRPr="004D445B">
              <w:t>relevant materi</w:t>
            </w:r>
            <w:r w:rsidRPr="004D445B">
              <w:t>als, tools, equipment and personal protective equipment currently used in industry.</w:t>
            </w:r>
          </w:p>
        </w:tc>
      </w:tr>
    </w:tbl>
    <w:p w:rsidR="00B03F43" w:rsidP="004D445B">
      <w:pPr>
        <w:pStyle w:val="BodyText"/>
      </w:pPr>
    </w:p>
    <w:p w:rsidR="00B03F43" w:rsidP="004D445B">
      <w:pPr>
        <w:pStyle w:val="BodyText"/>
      </w:pPr>
    </w:p>
    <w:p w:rsidR="00000000" w:rsidRPr="004D445B" w:rsidP="004D445B">
      <w:pPr>
        <w:pStyle w:val="Heading1"/>
      </w:pPr>
      <w:bookmarkStart w:id="15" w:name="O_840618"/>
      <w:bookmarkEnd w:id="15"/>
      <w:r w:rsidRPr="004D445B">
        <w:t>Links</w:t>
      </w:r>
    </w:p>
    <w:p w:rsidR="00000000" w:rsidRPr="004D445B" w:rsidP="00B03F43">
      <w:pPr>
        <w:pStyle w:val="BodyText"/>
      </w:pPr>
      <w:r w:rsidRPr="004D44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4F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445B" w:rsidP="004D445B"/>
    <w:sectPr w:rsidSect="004D44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 w:rsidRPr="00B03F43" w:rsidP="00B03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43" w:rsidP="004D4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F43" w:rsidP="004D4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3F43" w:rsidP="004D44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 w:rsidP="004D4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3F43">
      <w:t>Approved</w:t>
    </w:r>
    <w:r w:rsidR="00B03F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3F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3F43">
      <w:rPr>
        <w:noProof/>
      </w:rPr>
      <w:t>4</w:t>
    </w:r>
    <w:r>
      <w:rPr>
        <w:noProof/>
      </w:rPr>
      <w:fldChar w:fldCharType="end"/>
    </w:r>
  </w:p>
  <w:p w:rsidR="004D445B" w:rsidP="004D4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3F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3F43">
      <w:t>Industry Skills Australia</w:t>
    </w:r>
    <w:r w:rsidR="00B03F43">
      <w:fldChar w:fldCharType="end"/>
    </w:r>
  </w:p>
  <w:p w:rsidR="004D445B" w:rsidP="004D4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45B" w:rsidRPr="00B03F43" w:rsidP="00B03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43" w:rsidRPr="002D2AF8" w:rsidP="004D4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TLIA2045 Process international parcels and letters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3F43" w:rsidP="004D44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5B" w:rsidRPr="002D2AF8" w:rsidP="004D4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3F43">
      <w:t>TLIA2045 Process international parcels and letters</w:t>
    </w:r>
    <w:r w:rsidR="00B03F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3F43">
      <w:rPr>
        <w:noProof/>
      </w:rPr>
      <w:t>2 March 2025</w:t>
    </w:r>
    <w:r>
      <w:fldChar w:fldCharType="end"/>
    </w:r>
  </w:p>
  <w:p w:rsidR="004D445B" w:rsidP="004D4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82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9C6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45B"/>
  </w:style>
  <w:style w:type="character" w:customStyle="1" w:styleId="Heading1Char">
    <w:name w:val="Heading 1 Char"/>
    <w:basedOn w:val="DefaultParagraphFont"/>
    <w:link w:val="Heading1"/>
    <w:rsid w:val="004D4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4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4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45B"/>
    <w:rPr>
      <w:b/>
      <w:spacing w:val="0"/>
    </w:rPr>
  </w:style>
  <w:style w:type="character" w:styleId="Emphasis">
    <w:name w:val="Emphasis"/>
    <w:basedOn w:val="DefaultParagraphFont"/>
    <w:qFormat/>
    <w:rsid w:val="004D445B"/>
    <w:rPr>
      <w:i/>
    </w:rPr>
  </w:style>
  <w:style w:type="paragraph" w:customStyle="1" w:styleId="SuperHeading">
    <w:name w:val="SuperHeading"/>
    <w:basedOn w:val="Normal"/>
    <w:rsid w:val="004D4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4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4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4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45B"/>
  </w:style>
  <w:style w:type="paragraph" w:styleId="TableofFigures">
    <w:name w:val="table of figures"/>
    <w:basedOn w:val="Normal"/>
    <w:next w:val="Normal"/>
    <w:semiHidden/>
    <w:rsid w:val="004D4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4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45B"/>
    <w:rPr>
      <w:rFonts w:ascii="Wingdings" w:hAnsi="Wingdings"/>
    </w:rPr>
  </w:style>
  <w:style w:type="paragraph" w:customStyle="1" w:styleId="TableHeading">
    <w:name w:val="Table Heading"/>
    <w:basedOn w:val="HeadingBase"/>
    <w:rsid w:val="004D4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45B"/>
    <w:rPr>
      <w:color w:val="0033CC"/>
      <w:u w:val="none"/>
    </w:rPr>
  </w:style>
  <w:style w:type="paragraph" w:customStyle="1" w:styleId="BodyTextRight">
    <w:name w:val="Body Text Right"/>
    <w:basedOn w:val="BodyText"/>
    <w:rsid w:val="004D4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4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45B"/>
    <w:rPr>
      <w:sz w:val="32"/>
    </w:rPr>
  </w:style>
  <w:style w:type="paragraph" w:customStyle="1" w:styleId="HeadingProcedure">
    <w:name w:val="Heading Procedure"/>
    <w:basedOn w:val="HeadingBase"/>
    <w:next w:val="Normal"/>
    <w:rsid w:val="004D4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45B"/>
    <w:pPr>
      <w:spacing w:before="60" w:after="60"/>
    </w:pPr>
  </w:style>
  <w:style w:type="paragraph" w:styleId="ListContinue">
    <w:name w:val="List Continue"/>
    <w:basedOn w:val="List"/>
    <w:rsid w:val="004D445B"/>
    <w:pPr>
      <w:ind w:firstLine="0"/>
    </w:pPr>
  </w:style>
  <w:style w:type="paragraph" w:customStyle="1" w:styleId="ListNote">
    <w:name w:val="List Note"/>
    <w:basedOn w:val="List"/>
    <w:rsid w:val="004D4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45B"/>
    <w:rPr>
      <w:rFonts w:ascii="Courier New" w:hAnsi="Courier New"/>
    </w:rPr>
  </w:style>
  <w:style w:type="paragraph" w:customStyle="1" w:styleId="NoteBullet">
    <w:name w:val="Note Bullet"/>
    <w:basedOn w:val="Note"/>
    <w:rsid w:val="004D4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4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45B"/>
    <w:rPr>
      <w:b/>
      <w:smallCaps/>
    </w:rPr>
  </w:style>
  <w:style w:type="paragraph" w:customStyle="1" w:styleId="TableListNumber">
    <w:name w:val="Table List Number"/>
    <w:basedOn w:val="ListNumber"/>
    <w:rsid w:val="004D4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45B"/>
    <w:pPr>
      <w:numPr>
        <w:numId w:val="8"/>
      </w:numPr>
    </w:pPr>
  </w:style>
  <w:style w:type="paragraph" w:customStyle="1" w:styleId="ListAlpha2">
    <w:name w:val="List Alpha 2"/>
    <w:basedOn w:val="List2"/>
    <w:rsid w:val="004D445B"/>
    <w:pPr>
      <w:numPr>
        <w:numId w:val="7"/>
      </w:numPr>
    </w:pPr>
  </w:style>
  <w:style w:type="paragraph" w:styleId="List2">
    <w:name w:val="List 2"/>
    <w:basedOn w:val="BodyText"/>
    <w:rsid w:val="004D4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4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4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45B"/>
    <w:pPr>
      <w:numPr>
        <w:numId w:val="3"/>
      </w:numPr>
    </w:pPr>
  </w:style>
  <w:style w:type="paragraph" w:styleId="ListContinue2">
    <w:name w:val="List Continue 2"/>
    <w:basedOn w:val="List2"/>
    <w:rsid w:val="004D445B"/>
    <w:pPr>
      <w:ind w:firstLine="0"/>
    </w:pPr>
  </w:style>
  <w:style w:type="paragraph" w:styleId="ListContinue3">
    <w:name w:val="List Continue 3"/>
    <w:basedOn w:val="List3"/>
    <w:rsid w:val="004D445B"/>
    <w:pPr>
      <w:ind w:left="1021" w:firstLine="0"/>
    </w:pPr>
  </w:style>
  <w:style w:type="paragraph" w:styleId="ListContinue4">
    <w:name w:val="List Continue 4"/>
    <w:basedOn w:val="List4"/>
    <w:rsid w:val="004D445B"/>
    <w:pPr>
      <w:ind w:firstLine="0"/>
    </w:pPr>
  </w:style>
  <w:style w:type="paragraph" w:styleId="ListContinue5">
    <w:name w:val="List Continue 5"/>
    <w:basedOn w:val="List5"/>
    <w:rsid w:val="004D445B"/>
    <w:pPr>
      <w:ind w:firstLine="0"/>
    </w:pPr>
  </w:style>
  <w:style w:type="paragraph" w:styleId="ListNumber3">
    <w:name w:val="List Number 3"/>
    <w:basedOn w:val="List3"/>
    <w:rsid w:val="004D445B"/>
    <w:pPr>
      <w:numPr>
        <w:numId w:val="4"/>
      </w:numPr>
    </w:pPr>
  </w:style>
  <w:style w:type="paragraph" w:styleId="ListNumber4">
    <w:name w:val="List Number 4"/>
    <w:basedOn w:val="List4"/>
    <w:rsid w:val="004D445B"/>
    <w:pPr>
      <w:numPr>
        <w:numId w:val="5"/>
      </w:numPr>
    </w:pPr>
  </w:style>
  <w:style w:type="paragraph" w:styleId="ListNumber5">
    <w:name w:val="List Number 5"/>
    <w:basedOn w:val="List5"/>
    <w:rsid w:val="004D445B"/>
    <w:pPr>
      <w:numPr>
        <w:numId w:val="6"/>
      </w:numPr>
    </w:pPr>
  </w:style>
  <w:style w:type="paragraph" w:styleId="BlockText">
    <w:name w:val="Block Text"/>
    <w:basedOn w:val="Normal"/>
    <w:rsid w:val="004D4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45B"/>
    <w:rPr>
      <w:sz w:val="16"/>
      <w:vertAlign w:val="superscript"/>
    </w:rPr>
  </w:style>
  <w:style w:type="character" w:customStyle="1" w:styleId="Symbols">
    <w:name w:val="Symbols"/>
    <w:basedOn w:val="DefaultParagraphFont"/>
    <w:rsid w:val="004D445B"/>
    <w:rPr>
      <w:rFonts w:ascii="Symbol" w:hAnsi="Symbol"/>
    </w:rPr>
  </w:style>
  <w:style w:type="character" w:customStyle="1" w:styleId="MenuOptions">
    <w:name w:val="Menu Options"/>
    <w:basedOn w:val="DefaultParagraphFont"/>
    <w:rsid w:val="004D4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45B"/>
    <w:rPr>
      <w:b/>
    </w:rPr>
  </w:style>
  <w:style w:type="character" w:customStyle="1" w:styleId="Underlined">
    <w:name w:val="Underlined"/>
    <w:basedOn w:val="DefaultParagraphFont"/>
    <w:rsid w:val="004D445B"/>
    <w:rPr>
      <w:u w:val="single"/>
    </w:rPr>
  </w:style>
  <w:style w:type="paragraph" w:customStyle="1" w:styleId="TableBodyTextRight">
    <w:name w:val="Table Body Text Right"/>
    <w:basedOn w:val="TableBodyText"/>
    <w:rsid w:val="004D4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45B"/>
    <w:rPr>
      <w:sz w:val="18"/>
    </w:rPr>
  </w:style>
  <w:style w:type="paragraph" w:customStyle="1" w:styleId="BodySmallRight">
    <w:name w:val="Body Small Right"/>
    <w:basedOn w:val="BodyTextRight"/>
    <w:rsid w:val="004D445B"/>
    <w:rPr>
      <w:sz w:val="18"/>
      <w:szCs w:val="18"/>
    </w:rPr>
  </w:style>
  <w:style w:type="paragraph" w:customStyle="1" w:styleId="MarginEdition">
    <w:name w:val="Margin Edition"/>
    <w:basedOn w:val="MarginNote"/>
    <w:rsid w:val="004D4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45B"/>
    <w:rPr>
      <w:sz w:val="2"/>
      <w:szCs w:val="2"/>
    </w:rPr>
  </w:style>
  <w:style w:type="character" w:customStyle="1" w:styleId="Small">
    <w:name w:val="Small"/>
    <w:basedOn w:val="DefaultParagraphFont"/>
    <w:rsid w:val="004D445B"/>
    <w:rPr>
      <w:sz w:val="16"/>
    </w:rPr>
  </w:style>
  <w:style w:type="paragraph" w:customStyle="1" w:styleId="WideTable">
    <w:name w:val="Wide Table"/>
    <w:basedOn w:val="Normal"/>
    <w:rsid w:val="004D4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45B"/>
  </w:style>
  <w:style w:type="paragraph" w:styleId="Quote">
    <w:name w:val="Quote"/>
    <w:basedOn w:val="Heading1"/>
    <w:link w:val="QuoteChar"/>
    <w:qFormat/>
    <w:rsid w:val="004D4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45B"/>
    <w:pPr>
      <w:pageBreakBefore/>
    </w:pPr>
  </w:style>
  <w:style w:type="paragraph" w:customStyle="1" w:styleId="Border">
    <w:name w:val="Border"/>
    <w:basedOn w:val="Normal"/>
    <w:qFormat/>
    <w:rsid w:val="004D4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45B"/>
    <w:rPr>
      <w:u w:val="single"/>
    </w:rPr>
  </w:style>
  <w:style w:type="character" w:customStyle="1" w:styleId="BoldandItalics">
    <w:name w:val="Bold and Italics"/>
    <w:qFormat/>
    <w:rsid w:val="004D445B"/>
    <w:rPr>
      <w:b/>
      <w:i/>
      <w:u w:val="none"/>
    </w:rPr>
  </w:style>
  <w:style w:type="paragraph" w:styleId="BalloonText">
    <w:name w:val="Balloon Text"/>
    <w:basedOn w:val="Normal"/>
    <w:link w:val="BalloonTextChar"/>
    <w:rsid w:val="004D4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45B"/>
    <w:pPr>
      <w:spacing w:before="0" w:after="0"/>
    </w:pPr>
  </w:style>
  <w:style w:type="paragraph" w:customStyle="1" w:styleId="BodyTextBold">
    <w:name w:val="Body Text Bold"/>
    <w:basedOn w:val="BodyText"/>
    <w:qFormat/>
    <w:rsid w:val="004D445B"/>
    <w:rPr>
      <w:b/>
    </w:rPr>
  </w:style>
  <w:style w:type="character" w:styleId="Hyperlink">
    <w:name w:val="Hyperlink"/>
    <w:basedOn w:val="DefaultParagraphFont"/>
    <w:uiPriority w:val="99"/>
    <w:unhideWhenUsed/>
    <w:rsid w:val="00B03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7247</Characters>
  <Application>Microsoft Office Word</Application>
  <DocSecurity>0</DocSecurity>
  <Lines>249</Lines>
  <Paragraphs>146</Paragraphs>
  <ScaleCrop>false</ScaleCrop>
  <Company>Author-it Software Corporation Ltd.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TLIA2045 Process international parcels and letters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