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7BD" w:rsidP="002D0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TLIA2012 Pick and process orders</w:t>
      </w:r>
      <w:r>
        <w:fldChar w:fldCharType="end"/>
      </w:r>
    </w:p>
    <w:p w:rsidR="002D07BD" w:rsidP="002D07BD">
      <w:pPr>
        <w:pStyle w:val="Version"/>
        <w:sectPr w:rsidSect="00E42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862" w:rsidP="00E42862">
      <w:pPr>
        <w:pStyle w:val="SuperHeading"/>
      </w:pPr>
      <w:r w:rsidRPr="00E42862">
        <w:t>TLIA2012 Pick and process orders</w:t>
      </w:r>
    </w:p>
    <w:p w:rsidR="00000000" w:rsidRPr="00E42862" w:rsidP="00E42862">
      <w:pPr>
        <w:pStyle w:val="Heading1"/>
      </w:pPr>
      <w:bookmarkStart w:id="1" w:name="O_738937"/>
      <w:bookmarkEnd w:id="1"/>
      <w:r w:rsidRPr="00E42862">
        <w:t>Modification History</w:t>
      </w:r>
    </w:p>
    <w:p w:rsidR="002D07BD" w:rsidP="002D07BD">
      <w:pPr>
        <w:pStyle w:val="BodyText"/>
      </w:pPr>
      <w:r w:rsidRPr="00E42862">
        <w:t>Release 1. This is the first release of this unit of competency in the TLI Transport and Logistics Training Package.</w:t>
      </w:r>
    </w:p>
    <w:p w:rsidR="00000000" w:rsidRPr="00E42862" w:rsidP="00E42862">
      <w:pPr>
        <w:pStyle w:val="Heading1"/>
      </w:pPr>
      <w:bookmarkStart w:id="2" w:name="O_738938"/>
      <w:bookmarkEnd w:id="2"/>
      <w:r w:rsidRPr="00E42862">
        <w:t>Application</w:t>
      </w:r>
    </w:p>
    <w:p w:rsidR="00000000" w:rsidRPr="00E42862" w:rsidP="002D07BD">
      <w:pPr>
        <w:pStyle w:val="BodyText"/>
      </w:pPr>
      <w:r w:rsidRPr="00E42862">
        <w:t>This unit involves the skills and knowledge required to pick and process orders in accor</w:t>
      </w:r>
      <w:r w:rsidRPr="00E42862">
        <w:t>dance with relevant codes, regulations and workplace requirements within the transport and logistics industry.</w:t>
      </w:r>
    </w:p>
    <w:p w:rsidR="00000000" w:rsidRPr="00E42862" w:rsidP="002D07BD">
      <w:pPr>
        <w:pStyle w:val="BodyText"/>
      </w:pPr>
      <w:r w:rsidRPr="00E42862">
        <w:t xml:space="preserve">It includes identifying workplace order picking processes, policies and procedures; picking and despatching orders; and recording stock levels. </w:t>
      </w:r>
    </w:p>
    <w:p w:rsidR="00000000" w:rsidRPr="00E42862" w:rsidP="002D07BD">
      <w:pPr>
        <w:pStyle w:val="BodyText"/>
      </w:pPr>
      <w:r w:rsidRPr="00E42862">
        <w:t xml:space="preserve">Work is performed under some supervision generally within a team environment. </w:t>
      </w:r>
    </w:p>
    <w:p w:rsidR="002D07BD" w:rsidP="002D07BD">
      <w:pPr>
        <w:pStyle w:val="BodyText"/>
      </w:pPr>
      <w:r w:rsidRPr="00E42862">
        <w:t>No licensing, legislative or certification requirements apply to this unit at the time of publication.</w:t>
      </w:r>
    </w:p>
    <w:p w:rsidR="00000000" w:rsidRPr="00E42862" w:rsidP="00E42862">
      <w:pPr>
        <w:pStyle w:val="Heading1"/>
      </w:pPr>
      <w:bookmarkStart w:id="3" w:name="O_738939"/>
      <w:bookmarkEnd w:id="3"/>
      <w:r w:rsidRPr="00E42862">
        <w:t>Pre-requisite Unit</w:t>
      </w:r>
    </w:p>
    <w:p w:rsidR="00000000" w:rsidRPr="00E42862" w:rsidP="002D07BD">
      <w:pPr>
        <w:pStyle w:val="BodyText"/>
      </w:pPr>
      <w:r w:rsidRPr="00E42862">
        <w:t>Not applicable.</w:t>
      </w:r>
    </w:p>
    <w:p w:rsidR="00000000" w:rsidRPr="00E42862" w:rsidP="00E42862">
      <w:pPr>
        <w:pStyle w:val="Heading1"/>
      </w:pPr>
      <w:bookmarkStart w:id="4" w:name="O_738940"/>
      <w:bookmarkEnd w:id="4"/>
      <w:r w:rsidRPr="00E42862">
        <w:t>Comp</w:t>
      </w:r>
      <w:r w:rsidRPr="00E42862">
        <w:t>etency Field</w:t>
      </w:r>
    </w:p>
    <w:p w:rsidR="00000000" w:rsidRPr="00E42862" w:rsidP="002D07BD">
      <w:pPr>
        <w:pStyle w:val="BodyText"/>
      </w:pPr>
      <w:r w:rsidRPr="00E42862">
        <w:t>A ‒ Handling Cargo/Stock</w:t>
      </w:r>
    </w:p>
    <w:p w:rsidR="00000000" w:rsidRPr="00E42862" w:rsidP="00E42862">
      <w:pPr>
        <w:pStyle w:val="Heading1"/>
      </w:pPr>
      <w:bookmarkStart w:id="5" w:name="O_738941"/>
      <w:bookmarkEnd w:id="5"/>
      <w:r w:rsidRPr="00E42862">
        <w:t>Unit Sector</w:t>
      </w:r>
    </w:p>
    <w:p w:rsidR="00000000" w:rsidRPr="00E42862" w:rsidP="002D07BD">
      <w:pPr>
        <w:pStyle w:val="BodyText"/>
      </w:pPr>
      <w:r w:rsidRPr="00E42862">
        <w:t>Not applicable.</w:t>
      </w:r>
    </w:p>
    <w:p w:rsidR="00000000" w:rsidRPr="00E42862" w:rsidP="00E42862">
      <w:pPr>
        <w:pStyle w:val="Heading1"/>
      </w:pPr>
      <w:bookmarkStart w:id="6" w:name="O_738942"/>
      <w:bookmarkEnd w:id="6"/>
      <w:r w:rsidRPr="00E4286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862" w:rsidP="00E42862">
            <w:pPr>
              <w:pStyle w:val="BodyText"/>
            </w:pPr>
            <w:r w:rsidRPr="00E4286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rPr>
                <w:rStyle w:val="SpecialBold"/>
              </w:rPr>
              <w:t>PERFORMANCE CRITERIA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Performance criteria describe the performance needed to demonstrate achievement of the element.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862" w:rsidP="00E42862">
            <w:pPr>
              <w:pStyle w:val="BodyText"/>
            </w:pPr>
            <w:r w:rsidRPr="00E4286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rPr>
                <w:rStyle w:val="SpecialBold"/>
              </w:rPr>
              <w:t xml:space="preserve">Identify workplace order picking processes, policies </w:t>
            </w:r>
            <w:r w:rsidRPr="00E42862">
              <w:rPr>
                <w:rStyle w:val="SpecialBold"/>
              </w:rPr>
              <w:t>and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Workplace procedures for order picking and related workplace documentation are inter</w:t>
            </w:r>
            <w:r w:rsidRPr="00E42862">
              <w:t>preted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 xml:space="preserve">Stock allocation and location systems are identified and </w:t>
            </w:r>
            <w:r w:rsidRPr="00E42862">
              <w:t>located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 xml:space="preserve">Appropriate manual handling equipment is selected in accordance with work health and safety (WHS)/occupational health and safety (OHS) regulations </w:t>
            </w:r>
            <w:r w:rsidRPr="00E42862">
              <w:t>and workplace procedures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862" w:rsidP="00E42862">
            <w:pPr>
              <w:pStyle w:val="BodyText"/>
            </w:pPr>
            <w:r w:rsidRPr="00E4286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rPr>
                <w:rStyle w:val="SpecialBold"/>
              </w:rPr>
              <w:t>Pick and despatch an order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Work requirements are planned and appropriate equipment and documentation is assembled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Warehouse zones where required products are stored, are identified and located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Pick path is established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Appropriate pallet/s for orders are selected and stacked to minimise stock damage and to maximise stability, as required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Products are selected and consolidated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Products/pallets are located in despatch areas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Products are assembled to meet workplace schedules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Orders are consolidated, secured, arranged and placed in storage zones in accordance with schedules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862" w:rsidP="00E42862">
            <w:pPr>
              <w:pStyle w:val="BodyText"/>
            </w:pPr>
            <w:r w:rsidRPr="00E4286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rPr>
                <w:rStyle w:val="SpecialBold"/>
              </w:rPr>
              <w:t>Record stock levels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Storage areas are checked and stocks are noted for replenishment in</w:t>
            </w:r>
            <w:r w:rsidRPr="00E42862">
              <w:t xml:space="preserve"> accordance with workplace procedures</w:t>
            </w:r>
          </w:p>
        </w:tc>
      </w:tr>
      <w:tr w:rsidTr="002D07B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862">
            <w:pPr>
              <w:pStyle w:val="BodyText"/>
              <w:rPr>
                <w:lang w:val="en-NZ"/>
              </w:rPr>
            </w:pPr>
            <w:r w:rsidRPr="00E4286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862" w:rsidP="00E42862">
            <w:pPr>
              <w:pStyle w:val="BodyText"/>
            </w:pPr>
            <w:r w:rsidRPr="00E42862">
              <w:t>Workplace records are completed in accordance with workplace requirements</w:t>
            </w:r>
          </w:p>
        </w:tc>
      </w:tr>
    </w:tbl>
    <w:p w:rsidR="002D07BD" w:rsidP="00E42862">
      <w:pPr>
        <w:pStyle w:val="BodyText"/>
      </w:pPr>
    </w:p>
    <w:p w:rsidR="002D07BD" w:rsidP="00E42862">
      <w:pPr>
        <w:pStyle w:val="BodyText"/>
      </w:pPr>
    </w:p>
    <w:p w:rsidR="00000000" w:rsidRPr="00E42862" w:rsidP="00E42862">
      <w:pPr>
        <w:pStyle w:val="Heading1"/>
      </w:pPr>
      <w:bookmarkStart w:id="7" w:name="O_738943"/>
      <w:bookmarkEnd w:id="7"/>
      <w:r w:rsidRPr="00E42862">
        <w:t>Foundation Skills</w:t>
      </w:r>
    </w:p>
    <w:p w:rsidR="002D07BD" w:rsidP="002D07BD">
      <w:pPr>
        <w:pStyle w:val="BodyText"/>
      </w:pPr>
      <w:r w:rsidRPr="00E42862">
        <w:t>Foundation skills essential to performance are explicit in the performance criteria of this unit of competency.</w:t>
      </w:r>
    </w:p>
    <w:p w:rsidR="00000000" w:rsidRPr="00E42862" w:rsidP="00E42862">
      <w:pPr>
        <w:pStyle w:val="Heading1"/>
      </w:pPr>
      <w:bookmarkStart w:id="8" w:name="O_738944"/>
      <w:bookmarkEnd w:id="8"/>
      <w:r w:rsidRPr="00E42862">
        <w:t>Range of Conditions</w:t>
      </w:r>
    </w:p>
    <w:p w:rsidR="00000000" w:rsidRPr="00E42862" w:rsidP="002D07BD">
      <w:pPr>
        <w:pStyle w:val="BodyText"/>
      </w:pPr>
      <w:r w:rsidRPr="00E42862">
        <w:t>Range is restricted to essential operating conditions and any other variables essential to the work enviro</w:t>
      </w:r>
      <w:r w:rsidRPr="00E42862">
        <w:t xml:space="preserve">nment. </w:t>
      </w:r>
    </w:p>
    <w:p w:rsidR="002D07BD" w:rsidP="002D07BD">
      <w:pPr>
        <w:pStyle w:val="BodyText"/>
      </w:pPr>
      <w:r w:rsidRPr="00E42862">
        <w:t xml:space="preserve">Non-essential conditions can be found in the Companion Volume Implementation Guide. </w:t>
      </w:r>
    </w:p>
    <w:p w:rsidR="00000000" w:rsidRPr="00E42862" w:rsidP="00E42862">
      <w:pPr>
        <w:pStyle w:val="Heading1"/>
      </w:pPr>
      <w:bookmarkStart w:id="9" w:name="O_738945"/>
      <w:bookmarkEnd w:id="9"/>
      <w:r w:rsidRPr="00E42862">
        <w:t>Unit Mapping Information</w:t>
      </w:r>
    </w:p>
    <w:p w:rsidR="002D07BD" w:rsidP="002D07BD">
      <w:pPr>
        <w:pStyle w:val="BodyText"/>
      </w:pPr>
      <w:r w:rsidRPr="00E42862">
        <w:t>This unit replaces and is equivalent to TLIA2012A Pick and process orders.</w:t>
      </w:r>
    </w:p>
    <w:p w:rsidR="00000000" w:rsidRPr="00E42862" w:rsidP="00E42862">
      <w:pPr>
        <w:pStyle w:val="Heading1"/>
      </w:pPr>
      <w:bookmarkStart w:id="10" w:name="O_738952"/>
      <w:bookmarkEnd w:id="10"/>
      <w:r w:rsidRPr="00E42862">
        <w:t>Links</w:t>
      </w:r>
    </w:p>
    <w:p w:rsidR="00000000" w:rsidRPr="00E42862" w:rsidP="002D07BD">
      <w:pPr>
        <w:pStyle w:val="BodyText"/>
      </w:pPr>
      <w:r w:rsidRPr="00E42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6051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2862" w:rsidP="00E42862"/>
    <w:sectPr w:rsidSect="00E428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62" w:rsidRPr="002D07BD" w:rsidP="002D0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7BD" w:rsidP="00E42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7BD" w:rsidP="00E42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D07BD" w:rsidP="00E42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862" w:rsidRPr="002D07BD" w:rsidP="002D0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7BD" w:rsidRPr="002D2AF8" w:rsidP="00E42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TLIA2012 Pick and process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D07BD" w:rsidP="00E42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862"/>
  </w:style>
  <w:style w:type="character" w:customStyle="1" w:styleId="Heading1Char">
    <w:name w:val="Heading 1 Char"/>
    <w:basedOn w:val="DefaultParagraphFont"/>
    <w:link w:val="Heading1"/>
    <w:rsid w:val="00E42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8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2862"/>
    <w:rPr>
      <w:b/>
      <w:spacing w:val="0"/>
    </w:rPr>
  </w:style>
  <w:style w:type="paragraph" w:customStyle="1" w:styleId="SuperHeading">
    <w:name w:val="SuperHeading"/>
    <w:basedOn w:val="Normal"/>
    <w:rsid w:val="00E42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8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28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2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8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8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862"/>
    <w:rPr>
      <w:i/>
    </w:rPr>
  </w:style>
  <w:style w:type="paragraph" w:styleId="Caption">
    <w:name w:val="caption"/>
    <w:basedOn w:val="BodyText"/>
    <w:next w:val="Normal"/>
    <w:qFormat/>
    <w:rsid w:val="00E42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862"/>
  </w:style>
  <w:style w:type="paragraph" w:styleId="TableofFigures">
    <w:name w:val="table of figures"/>
    <w:basedOn w:val="Normal"/>
    <w:next w:val="Normal"/>
    <w:semiHidden/>
    <w:rsid w:val="00E42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8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2862"/>
    <w:rPr>
      <w:rFonts w:ascii="Wingdings" w:hAnsi="Wingdings"/>
    </w:rPr>
  </w:style>
  <w:style w:type="paragraph" w:customStyle="1" w:styleId="TableHeading">
    <w:name w:val="Table Heading"/>
    <w:basedOn w:val="HeadingBase"/>
    <w:rsid w:val="00E42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862"/>
    <w:rPr>
      <w:color w:val="0033CC"/>
      <w:u w:val="none"/>
    </w:rPr>
  </w:style>
  <w:style w:type="paragraph" w:customStyle="1" w:styleId="BodyTextRight">
    <w:name w:val="Body Text Right"/>
    <w:basedOn w:val="BodyText"/>
    <w:rsid w:val="00E42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8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862"/>
    <w:rPr>
      <w:sz w:val="32"/>
    </w:rPr>
  </w:style>
  <w:style w:type="paragraph" w:customStyle="1" w:styleId="HeadingProcedure">
    <w:name w:val="Heading Procedure"/>
    <w:basedOn w:val="HeadingBase"/>
    <w:next w:val="Normal"/>
    <w:rsid w:val="00E42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862"/>
    <w:pPr>
      <w:spacing w:before="60" w:after="60"/>
    </w:pPr>
  </w:style>
  <w:style w:type="paragraph" w:styleId="ListContinue">
    <w:name w:val="List Continue"/>
    <w:basedOn w:val="List"/>
    <w:rsid w:val="00E42862"/>
    <w:pPr>
      <w:ind w:firstLine="0"/>
    </w:pPr>
  </w:style>
  <w:style w:type="paragraph" w:customStyle="1" w:styleId="ListNote">
    <w:name w:val="List Note"/>
    <w:basedOn w:val="List"/>
    <w:rsid w:val="00E42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862"/>
    <w:rPr>
      <w:rFonts w:ascii="Courier New" w:hAnsi="Courier New"/>
    </w:rPr>
  </w:style>
  <w:style w:type="paragraph" w:customStyle="1" w:styleId="NoteBullet">
    <w:name w:val="Note Bullet"/>
    <w:basedOn w:val="Note"/>
    <w:rsid w:val="00E42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8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2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862"/>
    <w:rPr>
      <w:b/>
      <w:smallCaps/>
    </w:rPr>
  </w:style>
  <w:style w:type="paragraph" w:customStyle="1" w:styleId="TableListNumber">
    <w:name w:val="Table List Number"/>
    <w:basedOn w:val="ListNumber"/>
    <w:rsid w:val="00E42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862"/>
    <w:pPr>
      <w:numPr>
        <w:numId w:val="7"/>
      </w:numPr>
    </w:pPr>
  </w:style>
  <w:style w:type="paragraph" w:customStyle="1" w:styleId="ListAlpha2">
    <w:name w:val="List Alpha 2"/>
    <w:basedOn w:val="List2"/>
    <w:rsid w:val="00E42862"/>
    <w:pPr>
      <w:numPr>
        <w:numId w:val="6"/>
      </w:numPr>
    </w:pPr>
  </w:style>
  <w:style w:type="paragraph" w:styleId="List2">
    <w:name w:val="List 2"/>
    <w:basedOn w:val="BodyText"/>
    <w:rsid w:val="00E42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8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8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2862"/>
    <w:pPr>
      <w:numPr>
        <w:numId w:val="2"/>
      </w:numPr>
    </w:pPr>
  </w:style>
  <w:style w:type="paragraph" w:styleId="ListContinue2">
    <w:name w:val="List Continue 2"/>
    <w:basedOn w:val="List2"/>
    <w:rsid w:val="00E42862"/>
    <w:pPr>
      <w:ind w:firstLine="0"/>
    </w:pPr>
  </w:style>
  <w:style w:type="paragraph" w:styleId="ListContinue3">
    <w:name w:val="List Continue 3"/>
    <w:basedOn w:val="List3"/>
    <w:rsid w:val="00E42862"/>
    <w:pPr>
      <w:ind w:left="1021" w:firstLine="0"/>
    </w:pPr>
  </w:style>
  <w:style w:type="paragraph" w:styleId="ListContinue4">
    <w:name w:val="List Continue 4"/>
    <w:basedOn w:val="List4"/>
    <w:rsid w:val="00E42862"/>
    <w:pPr>
      <w:ind w:firstLine="0"/>
    </w:pPr>
  </w:style>
  <w:style w:type="paragraph" w:styleId="ListContinue5">
    <w:name w:val="List Continue 5"/>
    <w:basedOn w:val="List5"/>
    <w:rsid w:val="00E42862"/>
    <w:pPr>
      <w:ind w:firstLine="0"/>
    </w:pPr>
  </w:style>
  <w:style w:type="paragraph" w:styleId="ListNumber3">
    <w:name w:val="List Number 3"/>
    <w:basedOn w:val="List3"/>
    <w:rsid w:val="00E42862"/>
    <w:pPr>
      <w:numPr>
        <w:numId w:val="3"/>
      </w:numPr>
    </w:pPr>
  </w:style>
  <w:style w:type="paragraph" w:styleId="ListNumber4">
    <w:name w:val="List Number 4"/>
    <w:basedOn w:val="List4"/>
    <w:rsid w:val="00E42862"/>
    <w:pPr>
      <w:numPr>
        <w:numId w:val="4"/>
      </w:numPr>
    </w:pPr>
  </w:style>
  <w:style w:type="paragraph" w:styleId="ListNumber5">
    <w:name w:val="List Number 5"/>
    <w:basedOn w:val="List5"/>
    <w:rsid w:val="00E42862"/>
    <w:pPr>
      <w:numPr>
        <w:numId w:val="5"/>
      </w:numPr>
    </w:pPr>
  </w:style>
  <w:style w:type="paragraph" w:styleId="BlockText">
    <w:name w:val="Block Text"/>
    <w:basedOn w:val="Normal"/>
    <w:rsid w:val="00E42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862"/>
    <w:rPr>
      <w:sz w:val="16"/>
      <w:vertAlign w:val="superscript"/>
    </w:rPr>
  </w:style>
  <w:style w:type="character" w:customStyle="1" w:styleId="Symbols">
    <w:name w:val="Symbols"/>
    <w:basedOn w:val="DefaultParagraphFont"/>
    <w:rsid w:val="00E42862"/>
    <w:rPr>
      <w:rFonts w:ascii="Symbol" w:hAnsi="Symbol"/>
    </w:rPr>
  </w:style>
  <w:style w:type="character" w:customStyle="1" w:styleId="MenuOptions">
    <w:name w:val="Menu Options"/>
    <w:basedOn w:val="DefaultParagraphFont"/>
    <w:rsid w:val="00E42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862"/>
    <w:rPr>
      <w:b/>
    </w:rPr>
  </w:style>
  <w:style w:type="character" w:customStyle="1" w:styleId="Underlined">
    <w:name w:val="Underlined"/>
    <w:basedOn w:val="DefaultParagraphFont"/>
    <w:rsid w:val="00E42862"/>
    <w:rPr>
      <w:u w:val="single"/>
    </w:rPr>
  </w:style>
  <w:style w:type="paragraph" w:customStyle="1" w:styleId="TableBodyTextRight">
    <w:name w:val="Table Body Text Right"/>
    <w:basedOn w:val="TableBodyText"/>
    <w:rsid w:val="00E42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862"/>
    <w:rPr>
      <w:sz w:val="18"/>
    </w:rPr>
  </w:style>
  <w:style w:type="paragraph" w:customStyle="1" w:styleId="BodySmallRight">
    <w:name w:val="Body Small Right"/>
    <w:basedOn w:val="BodyTextRight"/>
    <w:rsid w:val="00E42862"/>
    <w:rPr>
      <w:sz w:val="18"/>
      <w:szCs w:val="18"/>
    </w:rPr>
  </w:style>
  <w:style w:type="paragraph" w:customStyle="1" w:styleId="MarginEdition">
    <w:name w:val="Margin Edition"/>
    <w:basedOn w:val="MarginNote"/>
    <w:rsid w:val="00E42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862"/>
    <w:rPr>
      <w:sz w:val="2"/>
      <w:szCs w:val="2"/>
    </w:rPr>
  </w:style>
  <w:style w:type="character" w:customStyle="1" w:styleId="Small">
    <w:name w:val="Small"/>
    <w:basedOn w:val="DefaultParagraphFont"/>
    <w:rsid w:val="00E42862"/>
    <w:rPr>
      <w:sz w:val="16"/>
    </w:rPr>
  </w:style>
  <w:style w:type="paragraph" w:customStyle="1" w:styleId="WideTable">
    <w:name w:val="Wide Table"/>
    <w:basedOn w:val="Normal"/>
    <w:rsid w:val="00E42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862"/>
  </w:style>
  <w:style w:type="paragraph" w:styleId="Quote">
    <w:name w:val="Quote"/>
    <w:basedOn w:val="Heading1"/>
    <w:link w:val="QuoteChar"/>
    <w:qFormat/>
    <w:rsid w:val="00E42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862"/>
    <w:pPr>
      <w:pageBreakBefore/>
    </w:pPr>
  </w:style>
  <w:style w:type="paragraph" w:customStyle="1" w:styleId="Border">
    <w:name w:val="Border"/>
    <w:basedOn w:val="Normal"/>
    <w:qFormat/>
    <w:rsid w:val="00E42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862"/>
    <w:rPr>
      <w:u w:val="single"/>
    </w:rPr>
  </w:style>
  <w:style w:type="character" w:customStyle="1" w:styleId="BoldandItalics">
    <w:name w:val="Bold and Italics"/>
    <w:qFormat/>
    <w:rsid w:val="00E42862"/>
    <w:rPr>
      <w:b/>
      <w:i/>
      <w:u w:val="none"/>
    </w:rPr>
  </w:style>
  <w:style w:type="paragraph" w:styleId="BalloonText">
    <w:name w:val="Balloon Text"/>
    <w:basedOn w:val="Normal"/>
    <w:link w:val="BalloonTextChar"/>
    <w:rsid w:val="00E42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862"/>
    <w:pPr>
      <w:spacing w:before="0" w:after="0"/>
    </w:pPr>
  </w:style>
  <w:style w:type="paragraph" w:customStyle="1" w:styleId="BodyTextBold">
    <w:name w:val="Body Text Bold"/>
    <w:basedOn w:val="BodyText"/>
    <w:qFormat/>
    <w:rsid w:val="00E42862"/>
    <w:rPr>
      <w:b/>
    </w:rPr>
  </w:style>
  <w:style w:type="character" w:styleId="Hyperlink">
    <w:name w:val="Hyperlink"/>
    <w:basedOn w:val="DefaultParagraphFont"/>
    <w:uiPriority w:val="99"/>
    <w:unhideWhenUsed/>
    <w:rsid w:val="002D0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</Words>
  <Characters>2676</Characters>
  <Application>Microsoft Office Word</Application>
  <DocSecurity>0</DocSecurity>
  <Lines>133</Lines>
  <Paragraphs>75</Paragraphs>
  <ScaleCrop>false</ScaleCrop>
  <Company>Author-it Software Corporation Ltd.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TLIA2012 Pick and process orders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