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4A9A" w:rsidP="00674A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TLIA2011 Package goods</w:t>
      </w:r>
      <w:r>
        <w:fldChar w:fldCharType="end"/>
      </w:r>
    </w:p>
    <w:p w:rsidR="00674A9A" w:rsidP="00674A9A">
      <w:pPr>
        <w:pStyle w:val="Version"/>
        <w:sectPr w:rsidSect="00A06B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6B74" w:rsidP="00A06B74">
      <w:pPr>
        <w:pStyle w:val="SuperHeading"/>
      </w:pPr>
      <w:r w:rsidRPr="00A06B74">
        <w:t>TLIA2011 Package goods</w:t>
      </w:r>
    </w:p>
    <w:p w:rsidR="00000000" w:rsidRPr="00A06B74" w:rsidP="00A06B74">
      <w:pPr>
        <w:pStyle w:val="Heading1"/>
      </w:pPr>
      <w:bookmarkStart w:id="1" w:name="O_738918"/>
      <w:bookmarkEnd w:id="1"/>
      <w:r w:rsidRPr="00A06B74">
        <w:t>Modification History</w:t>
      </w:r>
    </w:p>
    <w:p w:rsidR="00674A9A" w:rsidP="00674A9A">
      <w:pPr>
        <w:pStyle w:val="BodyText"/>
      </w:pPr>
      <w:r w:rsidRPr="00A06B74">
        <w:t>Release 1. This is the first release of this unit of competency in the TLI Transport and Logistics Training Package.</w:t>
      </w:r>
    </w:p>
    <w:p w:rsidR="00000000" w:rsidRPr="00A06B74" w:rsidP="00A06B74">
      <w:pPr>
        <w:pStyle w:val="Heading1"/>
      </w:pPr>
      <w:bookmarkStart w:id="2" w:name="O_738919"/>
      <w:bookmarkEnd w:id="2"/>
      <w:r w:rsidRPr="00A06B74">
        <w:t>Application</w:t>
      </w:r>
    </w:p>
    <w:p w:rsidR="00000000" w:rsidRPr="00A06B74" w:rsidP="00674A9A">
      <w:pPr>
        <w:pStyle w:val="BodyText"/>
      </w:pPr>
      <w:r w:rsidRPr="00A06B74">
        <w:t>This unit involves the skills and knowledge required to package goods in accordance with regulatory and workp</w:t>
      </w:r>
      <w:r w:rsidRPr="00A06B74">
        <w:t xml:space="preserve">lace requirements as part of work activities undertaken within the transport and logistics industry. </w:t>
      </w:r>
    </w:p>
    <w:p w:rsidR="00000000" w:rsidRPr="00A06B74" w:rsidP="00674A9A">
      <w:pPr>
        <w:pStyle w:val="BodyText"/>
      </w:pPr>
      <w:r w:rsidRPr="00A06B74">
        <w:t>It includes selecting materials, packing, and labelling packaged products/loads to the required labelling standards.</w:t>
      </w:r>
    </w:p>
    <w:p w:rsidR="00000000" w:rsidRPr="00A06B74" w:rsidP="00674A9A">
      <w:pPr>
        <w:pStyle w:val="BodyText"/>
      </w:pPr>
      <w:r w:rsidRPr="00A06B74">
        <w:t>Work is performed under some supervis</w:t>
      </w:r>
      <w:r w:rsidRPr="00A06B74">
        <w:t>ion generally within a team environment.</w:t>
      </w:r>
    </w:p>
    <w:p w:rsidR="00674A9A" w:rsidP="00674A9A">
      <w:pPr>
        <w:pStyle w:val="BodyText"/>
      </w:pPr>
      <w:r w:rsidRPr="00A06B74">
        <w:t>No licensing, legislative or certification requirements apply to this unit at the time of publication.</w:t>
      </w:r>
    </w:p>
    <w:p w:rsidR="00000000" w:rsidRPr="00A06B74" w:rsidP="00A06B74">
      <w:pPr>
        <w:pStyle w:val="Heading1"/>
      </w:pPr>
      <w:bookmarkStart w:id="3" w:name="O_738920"/>
      <w:bookmarkEnd w:id="3"/>
      <w:r w:rsidRPr="00A06B74">
        <w:t>Pre-requisite Unit</w:t>
      </w:r>
    </w:p>
    <w:p w:rsidR="00000000" w:rsidRPr="00A06B74" w:rsidP="00674A9A">
      <w:pPr>
        <w:pStyle w:val="BodyText"/>
      </w:pPr>
      <w:r w:rsidRPr="00A06B74">
        <w:t>Not applicable.</w:t>
      </w:r>
    </w:p>
    <w:p w:rsidR="00000000" w:rsidRPr="00A06B74" w:rsidP="00A06B74">
      <w:pPr>
        <w:pStyle w:val="Heading1"/>
      </w:pPr>
      <w:bookmarkStart w:id="4" w:name="O_738921"/>
      <w:bookmarkEnd w:id="4"/>
      <w:r w:rsidRPr="00A06B74">
        <w:t>Competency Field</w:t>
      </w:r>
    </w:p>
    <w:p w:rsidR="00674A9A" w:rsidP="00674A9A">
      <w:pPr>
        <w:pStyle w:val="BodyText"/>
      </w:pPr>
      <w:r w:rsidRPr="00A06B74">
        <w:t>A ‒ Handling Cargo/Stock</w:t>
      </w:r>
    </w:p>
    <w:p w:rsidR="00000000" w:rsidRPr="00A06B74" w:rsidP="00A06B74">
      <w:pPr>
        <w:pStyle w:val="Heading1"/>
      </w:pPr>
      <w:bookmarkStart w:id="5" w:name="O_738922"/>
      <w:bookmarkEnd w:id="5"/>
      <w:r w:rsidRPr="00A06B74">
        <w:t>Unit Sector</w:t>
      </w:r>
    </w:p>
    <w:p w:rsidR="00000000" w:rsidRPr="00A06B74" w:rsidP="00674A9A">
      <w:pPr>
        <w:pStyle w:val="BodyText"/>
      </w:pPr>
      <w:r w:rsidRPr="00A06B74">
        <w:t>Not applicable.</w:t>
      </w:r>
    </w:p>
    <w:p w:rsidR="00000000" w:rsidRPr="00A06B74" w:rsidP="00A06B74">
      <w:pPr>
        <w:pStyle w:val="Heading1"/>
      </w:pPr>
      <w:bookmarkStart w:id="6" w:name="O_738923"/>
      <w:bookmarkEnd w:id="6"/>
      <w:r w:rsidRPr="00A06B7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0"/>
        <w:gridCol w:w="1705"/>
        <w:gridCol w:w="533"/>
        <w:gridCol w:w="6638"/>
      </w:tblGrid>
      <w:tr w:rsidTr="00674A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B74" w:rsidP="00A06B74">
            <w:pPr>
              <w:pStyle w:val="BodyText"/>
            </w:pPr>
            <w:r w:rsidRPr="00A06B74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B74">
            <w:pPr>
              <w:pStyle w:val="BodyText"/>
              <w:rPr>
                <w:lang w:val="en-NZ"/>
              </w:rPr>
            </w:pPr>
            <w:r w:rsidRPr="00A06B74">
              <w:rPr>
                <w:rStyle w:val="SpecialBold"/>
              </w:rPr>
              <w:t>PERFORMANCE CRITERIA</w:t>
            </w:r>
          </w:p>
        </w:tc>
      </w:tr>
      <w:tr w:rsidTr="00674A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B74">
            <w:pPr>
              <w:pStyle w:val="BodyText"/>
              <w:rPr>
                <w:lang w:val="en-NZ"/>
              </w:rPr>
            </w:pPr>
            <w:r w:rsidRPr="00A06B74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B74">
            <w:pPr>
              <w:pStyle w:val="BodyText"/>
              <w:rPr>
                <w:lang w:val="en-NZ"/>
              </w:rPr>
            </w:pPr>
            <w:r w:rsidRPr="00A06B74">
              <w:t>Performance criteria describe the performance needed to demonstrate achievement of the element.</w:t>
            </w:r>
          </w:p>
        </w:tc>
      </w:tr>
      <w:tr w:rsidTr="00674A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B74" w:rsidP="00A06B74">
            <w:pPr>
              <w:pStyle w:val="BodyText"/>
            </w:pPr>
            <w:r w:rsidRPr="00A06B74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B74">
            <w:pPr>
              <w:pStyle w:val="BodyText"/>
              <w:rPr>
                <w:lang w:val="en-NZ"/>
              </w:rPr>
            </w:pPr>
            <w:r w:rsidRPr="00A06B74">
              <w:rPr>
                <w:rStyle w:val="SpecialBold"/>
              </w:rPr>
              <w:t>Select materials and pack products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B74">
            <w:pPr>
              <w:pStyle w:val="BodyText"/>
              <w:rPr>
                <w:lang w:val="en-NZ"/>
              </w:rPr>
            </w:pPr>
            <w:r w:rsidRPr="00A06B74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B74">
            <w:pPr>
              <w:pStyle w:val="BodyText"/>
              <w:rPr>
                <w:lang w:val="en-NZ"/>
              </w:rPr>
            </w:pPr>
            <w:r w:rsidRPr="00A06B74">
              <w:t>Packaging specifications and order packaging documentation are correctly interpreted</w:t>
            </w:r>
          </w:p>
        </w:tc>
      </w:tr>
      <w:tr w:rsidTr="00674A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B74">
            <w:pPr>
              <w:pStyle w:val="BodyText"/>
              <w:rPr>
                <w:lang w:val="en-NZ"/>
              </w:rPr>
            </w:pPr>
            <w:r w:rsidRPr="00A06B74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B74">
            <w:pPr>
              <w:pStyle w:val="BodyText"/>
              <w:rPr>
                <w:lang w:val="en-NZ"/>
              </w:rPr>
            </w:pPr>
            <w:r w:rsidRPr="00A06B74">
              <w:t>Packaging technology suit</w:t>
            </w:r>
            <w:r w:rsidRPr="00A06B74">
              <w:t>able for the goods to be packed is selected</w:t>
            </w:r>
          </w:p>
        </w:tc>
      </w:tr>
      <w:tr w:rsidTr="00674A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B74">
            <w:pPr>
              <w:pStyle w:val="BodyText"/>
              <w:rPr>
                <w:lang w:val="en-NZ"/>
              </w:rPr>
            </w:pPr>
            <w:r w:rsidRPr="00A06B74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B74">
            <w:pPr>
              <w:pStyle w:val="BodyText"/>
              <w:rPr>
                <w:lang w:val="en-NZ"/>
              </w:rPr>
            </w:pPr>
            <w:r w:rsidRPr="00A06B74">
              <w:t>Packaging materials are identified and matched to specifications</w:t>
            </w:r>
          </w:p>
        </w:tc>
      </w:tr>
      <w:tr w:rsidTr="00674A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B74">
            <w:pPr>
              <w:pStyle w:val="BodyText"/>
              <w:rPr>
                <w:lang w:val="en-NZ"/>
              </w:rPr>
            </w:pPr>
            <w:r w:rsidRPr="00A06B74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B74">
            <w:pPr>
              <w:pStyle w:val="BodyText"/>
              <w:rPr>
                <w:lang w:val="en-NZ"/>
              </w:rPr>
            </w:pPr>
            <w:r w:rsidRPr="00A06B74">
              <w:t>Work plan is followed, materials are used economically and appropriate packa</w:t>
            </w:r>
            <w:r w:rsidRPr="00A06B74">
              <w:t>ging is used to minimise loss and damage in transit or storage</w:t>
            </w:r>
          </w:p>
        </w:tc>
      </w:tr>
      <w:tr w:rsidTr="00674A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B74">
            <w:pPr>
              <w:pStyle w:val="BodyText"/>
              <w:rPr>
                <w:lang w:val="en-NZ"/>
              </w:rPr>
            </w:pPr>
            <w:r w:rsidRPr="00A06B74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B74">
            <w:pPr>
              <w:pStyle w:val="BodyText"/>
              <w:rPr>
                <w:lang w:val="en-NZ"/>
              </w:rPr>
            </w:pPr>
            <w:r w:rsidRPr="00A06B74">
              <w:t>Work is planned in accordance with work health and safety (WHS)/occupational health and safety (OHS) requirements</w:t>
            </w:r>
          </w:p>
        </w:tc>
      </w:tr>
      <w:tr w:rsidTr="00674A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B74">
            <w:pPr>
              <w:pStyle w:val="BodyText"/>
              <w:rPr>
                <w:lang w:val="en-NZ"/>
              </w:rPr>
            </w:pPr>
            <w:r w:rsidRPr="00A06B74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B74">
            <w:pPr>
              <w:pStyle w:val="BodyText"/>
              <w:rPr>
                <w:lang w:val="en-NZ"/>
              </w:rPr>
            </w:pPr>
            <w:r w:rsidRPr="00A06B74">
              <w:t>Completed packed goods are stacked to minimise damage from within</w:t>
            </w:r>
            <w:r w:rsidRPr="00A06B74">
              <w:t xml:space="preserve"> and outside</w:t>
            </w:r>
          </w:p>
        </w:tc>
      </w:tr>
      <w:tr w:rsidTr="00674A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B74" w:rsidP="00A06B74">
            <w:pPr>
              <w:pStyle w:val="BodyText"/>
            </w:pPr>
            <w:r w:rsidRPr="00A06B74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B74">
            <w:pPr>
              <w:pStyle w:val="BodyText"/>
              <w:rPr>
                <w:lang w:val="en-NZ"/>
              </w:rPr>
            </w:pPr>
            <w:r w:rsidRPr="00A06B74">
              <w:rPr>
                <w:rStyle w:val="SpecialBold"/>
              </w:rPr>
              <w:t>Label packaged products/loads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B74">
            <w:pPr>
              <w:pStyle w:val="BodyText"/>
              <w:rPr>
                <w:lang w:val="en-NZ"/>
              </w:rPr>
            </w:pPr>
            <w:r w:rsidRPr="00A06B74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B74">
            <w:pPr>
              <w:pStyle w:val="BodyText"/>
              <w:rPr>
                <w:lang w:val="en-NZ"/>
              </w:rPr>
            </w:pPr>
            <w:r w:rsidRPr="00A06B74">
              <w:t>Workplace labelling standards are identified</w:t>
            </w:r>
          </w:p>
        </w:tc>
      </w:tr>
      <w:tr w:rsidTr="00674A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B74">
            <w:pPr>
              <w:pStyle w:val="BodyText"/>
              <w:rPr>
                <w:lang w:val="en-NZ"/>
              </w:rPr>
            </w:pPr>
            <w:r w:rsidRPr="00A06B74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B74">
            <w:pPr>
              <w:pStyle w:val="BodyText"/>
              <w:rPr>
                <w:lang w:val="en-NZ"/>
              </w:rPr>
            </w:pPr>
            <w:r w:rsidRPr="00A06B74">
              <w:t>Appropriate goods handling, labelling and other identification symbols are used</w:t>
            </w:r>
          </w:p>
        </w:tc>
      </w:tr>
      <w:tr w:rsidTr="00674A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B74">
            <w:pPr>
              <w:pStyle w:val="BodyText"/>
              <w:rPr>
                <w:lang w:val="en-NZ"/>
              </w:rPr>
            </w:pPr>
            <w:r w:rsidRPr="00A06B74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B74">
            <w:pPr>
              <w:pStyle w:val="BodyText"/>
              <w:rPr>
                <w:lang w:val="en-NZ"/>
              </w:rPr>
            </w:pPr>
            <w:r w:rsidRPr="00A06B74">
              <w:t>Invoices and picking slips are attached as required</w:t>
            </w:r>
          </w:p>
        </w:tc>
      </w:tr>
      <w:tr w:rsidTr="00674A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B74">
            <w:pPr>
              <w:pStyle w:val="BodyText"/>
              <w:rPr>
                <w:lang w:val="en-NZ"/>
              </w:rPr>
            </w:pPr>
            <w:r w:rsidRPr="00A06B74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B74" w:rsidP="00A06B74">
            <w:pPr>
              <w:pStyle w:val="BodyText"/>
            </w:pPr>
            <w:r w:rsidRPr="00A06B74">
              <w:t>Workplace documentation is completed</w:t>
            </w:r>
          </w:p>
        </w:tc>
      </w:tr>
    </w:tbl>
    <w:p w:rsidR="00674A9A" w:rsidP="00A06B74">
      <w:pPr>
        <w:pStyle w:val="BodyText"/>
      </w:pPr>
    </w:p>
    <w:p w:rsidR="00674A9A" w:rsidP="00A06B74">
      <w:pPr>
        <w:pStyle w:val="BodyText"/>
      </w:pPr>
    </w:p>
    <w:p w:rsidR="00000000" w:rsidRPr="00A06B74" w:rsidP="00A06B74">
      <w:pPr>
        <w:pStyle w:val="Heading1"/>
      </w:pPr>
      <w:bookmarkStart w:id="7" w:name="O_738924"/>
      <w:bookmarkEnd w:id="7"/>
      <w:r w:rsidRPr="00A06B74">
        <w:t>Foundation Skills</w:t>
      </w:r>
    </w:p>
    <w:p w:rsidR="00674A9A" w:rsidP="00674A9A">
      <w:pPr>
        <w:pStyle w:val="BodyText"/>
      </w:pPr>
      <w:r w:rsidRPr="00A06B74">
        <w:t>Foundation skills essential to performance are explicit in the performance criteria of this unit of competency.</w:t>
      </w:r>
    </w:p>
    <w:p w:rsidR="00000000" w:rsidRPr="00A06B74" w:rsidP="00A06B74">
      <w:pPr>
        <w:pStyle w:val="Heading1"/>
      </w:pPr>
      <w:bookmarkStart w:id="8" w:name="O_738925"/>
      <w:bookmarkEnd w:id="8"/>
      <w:r w:rsidRPr="00A06B74">
        <w:t>Range of Conditions</w:t>
      </w:r>
    </w:p>
    <w:p w:rsidR="00000000" w:rsidRPr="00A06B74" w:rsidP="00674A9A">
      <w:pPr>
        <w:pStyle w:val="BodyText"/>
      </w:pPr>
      <w:r w:rsidRPr="00A06B74">
        <w:t>Range is restricted to essentia</w:t>
      </w:r>
      <w:r w:rsidRPr="00A06B74">
        <w:t>l operating conditions and any other variables essential to the work environment.</w:t>
      </w:r>
    </w:p>
    <w:p w:rsidR="00674A9A" w:rsidP="00674A9A">
      <w:pPr>
        <w:pStyle w:val="BodyText"/>
      </w:pPr>
      <w:r w:rsidRPr="00A06B74">
        <w:t>Non-essential conditions can be found in the Companion Volume Implementation Guide.</w:t>
      </w:r>
    </w:p>
    <w:p w:rsidR="00000000" w:rsidRPr="00A06B74" w:rsidP="00A06B74">
      <w:pPr>
        <w:pStyle w:val="Heading1"/>
      </w:pPr>
      <w:bookmarkStart w:id="9" w:name="O_738926"/>
      <w:bookmarkEnd w:id="9"/>
      <w:r w:rsidRPr="00A06B74">
        <w:t>Unit Mapping Information</w:t>
      </w:r>
    </w:p>
    <w:p w:rsidR="00000000" w:rsidRPr="00A06B74" w:rsidP="00674A9A">
      <w:pPr>
        <w:pStyle w:val="BodyText"/>
      </w:pPr>
      <w:r w:rsidRPr="00A06B74">
        <w:t>This unit replaces and is equivalent to TLIA201</w:t>
      </w:r>
      <w:r w:rsidRPr="00A06B74">
        <w:t>1A Package goods.</w:t>
      </w:r>
    </w:p>
    <w:p w:rsidR="00000000" w:rsidRPr="00A06B74" w:rsidP="00A06B74">
      <w:pPr>
        <w:pStyle w:val="Heading1"/>
      </w:pPr>
      <w:bookmarkStart w:id="10" w:name="O_738933"/>
      <w:bookmarkEnd w:id="10"/>
      <w:r w:rsidRPr="00A06B74">
        <w:t>Links</w:t>
      </w:r>
    </w:p>
    <w:p w:rsidR="00000000" w:rsidRPr="00A06B74" w:rsidP="00674A9A">
      <w:pPr>
        <w:pStyle w:val="BodyText"/>
      </w:pPr>
      <w:r w:rsidRPr="00A06B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9506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06B74" w:rsidP="00A06B74"/>
    <w:sectPr w:rsidSect="00A06B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B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B74" w:rsidRPr="00674A9A" w:rsidP="00674A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B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A9A" w:rsidP="00A06B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74A9A" w:rsidP="00A06B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74A9A" w:rsidP="00A06B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B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A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6B74" w:rsidRPr="00674A9A" w:rsidP="00674A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B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A9A" w:rsidRPr="002D2AF8" w:rsidP="00A06B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TLIA2011 Package goods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674A9A" w:rsidP="00A06B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6B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6B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6B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6B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6B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6B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6B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6B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6B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6B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6B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6B74"/>
  </w:style>
  <w:style w:type="character" w:customStyle="1" w:styleId="Heading1Char">
    <w:name w:val="Heading 1 Char"/>
    <w:basedOn w:val="DefaultParagraphFont"/>
    <w:link w:val="Heading1"/>
    <w:rsid w:val="00A06B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6B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6B7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06B74"/>
    <w:rPr>
      <w:b/>
      <w:spacing w:val="0"/>
    </w:rPr>
  </w:style>
  <w:style w:type="paragraph" w:customStyle="1" w:styleId="SuperHeading">
    <w:name w:val="SuperHeading"/>
    <w:basedOn w:val="Normal"/>
    <w:rsid w:val="00A06B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6B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6B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6B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6B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6B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6B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6B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6B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6B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6B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6B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6B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6B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6B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6B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6B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6B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6B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6B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6B7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06B7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06B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6B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6B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6B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6B7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6B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6B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6B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6B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6B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6B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6B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6B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6B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6B74"/>
    <w:rPr>
      <w:i/>
    </w:rPr>
  </w:style>
  <w:style w:type="paragraph" w:styleId="Caption">
    <w:name w:val="caption"/>
    <w:basedOn w:val="BodyText"/>
    <w:next w:val="Normal"/>
    <w:qFormat/>
    <w:rsid w:val="00A06B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6B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6B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6B74"/>
  </w:style>
  <w:style w:type="paragraph" w:styleId="TableofFigures">
    <w:name w:val="table of figures"/>
    <w:basedOn w:val="Normal"/>
    <w:next w:val="Normal"/>
    <w:semiHidden/>
    <w:rsid w:val="00A06B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6B7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06B74"/>
    <w:rPr>
      <w:rFonts w:ascii="Wingdings" w:hAnsi="Wingdings"/>
    </w:rPr>
  </w:style>
  <w:style w:type="paragraph" w:customStyle="1" w:styleId="TableHeading">
    <w:name w:val="Table Heading"/>
    <w:basedOn w:val="HeadingBase"/>
    <w:rsid w:val="00A06B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6B74"/>
    <w:rPr>
      <w:color w:val="0033CC"/>
      <w:u w:val="none"/>
    </w:rPr>
  </w:style>
  <w:style w:type="paragraph" w:customStyle="1" w:styleId="BodyTextRight">
    <w:name w:val="Body Text Right"/>
    <w:basedOn w:val="BodyText"/>
    <w:rsid w:val="00A06B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6B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6B7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6B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6B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6B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6B74"/>
    <w:rPr>
      <w:sz w:val="32"/>
    </w:rPr>
  </w:style>
  <w:style w:type="paragraph" w:customStyle="1" w:styleId="HeadingProcedure">
    <w:name w:val="Heading Procedure"/>
    <w:basedOn w:val="HeadingBase"/>
    <w:next w:val="Normal"/>
    <w:rsid w:val="00A06B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6B74"/>
    <w:pPr>
      <w:spacing w:before="60" w:after="60"/>
    </w:pPr>
  </w:style>
  <w:style w:type="paragraph" w:styleId="ListContinue">
    <w:name w:val="List Continue"/>
    <w:basedOn w:val="List"/>
    <w:rsid w:val="00A06B74"/>
    <w:pPr>
      <w:ind w:firstLine="0"/>
    </w:pPr>
  </w:style>
  <w:style w:type="paragraph" w:customStyle="1" w:styleId="ListNote">
    <w:name w:val="List Note"/>
    <w:basedOn w:val="List"/>
    <w:rsid w:val="00A06B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6B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6B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6B74"/>
    <w:rPr>
      <w:rFonts w:ascii="Courier New" w:hAnsi="Courier New"/>
    </w:rPr>
  </w:style>
  <w:style w:type="paragraph" w:customStyle="1" w:styleId="NoteBullet">
    <w:name w:val="Note Bullet"/>
    <w:basedOn w:val="Note"/>
    <w:rsid w:val="00A06B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6B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6B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6B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6B7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06B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6B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6B74"/>
    <w:rPr>
      <w:b/>
      <w:smallCaps/>
    </w:rPr>
  </w:style>
  <w:style w:type="paragraph" w:customStyle="1" w:styleId="TableListNumber">
    <w:name w:val="Table List Number"/>
    <w:basedOn w:val="ListNumber"/>
    <w:rsid w:val="00A06B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6B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6B74"/>
    <w:pPr>
      <w:numPr>
        <w:numId w:val="7"/>
      </w:numPr>
    </w:pPr>
  </w:style>
  <w:style w:type="paragraph" w:customStyle="1" w:styleId="ListAlpha2">
    <w:name w:val="List Alpha 2"/>
    <w:basedOn w:val="List2"/>
    <w:rsid w:val="00A06B74"/>
    <w:pPr>
      <w:numPr>
        <w:numId w:val="6"/>
      </w:numPr>
    </w:pPr>
  </w:style>
  <w:style w:type="paragraph" w:styleId="List2">
    <w:name w:val="List 2"/>
    <w:basedOn w:val="BodyText"/>
    <w:rsid w:val="00A06B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6B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6B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6B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6B7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6B7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06B74"/>
    <w:pPr>
      <w:numPr>
        <w:numId w:val="2"/>
      </w:numPr>
    </w:pPr>
  </w:style>
  <w:style w:type="paragraph" w:styleId="ListContinue2">
    <w:name w:val="List Continue 2"/>
    <w:basedOn w:val="List2"/>
    <w:rsid w:val="00A06B74"/>
    <w:pPr>
      <w:ind w:firstLine="0"/>
    </w:pPr>
  </w:style>
  <w:style w:type="paragraph" w:styleId="ListContinue3">
    <w:name w:val="List Continue 3"/>
    <w:basedOn w:val="List3"/>
    <w:rsid w:val="00A06B74"/>
    <w:pPr>
      <w:ind w:left="1021" w:firstLine="0"/>
    </w:pPr>
  </w:style>
  <w:style w:type="paragraph" w:styleId="ListContinue4">
    <w:name w:val="List Continue 4"/>
    <w:basedOn w:val="List4"/>
    <w:rsid w:val="00A06B74"/>
    <w:pPr>
      <w:ind w:firstLine="0"/>
    </w:pPr>
  </w:style>
  <w:style w:type="paragraph" w:styleId="ListContinue5">
    <w:name w:val="List Continue 5"/>
    <w:basedOn w:val="List5"/>
    <w:rsid w:val="00A06B74"/>
    <w:pPr>
      <w:ind w:firstLine="0"/>
    </w:pPr>
  </w:style>
  <w:style w:type="paragraph" w:styleId="ListNumber3">
    <w:name w:val="List Number 3"/>
    <w:basedOn w:val="List3"/>
    <w:rsid w:val="00A06B74"/>
    <w:pPr>
      <w:numPr>
        <w:numId w:val="3"/>
      </w:numPr>
    </w:pPr>
  </w:style>
  <w:style w:type="paragraph" w:styleId="ListNumber4">
    <w:name w:val="List Number 4"/>
    <w:basedOn w:val="List4"/>
    <w:rsid w:val="00A06B74"/>
    <w:pPr>
      <w:numPr>
        <w:numId w:val="4"/>
      </w:numPr>
    </w:pPr>
  </w:style>
  <w:style w:type="paragraph" w:styleId="ListNumber5">
    <w:name w:val="List Number 5"/>
    <w:basedOn w:val="List5"/>
    <w:rsid w:val="00A06B74"/>
    <w:pPr>
      <w:numPr>
        <w:numId w:val="5"/>
      </w:numPr>
    </w:pPr>
  </w:style>
  <w:style w:type="paragraph" w:styleId="BlockText">
    <w:name w:val="Block Text"/>
    <w:basedOn w:val="Normal"/>
    <w:rsid w:val="00A06B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6B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6B74"/>
    <w:rPr>
      <w:sz w:val="16"/>
      <w:vertAlign w:val="superscript"/>
    </w:rPr>
  </w:style>
  <w:style w:type="character" w:customStyle="1" w:styleId="Symbols">
    <w:name w:val="Symbols"/>
    <w:basedOn w:val="DefaultParagraphFont"/>
    <w:rsid w:val="00A06B74"/>
    <w:rPr>
      <w:rFonts w:ascii="Symbol" w:hAnsi="Symbol"/>
    </w:rPr>
  </w:style>
  <w:style w:type="character" w:customStyle="1" w:styleId="MenuOptions">
    <w:name w:val="Menu Options"/>
    <w:basedOn w:val="DefaultParagraphFont"/>
    <w:rsid w:val="00A06B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6B74"/>
    <w:rPr>
      <w:b/>
    </w:rPr>
  </w:style>
  <w:style w:type="character" w:customStyle="1" w:styleId="Underlined">
    <w:name w:val="Underlined"/>
    <w:basedOn w:val="DefaultParagraphFont"/>
    <w:rsid w:val="00A06B74"/>
    <w:rPr>
      <w:u w:val="single"/>
    </w:rPr>
  </w:style>
  <w:style w:type="paragraph" w:customStyle="1" w:styleId="TableBodyTextRight">
    <w:name w:val="Table Body Text Right"/>
    <w:basedOn w:val="TableBodyText"/>
    <w:rsid w:val="00A06B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6B74"/>
    <w:rPr>
      <w:sz w:val="18"/>
    </w:rPr>
  </w:style>
  <w:style w:type="paragraph" w:customStyle="1" w:styleId="BodySmallRight">
    <w:name w:val="Body Small Right"/>
    <w:basedOn w:val="BodyTextRight"/>
    <w:rsid w:val="00A06B74"/>
    <w:rPr>
      <w:sz w:val="18"/>
      <w:szCs w:val="18"/>
    </w:rPr>
  </w:style>
  <w:style w:type="paragraph" w:customStyle="1" w:styleId="MarginEdition">
    <w:name w:val="Margin Edition"/>
    <w:basedOn w:val="MarginNote"/>
    <w:rsid w:val="00A06B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6B74"/>
    <w:rPr>
      <w:sz w:val="2"/>
      <w:szCs w:val="2"/>
    </w:rPr>
  </w:style>
  <w:style w:type="character" w:customStyle="1" w:styleId="Small">
    <w:name w:val="Small"/>
    <w:basedOn w:val="DefaultParagraphFont"/>
    <w:rsid w:val="00A06B74"/>
    <w:rPr>
      <w:sz w:val="16"/>
    </w:rPr>
  </w:style>
  <w:style w:type="paragraph" w:customStyle="1" w:styleId="WideTable">
    <w:name w:val="Wide Table"/>
    <w:basedOn w:val="Normal"/>
    <w:rsid w:val="00A06B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6B74"/>
  </w:style>
  <w:style w:type="paragraph" w:styleId="Quote">
    <w:name w:val="Quote"/>
    <w:basedOn w:val="Heading1"/>
    <w:link w:val="QuoteChar"/>
    <w:qFormat/>
    <w:rsid w:val="00A06B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6B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6B74"/>
    <w:pPr>
      <w:pageBreakBefore/>
    </w:pPr>
  </w:style>
  <w:style w:type="paragraph" w:customStyle="1" w:styleId="Border">
    <w:name w:val="Border"/>
    <w:basedOn w:val="Normal"/>
    <w:qFormat/>
    <w:rsid w:val="00A06B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6B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6B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6B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6B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6B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6B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6B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6B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6B74"/>
    <w:rPr>
      <w:u w:val="single"/>
    </w:rPr>
  </w:style>
  <w:style w:type="character" w:customStyle="1" w:styleId="BoldandItalics">
    <w:name w:val="Bold and Italics"/>
    <w:qFormat/>
    <w:rsid w:val="00A06B74"/>
    <w:rPr>
      <w:b/>
      <w:i/>
      <w:u w:val="none"/>
    </w:rPr>
  </w:style>
  <w:style w:type="paragraph" w:styleId="BalloonText">
    <w:name w:val="Balloon Text"/>
    <w:basedOn w:val="Normal"/>
    <w:link w:val="BalloonTextChar"/>
    <w:rsid w:val="00A06B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6B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6B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6B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6B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6B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6B74"/>
    <w:pPr>
      <w:spacing w:before="0" w:after="0"/>
    </w:pPr>
  </w:style>
  <w:style w:type="paragraph" w:customStyle="1" w:styleId="BodyTextBold">
    <w:name w:val="Body Text Bold"/>
    <w:basedOn w:val="BodyText"/>
    <w:qFormat/>
    <w:rsid w:val="00A06B74"/>
    <w:rPr>
      <w:b/>
    </w:rPr>
  </w:style>
  <w:style w:type="character" w:styleId="Hyperlink">
    <w:name w:val="Hyperlink"/>
    <w:basedOn w:val="DefaultParagraphFont"/>
    <w:uiPriority w:val="99"/>
    <w:unhideWhenUsed/>
    <w:rsid w:val="00674A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363</Words>
  <Characters>2323</Characters>
  <Application>Microsoft Office Word</Application>
  <DocSecurity>0</DocSecurity>
  <Lines>105</Lines>
  <Paragraphs>67</Paragraphs>
  <ScaleCrop>false</ScaleCrop>
  <Company>Author-it Software Corporation Ltd.</Company>
  <LinksUpToDate>false</LinksUpToDate>
  <CharactersWithSpaces>2619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TLIA2011 Package goods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2024-11-07T11:38:00Z</dcterms:created>
  <dcterms:modified xsi:type="dcterms:W3CDTF">2024-11-07T11:38:00Z</dcterms:modified>
</cp:coreProperties>
</file>