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8AE" w:rsidP="007368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TLIA0027 Consolidate freight</w:t>
      </w:r>
      <w:r>
        <w:fldChar w:fldCharType="end"/>
      </w:r>
    </w:p>
    <w:p w:rsidR="007368AE" w:rsidP="007368AE">
      <w:pPr>
        <w:pStyle w:val="Version"/>
        <w:sectPr w:rsidSect="007D5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E90" w:rsidP="007D5E90">
      <w:pPr>
        <w:pStyle w:val="SuperHeading"/>
      </w:pPr>
      <w:r w:rsidRPr="007D5E90">
        <w:t>Assessment Requirements for TLIA0027 Consolidate freight</w:t>
      </w:r>
    </w:p>
    <w:p w:rsidR="00000000" w:rsidRPr="007D5E90" w:rsidP="007D5E90">
      <w:pPr>
        <w:pStyle w:val="Heading1"/>
      </w:pPr>
      <w:bookmarkStart w:id="1" w:name="O_1190393"/>
      <w:bookmarkEnd w:id="1"/>
      <w:r w:rsidRPr="007D5E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E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90" w:rsidP="007D5E90">
            <w:pPr>
              <w:pStyle w:val="BodyText"/>
            </w:pPr>
            <w:r w:rsidRPr="007D5E90">
              <w:rPr>
                <w:rStyle w:val="SpecialBold"/>
              </w:rPr>
              <w:t>Release 1.</w:t>
            </w:r>
            <w:r w:rsidRPr="007D5E90">
              <w:t xml:space="preserve"> This is the first release of this unit of competency in the TLI Transport and Logistics Training Package.</w:t>
            </w:r>
          </w:p>
        </w:tc>
      </w:tr>
    </w:tbl>
    <w:p w:rsidR="007368AE" w:rsidP="007D5E90">
      <w:pPr>
        <w:pStyle w:val="NoPaddingFontSize1"/>
      </w:pPr>
    </w:p>
    <w:p w:rsidR="007368AE" w:rsidP="007D5E90">
      <w:pPr>
        <w:pStyle w:val="NoPaddingFontSize1"/>
      </w:pPr>
    </w:p>
    <w:p w:rsidR="00000000" w:rsidRPr="007D5E90" w:rsidP="007D5E90">
      <w:pPr>
        <w:pStyle w:val="Heading1"/>
      </w:pPr>
      <w:bookmarkStart w:id="2" w:name="O_1190394"/>
      <w:bookmarkEnd w:id="2"/>
      <w:r w:rsidRPr="007D5E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E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90">
            <w:pPr>
              <w:pStyle w:val="BodyText"/>
              <w:rPr>
                <w:lang w:val="en-NZ"/>
              </w:rPr>
            </w:pPr>
            <w:r w:rsidRPr="007D5E90">
              <w:t xml:space="preserve">Evidence required to demonstrate competence in this unit </w:t>
            </w:r>
            <w:r w:rsidRPr="007D5E90">
              <w:t>must be relevant to and satisfy all the requirements of the elements and performance criteria on at least one occasion and include:</w:t>
            </w:r>
          </w:p>
        </w:tc>
      </w:tr>
      <w:tr w:rsidTr="007D5E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90" w:rsidP="007D5E90">
            <w:pPr>
              <w:pStyle w:val="ListBullet"/>
            </w:pPr>
            <w:r w:rsidRPr="007D5E90">
              <w:t>applying precautions and required action to minimise, control or eliminate identified hazards</w:t>
            </w:r>
          </w:p>
          <w:p w:rsidR="00000000" w:rsidRPr="007D5E90" w:rsidP="007D5E90">
            <w:pPr>
              <w:pStyle w:val="ListBullet"/>
            </w:pPr>
            <w:r w:rsidRPr="007D5E90">
              <w:t>applying relevant legislation and workplace procedures, including chain of responsibility</w:t>
            </w:r>
          </w:p>
          <w:p w:rsidR="00000000" w:rsidRPr="007D5E90" w:rsidP="007D5E90">
            <w:pPr>
              <w:pStyle w:val="ListBullet"/>
            </w:pPr>
            <w:r w:rsidRPr="007D5E90">
              <w:t xml:space="preserve">communicating and working effectively with others </w:t>
            </w:r>
          </w:p>
          <w:p w:rsidR="00000000" w:rsidRPr="007D5E90" w:rsidP="007D5E90">
            <w:pPr>
              <w:pStyle w:val="ListBullet"/>
            </w:pPr>
            <w:r w:rsidRPr="007D5E90">
              <w:t>completing required documentation</w:t>
            </w:r>
          </w:p>
          <w:p w:rsidR="00000000" w:rsidRPr="007D5E90" w:rsidP="007D5E90">
            <w:pPr>
              <w:pStyle w:val="ListBullet"/>
            </w:pPr>
            <w:r w:rsidRPr="007D5E90">
              <w:t xml:space="preserve">modifying activities depending on operational contingencies, risk situations and </w:t>
            </w:r>
            <w:r w:rsidRPr="007D5E90">
              <w:t>environments</w:t>
            </w:r>
          </w:p>
          <w:p w:rsidR="00000000" w:rsidRPr="007D5E90" w:rsidP="007D5E90">
            <w:pPr>
              <w:pStyle w:val="ListBullet"/>
            </w:pPr>
            <w:r w:rsidRPr="007D5E90">
              <w:t>monitoring work activities in terms of planned schedule</w:t>
            </w:r>
          </w:p>
          <w:p w:rsidR="00000000" w:rsidRPr="007D5E90" w:rsidP="007D5E90">
            <w:pPr>
              <w:pStyle w:val="ListBullet"/>
            </w:pPr>
            <w:r w:rsidRPr="007D5E90">
              <w:t>operating and adapting to differences in freight and equipment in accordance with workplace procedures</w:t>
            </w:r>
          </w:p>
          <w:p w:rsidR="00000000" w:rsidRPr="007D5E90" w:rsidP="007D5E90">
            <w:pPr>
              <w:pStyle w:val="ListBullet"/>
            </w:pPr>
            <w:r w:rsidRPr="007D5E90">
              <w:t>reading, interpreting and following relevant instructions, procedures, information a</w:t>
            </w:r>
            <w:r w:rsidRPr="007D5E90">
              <w:t xml:space="preserve">nd signs </w:t>
            </w:r>
          </w:p>
          <w:p w:rsidR="00000000" w:rsidRPr="007D5E90" w:rsidP="007D5E90">
            <w:pPr>
              <w:pStyle w:val="ListBullet"/>
            </w:pPr>
            <w:r w:rsidRPr="007D5E90">
              <w:t xml:space="preserve">selecting and using required available technological equipment </w:t>
            </w:r>
          </w:p>
          <w:p w:rsidR="00000000" w:rsidRPr="007D5E90" w:rsidP="007D5E90">
            <w:pPr>
              <w:pStyle w:val="ListBullet"/>
            </w:pPr>
            <w:r w:rsidRPr="007D5E90">
              <w:t>working systematically with required attention to detail without injury to self or others, or damage to goods or equipment.</w:t>
            </w:r>
          </w:p>
        </w:tc>
      </w:tr>
    </w:tbl>
    <w:p w:rsidR="00000000" w:rsidRPr="007D5E90" w:rsidP="007D5E90">
      <w:pPr>
        <w:pStyle w:val="NoPaddingFontSize1"/>
      </w:pPr>
    </w:p>
    <w:p w:rsidR="00000000" w:rsidRPr="007D5E90" w:rsidP="007D5E90">
      <w:pPr>
        <w:pStyle w:val="AllowPageBreak"/>
      </w:pPr>
    </w:p>
    <w:p w:rsidR="00000000" w:rsidRPr="007D5E90" w:rsidP="007D5E90">
      <w:pPr>
        <w:pStyle w:val="Heading1"/>
      </w:pPr>
      <w:bookmarkStart w:id="3" w:name="O_1190395"/>
      <w:bookmarkEnd w:id="3"/>
      <w:r w:rsidRPr="007D5E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E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E90">
            <w:pPr>
              <w:pStyle w:val="BodyText"/>
              <w:rPr>
                <w:lang w:val="en-NZ"/>
              </w:rPr>
            </w:pPr>
            <w:r w:rsidRPr="007D5E90">
              <w:t xml:space="preserve">Evidence required </w:t>
            </w:r>
            <w:r w:rsidRPr="007D5E90">
              <w:t>to demonstrate competence in this unit must be relevant to and satisfy all the requirements of the elements and performance criteria, include knowledge of:</w:t>
            </w:r>
          </w:p>
        </w:tc>
      </w:tr>
      <w:tr w:rsidTr="007D5E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90" w:rsidP="007D5E90">
            <w:pPr>
              <w:pStyle w:val="ListBullet"/>
            </w:pPr>
            <w:r w:rsidRPr="007D5E90">
              <w:t>capacity and capability of different transport modes</w:t>
            </w:r>
          </w:p>
          <w:p w:rsidR="00000000" w:rsidRPr="007D5E90" w:rsidP="007D5E90">
            <w:pPr>
              <w:pStyle w:val="ListBullet"/>
            </w:pPr>
            <w:r w:rsidRPr="007D5E90">
              <w:t>communication protocols</w:t>
            </w:r>
          </w:p>
          <w:p w:rsidR="00000000" w:rsidRPr="007D5E90" w:rsidP="007D5E90">
            <w:pPr>
              <w:pStyle w:val="ListBullet"/>
            </w:pPr>
            <w:r w:rsidRPr="007D5E90">
              <w:t>problems that may occur and appropriate action that can be taken</w:t>
            </w:r>
          </w:p>
          <w:p w:rsidR="00000000" w:rsidRPr="007D5E90" w:rsidP="007D5E90">
            <w:pPr>
              <w:pStyle w:val="ListBullet"/>
            </w:pPr>
            <w:r w:rsidRPr="007D5E90">
              <w:t>procedures for planning freight loading, including:</w:t>
            </w:r>
          </w:p>
          <w:p w:rsidR="00000000" w:rsidRPr="007D5E90" w:rsidP="007D5E90">
            <w:pPr>
              <w:pStyle w:val="ListBullet2"/>
            </w:pPr>
            <w:r w:rsidRPr="007D5E90">
              <w:t>allowing for ease of inspection to meet delivery and customer requirements</w:t>
            </w:r>
          </w:p>
          <w:p w:rsidR="00000000" w:rsidRPr="007D5E90" w:rsidP="007D5E90">
            <w:pPr>
              <w:pStyle w:val="ListBullet2"/>
            </w:pPr>
            <w:r w:rsidRPr="007D5E90">
              <w:t>chain of responsibility</w:t>
            </w:r>
          </w:p>
          <w:p w:rsidR="00000000" w:rsidRPr="007D5E90" w:rsidP="007D5E90">
            <w:pPr>
              <w:pStyle w:val="ListBullet2"/>
            </w:pPr>
            <w:r w:rsidRPr="007D5E90">
              <w:t>planning available space efficiently</w:t>
            </w:r>
          </w:p>
          <w:p w:rsidR="00000000" w:rsidRPr="007D5E90" w:rsidP="007D5E90">
            <w:pPr>
              <w:pStyle w:val="ListBullet2"/>
            </w:pPr>
            <w:r w:rsidRPr="007D5E90">
              <w:t>pl</w:t>
            </w:r>
            <w:r w:rsidRPr="007D5E90">
              <w:t>anning consolidation to ensure no damage to contents</w:t>
            </w:r>
          </w:p>
          <w:p w:rsidR="00000000" w:rsidRPr="007D5E90" w:rsidP="007D5E90">
            <w:pPr>
              <w:pStyle w:val="ListBullet2"/>
            </w:pPr>
            <w:r w:rsidRPr="007D5E90">
              <w:t>understanding weight and volume of freight and consolidation requirements</w:t>
            </w:r>
          </w:p>
          <w:p w:rsidR="00000000" w:rsidRPr="007D5E90" w:rsidP="007D5E90">
            <w:pPr>
              <w:pStyle w:val="ListBullet"/>
            </w:pPr>
            <w:r w:rsidRPr="007D5E90">
              <w:t>procedures for calculating volumes and dimensions</w:t>
            </w:r>
          </w:p>
          <w:p w:rsidR="00000000" w:rsidRPr="007D5E90" w:rsidP="007D5E90">
            <w:pPr>
              <w:pStyle w:val="ListBullet"/>
            </w:pPr>
            <w:r w:rsidRPr="007D5E90">
              <w:t>procedures for completing consignment documentation</w:t>
            </w:r>
          </w:p>
          <w:p w:rsidR="00000000" w:rsidRPr="007D5E90" w:rsidP="007D5E90">
            <w:pPr>
              <w:pStyle w:val="ListBullet"/>
            </w:pPr>
            <w:r w:rsidRPr="007D5E90">
              <w:t>procedures for identifying and evaluating information needed to facilitate freight consolidation</w:t>
            </w:r>
          </w:p>
          <w:p w:rsidR="00000000" w:rsidRPr="007D5E90" w:rsidP="007D5E90">
            <w:pPr>
              <w:pStyle w:val="ListBullet"/>
            </w:pPr>
            <w:r w:rsidRPr="007D5E90">
              <w:t>relevant codes of practice and legislative requirements, including local and international freight regulations</w:t>
            </w:r>
          </w:p>
          <w:p w:rsidR="00000000" w:rsidRPr="007D5E90" w:rsidP="007D5E90">
            <w:pPr>
              <w:pStyle w:val="ListBullet"/>
            </w:pPr>
            <w:r w:rsidRPr="007D5E90">
              <w:t>relevant work health and safety (WHS)/occupation</w:t>
            </w:r>
            <w:r w:rsidRPr="007D5E90">
              <w:t>al health and safety (OHS), environmental and chain of responsibility procedures and regulations</w:t>
            </w:r>
          </w:p>
          <w:p w:rsidR="00000000" w:rsidRPr="007D5E90" w:rsidP="007D5E90">
            <w:pPr>
              <w:pStyle w:val="ListBullet"/>
            </w:pPr>
            <w:r w:rsidRPr="007D5E90">
              <w:t>sources of information and documentation for consolidating freight.</w:t>
            </w:r>
          </w:p>
        </w:tc>
      </w:tr>
    </w:tbl>
    <w:p w:rsidR="00000000" w:rsidRPr="007D5E90" w:rsidP="007D5E90">
      <w:pPr>
        <w:pStyle w:val="NoPaddingFontSize1"/>
      </w:pPr>
    </w:p>
    <w:p w:rsidR="00000000" w:rsidRPr="007D5E90" w:rsidP="007D5E90">
      <w:pPr>
        <w:pStyle w:val="AllowPageBreak"/>
      </w:pPr>
    </w:p>
    <w:p w:rsidR="00000000" w:rsidRPr="007D5E90" w:rsidP="007D5E90">
      <w:pPr>
        <w:pStyle w:val="Heading1"/>
      </w:pPr>
      <w:bookmarkStart w:id="4" w:name="O_1190396"/>
      <w:bookmarkEnd w:id="4"/>
      <w:r w:rsidRPr="007D5E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5E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E90" w:rsidP="007D5E90">
            <w:pPr>
              <w:pStyle w:val="BodyText"/>
            </w:pPr>
            <w:r w:rsidRPr="007D5E90">
              <w:t xml:space="preserve">Assessors must hold credentials specified within the Standards for Registered Training Organisations current at the time of assessment. </w:t>
            </w:r>
          </w:p>
          <w:p w:rsidR="00000000" w:rsidRPr="007D5E90" w:rsidP="007D5E90">
            <w:pPr>
              <w:pStyle w:val="BodyText"/>
            </w:pPr>
            <w:r w:rsidRPr="007D5E90">
              <w:t>Assessment must satisfy the Principles of Assessment and Rules of Evidence and all regulatory requirements included wit</w:t>
            </w:r>
            <w:r w:rsidRPr="007D5E90">
              <w:t>hin the Standards for Registered Training Organisations current at the time of assessment.</w:t>
            </w:r>
          </w:p>
          <w:p w:rsidR="00000000" w:rsidRPr="007D5E90" w:rsidP="007D5E90">
            <w:pPr>
              <w:pStyle w:val="BodyText"/>
            </w:pPr>
            <w:r w:rsidRPr="007D5E90">
              <w:t>Assessment must occur in workplace operational situations where it is appropriate to do so; where this is not appropriate, assessment must occur in simulated workpla</w:t>
            </w:r>
            <w:r w:rsidRPr="007D5E90">
              <w:t>ce operational situations that replicate workplace conditions.</w:t>
            </w:r>
          </w:p>
          <w:p w:rsidR="00000000" w:rsidRPr="007D5E90" w:rsidP="007D5E90">
            <w:pPr>
              <w:pStyle w:val="BodyText"/>
            </w:pPr>
            <w:r w:rsidRPr="007D5E9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D5E90" w:rsidP="007D5E90">
            <w:pPr>
              <w:pStyle w:val="BodyText"/>
            </w:pPr>
            <w:r w:rsidRPr="007D5E90">
              <w:t xml:space="preserve">Resources for assessment </w:t>
            </w:r>
            <w:r w:rsidRPr="007D5E90">
              <w:t>must include access to:</w:t>
            </w:r>
          </w:p>
          <w:p w:rsidR="00000000" w:rsidRPr="007D5E90" w:rsidP="007D5E90">
            <w:pPr>
              <w:pStyle w:val="ListBullet"/>
            </w:pPr>
            <w:r w:rsidRPr="007D5E90">
              <w:t>a range of relevant exercises, case studies and/or simulations</w:t>
            </w:r>
          </w:p>
          <w:p w:rsidR="00000000" w:rsidRPr="007D5E90" w:rsidP="007D5E90">
            <w:pPr>
              <w:pStyle w:val="ListBullet"/>
            </w:pPr>
            <w:r w:rsidRPr="007D5E90">
              <w:t>relevant and appropriate materials, tools, equipment and personal protective equipment (PPE) currently used in industry</w:t>
            </w:r>
          </w:p>
          <w:p w:rsidR="00000000" w:rsidRPr="007D5E90" w:rsidP="007D5E90">
            <w:pPr>
              <w:pStyle w:val="ListBullet"/>
            </w:pPr>
            <w:r w:rsidRPr="007D5E90">
              <w:t>applicable documentation, including legislation,</w:t>
            </w:r>
            <w:r w:rsidRPr="007D5E90">
              <w:t xml:space="preserve"> regulations, codes of practice, workplace procedures and operation manuals.</w:t>
            </w:r>
          </w:p>
        </w:tc>
      </w:tr>
    </w:tbl>
    <w:p w:rsidR="00000000" w:rsidRPr="007D5E90" w:rsidP="007D5E90">
      <w:pPr>
        <w:pStyle w:val="NoPaddingFontSize1"/>
      </w:pPr>
    </w:p>
    <w:p w:rsidR="00000000" w:rsidRPr="007D5E90" w:rsidP="007D5E90">
      <w:pPr>
        <w:pStyle w:val="AllowPageBreak"/>
      </w:pPr>
    </w:p>
    <w:p w:rsidR="00000000" w:rsidRPr="007D5E90" w:rsidP="007D5E90">
      <w:pPr>
        <w:pStyle w:val="Heading1"/>
      </w:pPr>
      <w:bookmarkStart w:id="5" w:name="O_1190399"/>
      <w:bookmarkEnd w:id="5"/>
      <w:r w:rsidRPr="007D5E90">
        <w:t>Links</w:t>
      </w:r>
    </w:p>
    <w:p w:rsidR="00000000" w:rsidRPr="007D5E90" w:rsidP="007368AE">
      <w:pPr>
        <w:pStyle w:val="BodyText"/>
      </w:pPr>
      <w:r w:rsidRPr="007D5E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0C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D5E90" w:rsidP="007D5E90"/>
    <w:sectPr w:rsidSect="007D5E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90" w:rsidRPr="007368AE" w:rsidP="007368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E" w:rsidP="007D5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68AE" w:rsidP="007D5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368AE" w:rsidP="007D5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E90" w:rsidRPr="007368AE" w:rsidP="007368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AE" w:rsidRPr="002D2AF8" w:rsidP="007D5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TLIA0027 Consolidate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368AE" w:rsidP="007D5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96C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983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CFC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E90"/>
  </w:style>
  <w:style w:type="character" w:customStyle="1" w:styleId="Heading1Char">
    <w:name w:val="Heading 1 Char"/>
    <w:basedOn w:val="DefaultParagraphFont"/>
    <w:link w:val="Heading1"/>
    <w:rsid w:val="007D5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E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E90"/>
    <w:rPr>
      <w:b/>
      <w:spacing w:val="0"/>
    </w:rPr>
  </w:style>
  <w:style w:type="paragraph" w:styleId="ListBullet2">
    <w:name w:val="List Bullet 2"/>
    <w:basedOn w:val="List2"/>
    <w:rsid w:val="007D5E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5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E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E90"/>
    <w:rPr>
      <w:i/>
    </w:rPr>
  </w:style>
  <w:style w:type="paragraph" w:styleId="Caption">
    <w:name w:val="caption"/>
    <w:basedOn w:val="BodyText"/>
    <w:next w:val="Normal"/>
    <w:qFormat/>
    <w:rsid w:val="007D5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E90"/>
  </w:style>
  <w:style w:type="paragraph" w:styleId="TableofFigures">
    <w:name w:val="table of figures"/>
    <w:basedOn w:val="Normal"/>
    <w:next w:val="Normal"/>
    <w:semiHidden/>
    <w:rsid w:val="007D5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E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5E90"/>
    <w:rPr>
      <w:rFonts w:ascii="Wingdings" w:hAnsi="Wingdings"/>
    </w:rPr>
  </w:style>
  <w:style w:type="paragraph" w:customStyle="1" w:styleId="TableHeading">
    <w:name w:val="Table Heading"/>
    <w:basedOn w:val="HeadingBase"/>
    <w:rsid w:val="007D5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E90"/>
    <w:rPr>
      <w:color w:val="0033CC"/>
      <w:u w:val="none"/>
    </w:rPr>
  </w:style>
  <w:style w:type="paragraph" w:customStyle="1" w:styleId="BodyTextRight">
    <w:name w:val="Body Text Right"/>
    <w:basedOn w:val="BodyText"/>
    <w:rsid w:val="007D5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E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E90"/>
    <w:rPr>
      <w:sz w:val="32"/>
    </w:rPr>
  </w:style>
  <w:style w:type="paragraph" w:customStyle="1" w:styleId="HeadingProcedure">
    <w:name w:val="Heading Procedure"/>
    <w:basedOn w:val="HeadingBase"/>
    <w:next w:val="Normal"/>
    <w:rsid w:val="007D5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E90"/>
    <w:pPr>
      <w:spacing w:before="60" w:after="60"/>
    </w:pPr>
  </w:style>
  <w:style w:type="paragraph" w:styleId="ListContinue">
    <w:name w:val="List Continue"/>
    <w:basedOn w:val="List"/>
    <w:rsid w:val="007D5E90"/>
    <w:pPr>
      <w:ind w:firstLine="0"/>
    </w:pPr>
  </w:style>
  <w:style w:type="paragraph" w:customStyle="1" w:styleId="ListNote">
    <w:name w:val="List Note"/>
    <w:basedOn w:val="List"/>
    <w:rsid w:val="007D5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E90"/>
    <w:rPr>
      <w:rFonts w:ascii="Courier New" w:hAnsi="Courier New"/>
    </w:rPr>
  </w:style>
  <w:style w:type="paragraph" w:customStyle="1" w:styleId="NoteBullet">
    <w:name w:val="Note Bullet"/>
    <w:basedOn w:val="Note"/>
    <w:rsid w:val="007D5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E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5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E90"/>
    <w:rPr>
      <w:b/>
      <w:smallCaps/>
    </w:rPr>
  </w:style>
  <w:style w:type="paragraph" w:customStyle="1" w:styleId="TableListNumber">
    <w:name w:val="Table List Number"/>
    <w:basedOn w:val="ListNumber"/>
    <w:rsid w:val="007D5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E90"/>
    <w:pPr>
      <w:numPr>
        <w:numId w:val="9"/>
      </w:numPr>
    </w:pPr>
  </w:style>
  <w:style w:type="paragraph" w:customStyle="1" w:styleId="ListAlpha2">
    <w:name w:val="List Alpha 2"/>
    <w:basedOn w:val="List2"/>
    <w:rsid w:val="007D5E90"/>
    <w:pPr>
      <w:numPr>
        <w:numId w:val="8"/>
      </w:numPr>
    </w:pPr>
  </w:style>
  <w:style w:type="paragraph" w:styleId="List2">
    <w:name w:val="List 2"/>
    <w:basedOn w:val="BodyText"/>
    <w:rsid w:val="007D5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E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E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E90"/>
    <w:pPr>
      <w:numPr>
        <w:numId w:val="4"/>
      </w:numPr>
    </w:pPr>
  </w:style>
  <w:style w:type="paragraph" w:styleId="ListContinue2">
    <w:name w:val="List Continue 2"/>
    <w:basedOn w:val="List2"/>
    <w:rsid w:val="007D5E90"/>
    <w:pPr>
      <w:ind w:firstLine="0"/>
    </w:pPr>
  </w:style>
  <w:style w:type="paragraph" w:styleId="ListContinue3">
    <w:name w:val="List Continue 3"/>
    <w:basedOn w:val="List3"/>
    <w:rsid w:val="007D5E90"/>
    <w:pPr>
      <w:ind w:left="1021" w:firstLine="0"/>
    </w:pPr>
  </w:style>
  <w:style w:type="paragraph" w:styleId="ListContinue4">
    <w:name w:val="List Continue 4"/>
    <w:basedOn w:val="List4"/>
    <w:rsid w:val="007D5E90"/>
    <w:pPr>
      <w:ind w:firstLine="0"/>
    </w:pPr>
  </w:style>
  <w:style w:type="paragraph" w:styleId="ListContinue5">
    <w:name w:val="List Continue 5"/>
    <w:basedOn w:val="List5"/>
    <w:rsid w:val="007D5E90"/>
    <w:pPr>
      <w:ind w:firstLine="0"/>
    </w:pPr>
  </w:style>
  <w:style w:type="paragraph" w:styleId="ListNumber3">
    <w:name w:val="List Number 3"/>
    <w:basedOn w:val="List3"/>
    <w:rsid w:val="007D5E90"/>
    <w:pPr>
      <w:numPr>
        <w:numId w:val="5"/>
      </w:numPr>
    </w:pPr>
  </w:style>
  <w:style w:type="paragraph" w:styleId="ListNumber4">
    <w:name w:val="List Number 4"/>
    <w:basedOn w:val="List4"/>
    <w:rsid w:val="007D5E90"/>
    <w:pPr>
      <w:numPr>
        <w:numId w:val="6"/>
      </w:numPr>
    </w:pPr>
  </w:style>
  <w:style w:type="paragraph" w:styleId="ListNumber5">
    <w:name w:val="List Number 5"/>
    <w:basedOn w:val="List5"/>
    <w:rsid w:val="007D5E90"/>
    <w:pPr>
      <w:numPr>
        <w:numId w:val="7"/>
      </w:numPr>
    </w:pPr>
  </w:style>
  <w:style w:type="paragraph" w:styleId="BlockText">
    <w:name w:val="Block Text"/>
    <w:basedOn w:val="Normal"/>
    <w:rsid w:val="007D5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E90"/>
    <w:rPr>
      <w:sz w:val="16"/>
      <w:vertAlign w:val="superscript"/>
    </w:rPr>
  </w:style>
  <w:style w:type="character" w:customStyle="1" w:styleId="Symbols">
    <w:name w:val="Symbols"/>
    <w:basedOn w:val="DefaultParagraphFont"/>
    <w:rsid w:val="007D5E90"/>
    <w:rPr>
      <w:rFonts w:ascii="Symbol" w:hAnsi="Symbol"/>
    </w:rPr>
  </w:style>
  <w:style w:type="character" w:customStyle="1" w:styleId="MenuOptions">
    <w:name w:val="Menu Options"/>
    <w:basedOn w:val="DefaultParagraphFont"/>
    <w:rsid w:val="007D5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E90"/>
    <w:rPr>
      <w:b/>
    </w:rPr>
  </w:style>
  <w:style w:type="character" w:customStyle="1" w:styleId="Underlined">
    <w:name w:val="Underlined"/>
    <w:basedOn w:val="DefaultParagraphFont"/>
    <w:rsid w:val="007D5E90"/>
    <w:rPr>
      <w:u w:val="single"/>
    </w:rPr>
  </w:style>
  <w:style w:type="paragraph" w:customStyle="1" w:styleId="TableBodyTextRight">
    <w:name w:val="Table Body Text Right"/>
    <w:basedOn w:val="TableBodyText"/>
    <w:rsid w:val="007D5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E90"/>
    <w:rPr>
      <w:sz w:val="18"/>
    </w:rPr>
  </w:style>
  <w:style w:type="paragraph" w:customStyle="1" w:styleId="BodySmallRight">
    <w:name w:val="Body Small Right"/>
    <w:basedOn w:val="BodyTextRight"/>
    <w:rsid w:val="007D5E90"/>
    <w:rPr>
      <w:sz w:val="18"/>
      <w:szCs w:val="18"/>
    </w:rPr>
  </w:style>
  <w:style w:type="paragraph" w:customStyle="1" w:styleId="MarginEdition">
    <w:name w:val="Margin Edition"/>
    <w:basedOn w:val="MarginNote"/>
    <w:rsid w:val="007D5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E90"/>
    <w:rPr>
      <w:sz w:val="2"/>
      <w:szCs w:val="2"/>
    </w:rPr>
  </w:style>
  <w:style w:type="character" w:customStyle="1" w:styleId="Small">
    <w:name w:val="Small"/>
    <w:basedOn w:val="DefaultParagraphFont"/>
    <w:rsid w:val="007D5E90"/>
    <w:rPr>
      <w:sz w:val="16"/>
    </w:rPr>
  </w:style>
  <w:style w:type="paragraph" w:customStyle="1" w:styleId="WideTable">
    <w:name w:val="Wide Table"/>
    <w:basedOn w:val="Normal"/>
    <w:rsid w:val="007D5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E90"/>
  </w:style>
  <w:style w:type="paragraph" w:styleId="Quote">
    <w:name w:val="Quote"/>
    <w:basedOn w:val="Heading1"/>
    <w:link w:val="QuoteChar"/>
    <w:qFormat/>
    <w:rsid w:val="007D5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E90"/>
    <w:pPr>
      <w:pageBreakBefore/>
    </w:pPr>
  </w:style>
  <w:style w:type="paragraph" w:customStyle="1" w:styleId="Border">
    <w:name w:val="Border"/>
    <w:basedOn w:val="Normal"/>
    <w:qFormat/>
    <w:rsid w:val="007D5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E90"/>
    <w:rPr>
      <w:u w:val="single"/>
    </w:rPr>
  </w:style>
  <w:style w:type="character" w:customStyle="1" w:styleId="BoldandItalics">
    <w:name w:val="Bold and Italics"/>
    <w:qFormat/>
    <w:rsid w:val="007D5E90"/>
    <w:rPr>
      <w:b/>
      <w:i/>
      <w:u w:val="none"/>
    </w:rPr>
  </w:style>
  <w:style w:type="paragraph" w:styleId="BalloonText">
    <w:name w:val="Balloon Text"/>
    <w:basedOn w:val="Normal"/>
    <w:link w:val="BalloonTextChar"/>
    <w:rsid w:val="007D5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E90"/>
    <w:pPr>
      <w:spacing w:before="0" w:after="0"/>
    </w:pPr>
  </w:style>
  <w:style w:type="paragraph" w:customStyle="1" w:styleId="BodyTextBold">
    <w:name w:val="Body Text Bold"/>
    <w:basedOn w:val="BodyText"/>
    <w:qFormat/>
    <w:rsid w:val="007D5E90"/>
    <w:rPr>
      <w:b/>
    </w:rPr>
  </w:style>
  <w:style w:type="character" w:styleId="Hyperlink">
    <w:name w:val="Hyperlink"/>
    <w:basedOn w:val="DefaultParagraphFont"/>
    <w:uiPriority w:val="99"/>
    <w:unhideWhenUsed/>
    <w:rsid w:val="007368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3414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TLIA0027 Consolidate freight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