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A6D" w:rsidP="00361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TLIA0023 Receive goods</w:t>
      </w:r>
      <w:r>
        <w:fldChar w:fldCharType="end"/>
      </w:r>
    </w:p>
    <w:p w:rsidR="00361A6D" w:rsidP="00361A6D">
      <w:pPr>
        <w:pStyle w:val="Version"/>
        <w:sectPr w:rsidSect="000C4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08B" w:rsidP="000C408B">
      <w:pPr>
        <w:pStyle w:val="SuperHeading"/>
      </w:pPr>
      <w:r w:rsidRPr="000C408B">
        <w:t>TLIA0023 Receive goods</w:t>
      </w:r>
    </w:p>
    <w:p w:rsidR="00000000" w:rsidRPr="000C408B" w:rsidP="000C408B">
      <w:pPr>
        <w:pStyle w:val="Heading1"/>
      </w:pPr>
      <w:bookmarkStart w:id="1" w:name="O_1118175"/>
      <w:bookmarkEnd w:id="1"/>
      <w:r w:rsidRPr="000C40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Release 1. This is the first release of this unit of competency in the TLI Transport and Logistics Training Package.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2" w:name="O_1118176"/>
      <w:bookmarkEnd w:id="2"/>
      <w:r w:rsidRPr="000C40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This unit involves the skills and knowledge required to receive goods.</w:t>
            </w:r>
          </w:p>
          <w:p w:rsidR="00000000" w:rsidRPr="000C408B" w:rsidP="000C408B">
            <w:pPr>
              <w:pStyle w:val="BodyText"/>
            </w:pPr>
            <w:r w:rsidRPr="000C408B">
              <w:t xml:space="preserve">It includes identifying workplace </w:t>
            </w:r>
            <w:r w:rsidRPr="000C408B">
              <w:t>procedures and documentation requirements for receiving goods; checking and inspecting goods on arrival and completing workplace documentation; and unloading, unpacking and storing stock.</w:t>
            </w:r>
          </w:p>
          <w:p w:rsidR="00000000" w:rsidRPr="000C408B" w:rsidP="000C408B">
            <w:pPr>
              <w:pStyle w:val="BodyText"/>
            </w:pPr>
            <w:r w:rsidRPr="000C408B">
              <w:t>Work is performed under some supervision generally within a team env</w:t>
            </w:r>
            <w:r w:rsidRPr="000C408B">
              <w:t>ironment.</w:t>
            </w:r>
          </w:p>
          <w:p w:rsidR="00000000" w:rsidRPr="000C408B" w:rsidP="000C408B">
            <w:pPr>
              <w:pStyle w:val="BodyText"/>
            </w:pPr>
            <w:r w:rsidRPr="000C408B">
              <w:t>No licensing, legislative or certification requirements apply to this unit at the time of publication.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3" w:name="O_1118177"/>
      <w:bookmarkEnd w:id="3"/>
      <w:r w:rsidRPr="000C40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Not applicable.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4" w:name="O_1118178"/>
      <w:bookmarkEnd w:id="4"/>
      <w:r w:rsidRPr="000C40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A ‒ Handling Cargo/Stock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5" w:name="O_1118179"/>
      <w:bookmarkEnd w:id="5"/>
      <w:r w:rsidRPr="000C40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Not applicable.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6" w:name="O_1118180"/>
      <w:bookmarkEnd w:id="6"/>
      <w:r w:rsidRPr="000C40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02"/>
        <w:gridCol w:w="3284"/>
        <w:gridCol w:w="1372"/>
        <w:gridCol w:w="4239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rPr>
                <w:rStyle w:val="SpecialBold"/>
              </w:rPr>
              <w:t>ELEMENTS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PERFORMANCE CRITERIA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Elements describe the essential outcomes.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Performance criteria describe the performance needed to demonstrate achievement of the element.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rPr>
                <w:rStyle w:val="SpecialBold"/>
              </w:rPr>
              <w:t>1</w:t>
            </w:r>
          </w:p>
        </w:tc>
        <w:tc>
          <w:tcPr>
            <w:tcW w:w="3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rPr>
                <w:rStyle w:val="SpecialBold"/>
              </w:rPr>
              <w:t>Identify workplace procedures and documentation requirements for receiving goods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1.1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Workplace procedures for receiving goods are identified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1.2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Purpose of documents associated with receiving goods is interpreted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1.3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Workplace documentation requirements for receiving goods, including dangerous goods, are identified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1.4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Hazards are identified, risks are assessed and control measures implemented in accordance with workplace procedures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rPr>
                <w:rStyle w:val="SpecialBold"/>
              </w:rPr>
              <w:t>2</w:t>
            </w:r>
          </w:p>
        </w:tc>
        <w:tc>
          <w:tcPr>
            <w:tcW w:w="3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rPr>
                <w:rStyle w:val="SpecialBold"/>
              </w:rPr>
              <w:t>Check and inspect goods on arr</w:t>
            </w:r>
            <w:r w:rsidRPr="000C408B">
              <w:rPr>
                <w:rStyle w:val="SpecialBold"/>
              </w:rPr>
              <w:t>ival and complete workplace documentation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2.1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Procedures for checking goods against orders or manifests are identified and followed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2.2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Discrepancies and damaged goods are reported to relevant personnel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2.3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Non-conforming goods are appropriately documented and despatched or stored in accordance with workplace procedures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rPr>
                <w:rStyle w:val="SpecialBold"/>
              </w:rPr>
              <w:t>3</w:t>
            </w:r>
          </w:p>
        </w:tc>
        <w:tc>
          <w:tcPr>
            <w:tcW w:w="3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rPr>
                <w:rStyle w:val="SpecialBold"/>
              </w:rPr>
              <w:t>Unload, unpack and store stock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3.1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Appropriate manual handling techniques and equipment are identified and used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3.2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Safe work procedures and relevant personal protective equipment (PPE) are used when unloading, unpacking and storing stock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3.3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Appropriate storage locations and requirements for products with specific attributes are identified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3.4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Goods are unloaded and unpacked in accordance with workplace procedures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3.5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t>Assistance is sought from relevant personnel to maintain safe and effective work</w:t>
            </w:r>
          </w:p>
        </w:tc>
      </w:tr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>
            <w:pPr>
              <w:pStyle w:val="BodyText"/>
              <w:keepLines w:val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08B">
            <w:pPr>
              <w:pStyle w:val="BodyText"/>
              <w:rPr>
                <w:lang w:val="en-NZ"/>
              </w:rPr>
            </w:pPr>
            <w:r w:rsidRPr="000C408B">
              <w:rPr>
                <w:rStyle w:val="SpecialBold"/>
              </w:rPr>
              <w:t>3.6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Directions are followed to store stock in appropriate areas</w:t>
            </w:r>
          </w:p>
        </w:tc>
      </w:tr>
    </w:tbl>
    <w:p w:rsidR="00361A6D" w:rsidP="000C408B">
      <w:pPr>
        <w:pStyle w:val="NoPaddingFontSize1"/>
      </w:pPr>
    </w:p>
    <w:p w:rsidR="00361A6D" w:rsidP="000C408B">
      <w:pPr>
        <w:pStyle w:val="NoPaddingFontSize1"/>
      </w:pPr>
    </w:p>
    <w:p w:rsidR="00000000" w:rsidRPr="000C408B" w:rsidP="000C408B">
      <w:pPr>
        <w:pStyle w:val="Heading1"/>
      </w:pPr>
      <w:bookmarkStart w:id="7" w:name="O_1118181"/>
      <w:bookmarkEnd w:id="7"/>
      <w:r w:rsidRPr="000C40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Foundation skills essential to performance are explicit in the performance criteria of this unit of competency.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8" w:name="O_1118182"/>
      <w:bookmarkEnd w:id="8"/>
      <w:r w:rsidRPr="000C40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Range is restricted to essential operating conditions</w:t>
            </w:r>
            <w:r w:rsidRPr="000C408B">
              <w:t xml:space="preserve"> and any other variables essential to the work environment.</w:t>
            </w:r>
          </w:p>
          <w:p w:rsidR="00000000" w:rsidRPr="000C408B" w:rsidP="000C408B">
            <w:pPr>
              <w:pStyle w:val="BodyText"/>
            </w:pPr>
            <w:r w:rsidRPr="000C408B">
              <w:t>Non-essential conditions can be found in the TLI Transport and Logistics Training Package Companion Volume Implementation Guide.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9" w:name="O_1118183"/>
      <w:bookmarkEnd w:id="9"/>
      <w:r w:rsidRPr="000C40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0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08B" w:rsidP="000C408B">
            <w:pPr>
              <w:pStyle w:val="BodyText"/>
            </w:pPr>
            <w:r w:rsidRPr="000C408B">
              <w:t>This unit replaces an</w:t>
            </w:r>
            <w:r w:rsidRPr="000C408B">
              <w:t>d is equivalent to TLIA2013 Receive goods.</w:t>
            </w:r>
          </w:p>
        </w:tc>
      </w:tr>
    </w:tbl>
    <w:p w:rsidR="00000000" w:rsidRPr="000C408B" w:rsidP="000C408B">
      <w:pPr>
        <w:pStyle w:val="NoPaddingFontSize1"/>
      </w:pPr>
    </w:p>
    <w:p w:rsidR="00000000" w:rsidRPr="000C408B" w:rsidP="000C408B">
      <w:pPr>
        <w:pStyle w:val="AllowPageBreak"/>
      </w:pPr>
    </w:p>
    <w:p w:rsidR="00000000" w:rsidRPr="000C408B" w:rsidP="000C408B">
      <w:pPr>
        <w:pStyle w:val="Heading1"/>
      </w:pPr>
      <w:bookmarkStart w:id="10" w:name="O_1118190"/>
      <w:bookmarkEnd w:id="10"/>
      <w:r w:rsidRPr="000C408B">
        <w:t>Links</w:t>
      </w:r>
    </w:p>
    <w:p w:rsidR="00000000" w:rsidRPr="000C408B" w:rsidP="00361A6D">
      <w:pPr>
        <w:pStyle w:val="BodyText"/>
      </w:pPr>
      <w:r w:rsidRPr="000C4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57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408B" w:rsidP="000C408B"/>
    <w:sectPr w:rsidSect="000C4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8B" w:rsidRPr="00361A6D" w:rsidP="00361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6D" w:rsidP="000C4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A6D" w:rsidP="000C4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61A6D" w:rsidP="000C4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08B" w:rsidRPr="00361A6D" w:rsidP="00361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6D" w:rsidRPr="002D2AF8" w:rsidP="000C4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TLIA0023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61A6D" w:rsidP="000C4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08B"/>
  </w:style>
  <w:style w:type="character" w:customStyle="1" w:styleId="Heading1Char">
    <w:name w:val="Heading 1 Char"/>
    <w:basedOn w:val="DefaultParagraphFont"/>
    <w:link w:val="Heading1"/>
    <w:rsid w:val="000C4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0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408B"/>
    <w:rPr>
      <w:b/>
      <w:spacing w:val="0"/>
    </w:rPr>
  </w:style>
  <w:style w:type="paragraph" w:customStyle="1" w:styleId="SuperHeading">
    <w:name w:val="SuperHeading"/>
    <w:basedOn w:val="Normal"/>
    <w:rsid w:val="000C4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4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0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0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4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0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08B"/>
    <w:rPr>
      <w:i/>
    </w:rPr>
  </w:style>
  <w:style w:type="paragraph" w:styleId="Caption">
    <w:name w:val="caption"/>
    <w:basedOn w:val="BodyText"/>
    <w:next w:val="Normal"/>
    <w:qFormat/>
    <w:rsid w:val="000C4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08B"/>
  </w:style>
  <w:style w:type="paragraph" w:styleId="TableofFigures">
    <w:name w:val="table of figures"/>
    <w:basedOn w:val="Normal"/>
    <w:next w:val="Normal"/>
    <w:semiHidden/>
    <w:rsid w:val="000C4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0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408B"/>
    <w:rPr>
      <w:rFonts w:ascii="Wingdings" w:hAnsi="Wingdings"/>
    </w:rPr>
  </w:style>
  <w:style w:type="paragraph" w:customStyle="1" w:styleId="TableHeading">
    <w:name w:val="Table Heading"/>
    <w:basedOn w:val="HeadingBase"/>
    <w:rsid w:val="000C4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08B"/>
    <w:rPr>
      <w:color w:val="0033CC"/>
      <w:u w:val="none"/>
    </w:rPr>
  </w:style>
  <w:style w:type="paragraph" w:customStyle="1" w:styleId="BodyTextRight">
    <w:name w:val="Body Text Right"/>
    <w:basedOn w:val="BodyText"/>
    <w:rsid w:val="000C4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0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08B"/>
    <w:rPr>
      <w:sz w:val="32"/>
    </w:rPr>
  </w:style>
  <w:style w:type="paragraph" w:customStyle="1" w:styleId="HeadingProcedure">
    <w:name w:val="Heading Procedure"/>
    <w:basedOn w:val="HeadingBase"/>
    <w:next w:val="Normal"/>
    <w:rsid w:val="000C4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08B"/>
    <w:pPr>
      <w:spacing w:before="60" w:after="60"/>
    </w:pPr>
  </w:style>
  <w:style w:type="paragraph" w:styleId="ListContinue">
    <w:name w:val="List Continue"/>
    <w:basedOn w:val="List"/>
    <w:rsid w:val="000C408B"/>
    <w:pPr>
      <w:ind w:firstLine="0"/>
    </w:pPr>
  </w:style>
  <w:style w:type="paragraph" w:customStyle="1" w:styleId="ListNote">
    <w:name w:val="List Note"/>
    <w:basedOn w:val="List"/>
    <w:rsid w:val="000C4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08B"/>
    <w:rPr>
      <w:rFonts w:ascii="Courier New" w:hAnsi="Courier New"/>
    </w:rPr>
  </w:style>
  <w:style w:type="paragraph" w:customStyle="1" w:styleId="NoteBullet">
    <w:name w:val="Note Bullet"/>
    <w:basedOn w:val="Note"/>
    <w:rsid w:val="000C4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0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4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08B"/>
    <w:rPr>
      <w:b/>
      <w:smallCaps/>
    </w:rPr>
  </w:style>
  <w:style w:type="paragraph" w:customStyle="1" w:styleId="TableListNumber">
    <w:name w:val="Table List Number"/>
    <w:basedOn w:val="ListNumber"/>
    <w:rsid w:val="000C4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08B"/>
    <w:pPr>
      <w:numPr>
        <w:numId w:val="7"/>
      </w:numPr>
    </w:pPr>
  </w:style>
  <w:style w:type="paragraph" w:customStyle="1" w:styleId="ListAlpha2">
    <w:name w:val="List Alpha 2"/>
    <w:basedOn w:val="List2"/>
    <w:rsid w:val="000C408B"/>
    <w:pPr>
      <w:numPr>
        <w:numId w:val="6"/>
      </w:numPr>
    </w:pPr>
  </w:style>
  <w:style w:type="paragraph" w:styleId="List2">
    <w:name w:val="List 2"/>
    <w:basedOn w:val="BodyText"/>
    <w:rsid w:val="000C4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0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0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408B"/>
    <w:pPr>
      <w:numPr>
        <w:numId w:val="2"/>
      </w:numPr>
    </w:pPr>
  </w:style>
  <w:style w:type="paragraph" w:styleId="ListContinue2">
    <w:name w:val="List Continue 2"/>
    <w:basedOn w:val="List2"/>
    <w:rsid w:val="000C408B"/>
    <w:pPr>
      <w:ind w:firstLine="0"/>
    </w:pPr>
  </w:style>
  <w:style w:type="paragraph" w:styleId="ListContinue3">
    <w:name w:val="List Continue 3"/>
    <w:basedOn w:val="List3"/>
    <w:rsid w:val="000C408B"/>
    <w:pPr>
      <w:ind w:left="1021" w:firstLine="0"/>
    </w:pPr>
  </w:style>
  <w:style w:type="paragraph" w:styleId="ListContinue4">
    <w:name w:val="List Continue 4"/>
    <w:basedOn w:val="List4"/>
    <w:rsid w:val="000C408B"/>
    <w:pPr>
      <w:ind w:firstLine="0"/>
    </w:pPr>
  </w:style>
  <w:style w:type="paragraph" w:styleId="ListContinue5">
    <w:name w:val="List Continue 5"/>
    <w:basedOn w:val="List5"/>
    <w:rsid w:val="000C408B"/>
    <w:pPr>
      <w:ind w:firstLine="0"/>
    </w:pPr>
  </w:style>
  <w:style w:type="paragraph" w:styleId="ListNumber3">
    <w:name w:val="List Number 3"/>
    <w:basedOn w:val="List3"/>
    <w:rsid w:val="000C408B"/>
    <w:pPr>
      <w:numPr>
        <w:numId w:val="3"/>
      </w:numPr>
    </w:pPr>
  </w:style>
  <w:style w:type="paragraph" w:styleId="ListNumber4">
    <w:name w:val="List Number 4"/>
    <w:basedOn w:val="List4"/>
    <w:rsid w:val="000C408B"/>
    <w:pPr>
      <w:numPr>
        <w:numId w:val="4"/>
      </w:numPr>
    </w:pPr>
  </w:style>
  <w:style w:type="paragraph" w:styleId="ListNumber5">
    <w:name w:val="List Number 5"/>
    <w:basedOn w:val="List5"/>
    <w:rsid w:val="000C408B"/>
    <w:pPr>
      <w:numPr>
        <w:numId w:val="5"/>
      </w:numPr>
    </w:pPr>
  </w:style>
  <w:style w:type="paragraph" w:styleId="BlockText">
    <w:name w:val="Block Text"/>
    <w:basedOn w:val="Normal"/>
    <w:rsid w:val="000C4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08B"/>
    <w:rPr>
      <w:sz w:val="16"/>
      <w:vertAlign w:val="superscript"/>
    </w:rPr>
  </w:style>
  <w:style w:type="character" w:customStyle="1" w:styleId="Symbols">
    <w:name w:val="Symbols"/>
    <w:basedOn w:val="DefaultParagraphFont"/>
    <w:rsid w:val="000C408B"/>
    <w:rPr>
      <w:rFonts w:ascii="Symbol" w:hAnsi="Symbol"/>
    </w:rPr>
  </w:style>
  <w:style w:type="character" w:customStyle="1" w:styleId="MenuOptions">
    <w:name w:val="Menu Options"/>
    <w:basedOn w:val="DefaultParagraphFont"/>
    <w:rsid w:val="000C4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08B"/>
    <w:rPr>
      <w:b/>
    </w:rPr>
  </w:style>
  <w:style w:type="character" w:customStyle="1" w:styleId="Underlined">
    <w:name w:val="Underlined"/>
    <w:basedOn w:val="DefaultParagraphFont"/>
    <w:rsid w:val="000C408B"/>
    <w:rPr>
      <w:u w:val="single"/>
    </w:rPr>
  </w:style>
  <w:style w:type="paragraph" w:customStyle="1" w:styleId="TableBodyTextRight">
    <w:name w:val="Table Body Text Right"/>
    <w:basedOn w:val="TableBodyText"/>
    <w:rsid w:val="000C4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08B"/>
    <w:rPr>
      <w:sz w:val="18"/>
    </w:rPr>
  </w:style>
  <w:style w:type="paragraph" w:customStyle="1" w:styleId="BodySmallRight">
    <w:name w:val="Body Small Right"/>
    <w:basedOn w:val="BodyTextRight"/>
    <w:rsid w:val="000C408B"/>
    <w:rPr>
      <w:sz w:val="18"/>
      <w:szCs w:val="18"/>
    </w:rPr>
  </w:style>
  <w:style w:type="paragraph" w:customStyle="1" w:styleId="MarginEdition">
    <w:name w:val="Margin Edition"/>
    <w:basedOn w:val="MarginNote"/>
    <w:rsid w:val="000C4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08B"/>
    <w:rPr>
      <w:sz w:val="2"/>
      <w:szCs w:val="2"/>
    </w:rPr>
  </w:style>
  <w:style w:type="character" w:customStyle="1" w:styleId="Small">
    <w:name w:val="Small"/>
    <w:basedOn w:val="DefaultParagraphFont"/>
    <w:rsid w:val="000C408B"/>
    <w:rPr>
      <w:sz w:val="16"/>
    </w:rPr>
  </w:style>
  <w:style w:type="paragraph" w:customStyle="1" w:styleId="WideTable">
    <w:name w:val="Wide Table"/>
    <w:basedOn w:val="Normal"/>
    <w:rsid w:val="000C4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08B"/>
  </w:style>
  <w:style w:type="paragraph" w:styleId="Quote">
    <w:name w:val="Quote"/>
    <w:basedOn w:val="Heading1"/>
    <w:link w:val="QuoteChar"/>
    <w:qFormat/>
    <w:rsid w:val="000C4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08B"/>
    <w:pPr>
      <w:pageBreakBefore/>
    </w:pPr>
  </w:style>
  <w:style w:type="paragraph" w:customStyle="1" w:styleId="Border">
    <w:name w:val="Border"/>
    <w:basedOn w:val="Normal"/>
    <w:qFormat/>
    <w:rsid w:val="000C4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08B"/>
    <w:rPr>
      <w:u w:val="single"/>
    </w:rPr>
  </w:style>
  <w:style w:type="character" w:customStyle="1" w:styleId="BoldandItalics">
    <w:name w:val="Bold and Italics"/>
    <w:qFormat/>
    <w:rsid w:val="000C408B"/>
    <w:rPr>
      <w:b/>
      <w:i/>
      <w:u w:val="none"/>
    </w:rPr>
  </w:style>
  <w:style w:type="paragraph" w:styleId="BalloonText">
    <w:name w:val="Balloon Text"/>
    <w:basedOn w:val="Normal"/>
    <w:link w:val="BalloonTextChar"/>
    <w:rsid w:val="000C4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08B"/>
    <w:pPr>
      <w:spacing w:before="0" w:after="0"/>
    </w:pPr>
  </w:style>
  <w:style w:type="paragraph" w:customStyle="1" w:styleId="BodyTextBold">
    <w:name w:val="Body Text Bold"/>
    <w:basedOn w:val="BodyText"/>
    <w:qFormat/>
    <w:rsid w:val="000C408B"/>
    <w:rPr>
      <w:b/>
    </w:rPr>
  </w:style>
  <w:style w:type="character" w:styleId="Hyperlink">
    <w:name w:val="Hyperlink"/>
    <w:basedOn w:val="DefaultParagraphFont"/>
    <w:uiPriority w:val="99"/>
    <w:unhideWhenUsed/>
    <w:rsid w:val="00361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2787</Characters>
  <Application>Microsoft Office Word</Application>
  <DocSecurity>0</DocSecurity>
  <Lines>154</Lines>
  <Paragraphs>76</Paragraphs>
  <ScaleCrop>false</ScaleCrop>
  <Company>Author-it Software Corporation Ltd.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TLIA0023 Receive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