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418" w:rsidP="001A3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TLIA0018 Transfer cargo</w:t>
      </w:r>
      <w:r>
        <w:fldChar w:fldCharType="end"/>
      </w:r>
    </w:p>
    <w:p w:rsidR="001A3418" w:rsidP="001A3418">
      <w:pPr>
        <w:pStyle w:val="Version"/>
        <w:sectPr w:rsidSect="00A70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2B3" w:rsidP="00A702B3">
      <w:pPr>
        <w:pStyle w:val="SuperHeading"/>
      </w:pPr>
      <w:r w:rsidRPr="00A702B3">
        <w:t>Assessment Requirements for TLIA0018 Transfer cargo</w:t>
      </w:r>
    </w:p>
    <w:p w:rsidR="00000000" w:rsidRPr="00A702B3" w:rsidP="00A702B3">
      <w:pPr>
        <w:pStyle w:val="Heading1"/>
      </w:pPr>
      <w:bookmarkStart w:id="1" w:name="O_1065978"/>
      <w:bookmarkEnd w:id="1"/>
      <w:r w:rsidRPr="00A702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B3" w:rsidP="00A702B3">
            <w:pPr>
              <w:pStyle w:val="BodyText"/>
            </w:pPr>
            <w:r w:rsidRPr="00A702B3">
              <w:t>Release 1. This is the first release of this unit of competency in the TLI Transport and Logistics Training Package.</w:t>
            </w:r>
          </w:p>
        </w:tc>
      </w:tr>
    </w:tbl>
    <w:p w:rsidR="00000000" w:rsidRPr="00A702B3" w:rsidP="00A702B3">
      <w:pPr>
        <w:pStyle w:val="NoPaddingFontSize1"/>
      </w:pPr>
    </w:p>
    <w:p w:rsidR="00000000" w:rsidRPr="00A702B3" w:rsidP="00A702B3">
      <w:pPr>
        <w:pStyle w:val="AllowPageBreak"/>
      </w:pPr>
    </w:p>
    <w:p w:rsidR="00000000" w:rsidRPr="00A702B3" w:rsidP="00A702B3">
      <w:pPr>
        <w:pStyle w:val="Heading1"/>
      </w:pPr>
      <w:bookmarkStart w:id="2" w:name="O_1065979"/>
      <w:bookmarkEnd w:id="2"/>
      <w:r w:rsidRPr="00A702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B3" w:rsidP="00A702B3">
            <w:pPr>
              <w:pStyle w:val="BodyText"/>
            </w:pPr>
            <w:r w:rsidRPr="00A702B3">
              <w:t>Evidence required to demonstrate competence in this unit must be re</w:t>
            </w:r>
            <w:r w:rsidRPr="00A702B3">
              <w:t>levant to and satisfy all of the requirements of the elements and performance criteria on at least one occasion and include:</w:t>
            </w:r>
          </w:p>
          <w:p w:rsidR="00000000" w:rsidRPr="00A702B3" w:rsidP="00A702B3">
            <w:pPr>
              <w:pStyle w:val="ListBullet"/>
            </w:pPr>
            <w:r w:rsidRPr="00A702B3">
              <w:t>applying precautions and required action to minimise, control or eliminate identified hazards</w:t>
            </w:r>
          </w:p>
          <w:p w:rsidR="00000000" w:rsidRPr="00A702B3" w:rsidP="00A702B3">
            <w:pPr>
              <w:pStyle w:val="ListBullet"/>
            </w:pPr>
            <w:r w:rsidRPr="00A702B3">
              <w:t>applying workplace procedures</w:t>
            </w:r>
          </w:p>
          <w:p w:rsidR="00000000" w:rsidRPr="00A702B3" w:rsidP="00A702B3">
            <w:pPr>
              <w:pStyle w:val="ListBullet"/>
            </w:pPr>
            <w:r w:rsidRPr="00A702B3">
              <w:t>commun</w:t>
            </w:r>
            <w:r w:rsidRPr="00A702B3">
              <w:t>icating effectively with others</w:t>
            </w:r>
          </w:p>
          <w:p w:rsidR="00000000" w:rsidRPr="00A702B3" w:rsidP="00A702B3">
            <w:pPr>
              <w:pStyle w:val="ListBullet"/>
            </w:pPr>
            <w:r w:rsidRPr="00A702B3">
              <w:t>completing relevant documentation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conducting checks on transfer equipment 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estimating size, shape and special requirements of cargo 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following relevant instructions, procedures, information and signs </w:t>
            </w:r>
          </w:p>
          <w:p w:rsidR="00000000" w:rsidRPr="00A702B3" w:rsidP="00A702B3">
            <w:pPr>
              <w:pStyle w:val="ListBullet"/>
            </w:pPr>
            <w:r w:rsidRPr="00A702B3">
              <w:t>identifying, selecting and using relevant equipment, processes and procedures</w:t>
            </w:r>
          </w:p>
          <w:p w:rsidR="00000000" w:rsidRPr="00A702B3" w:rsidP="00A702B3">
            <w:pPr>
              <w:pStyle w:val="ListBullet"/>
            </w:pPr>
            <w:r w:rsidRPr="00A702B3">
              <w:t>monitoring performance of transfer equipment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operating and adapting to differences in equipment in accordance with workplace procedures </w:t>
            </w:r>
          </w:p>
          <w:p w:rsidR="00000000" w:rsidRPr="00A702B3" w:rsidP="00A702B3">
            <w:pPr>
              <w:pStyle w:val="ListBullet"/>
            </w:pPr>
            <w:r w:rsidRPr="00A702B3">
              <w:t>reporting hazards and faults in accordanc</w:t>
            </w:r>
            <w:r w:rsidRPr="00A702B3">
              <w:t>e with workplace procedures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using personal protective equipment (PPE) in accordance with workplace procedures. </w:t>
            </w:r>
          </w:p>
        </w:tc>
      </w:tr>
    </w:tbl>
    <w:p w:rsidR="00000000" w:rsidRPr="00A702B3" w:rsidP="00A702B3">
      <w:pPr>
        <w:pStyle w:val="NoPaddingFontSize1"/>
      </w:pPr>
    </w:p>
    <w:p w:rsidR="00000000" w:rsidRPr="00A702B3" w:rsidP="00A702B3">
      <w:pPr>
        <w:pStyle w:val="AllowPageBreak"/>
      </w:pPr>
    </w:p>
    <w:p w:rsidR="00000000" w:rsidRPr="00A702B3" w:rsidP="00A702B3">
      <w:pPr>
        <w:pStyle w:val="Heading1"/>
      </w:pPr>
      <w:bookmarkStart w:id="3" w:name="O_1065980"/>
      <w:bookmarkEnd w:id="3"/>
      <w:r w:rsidRPr="00A702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B3" w:rsidP="00A702B3">
            <w:pPr>
              <w:pStyle w:val="BodyText"/>
            </w:pPr>
            <w:r w:rsidRPr="00A702B3">
              <w:t>Evidence required to demonstrate competence in this unit must be relevant to and satisfy all of the requ</w:t>
            </w:r>
            <w:r w:rsidRPr="00A702B3">
              <w:t>irements of the elements and performance criteria and include knowledge of:</w:t>
            </w:r>
          </w:p>
          <w:p w:rsidR="00000000" w:rsidRPr="00A702B3" w:rsidP="00A702B3">
            <w:pPr>
              <w:pStyle w:val="ListBullet"/>
            </w:pPr>
            <w:r w:rsidRPr="00A702B3">
              <w:t>Australian and international standards, codes and regulations relevant to transferring cargo/freight, including the current Australian Dangerous Goods (ADG) Code</w:t>
            </w:r>
          </w:p>
          <w:p w:rsidR="00000000" w:rsidRPr="00A702B3" w:rsidP="00A702B3">
            <w:pPr>
              <w:pStyle w:val="ListBullet"/>
            </w:pPr>
            <w:r w:rsidRPr="00A702B3">
              <w:t>cargo marking and</w:t>
            </w:r>
            <w:r w:rsidRPr="00A702B3">
              <w:t xml:space="preserve"> numbering systems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licensing requirements for transfer equipment 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relevant work health and safety (WHS)/occupational health and safety (OHS) workplace procedures </w:t>
            </w:r>
          </w:p>
          <w:p w:rsidR="00000000" w:rsidRPr="00A702B3" w:rsidP="00A702B3">
            <w:pPr>
              <w:pStyle w:val="ListBullet"/>
            </w:pPr>
            <w:r w:rsidRPr="00A702B3">
              <w:t>reporting of identified hazards, faults or malfunctions in accordance with workplace procedur</w:t>
            </w:r>
            <w:r w:rsidRPr="00A702B3">
              <w:t xml:space="preserve">es </w:t>
            </w:r>
          </w:p>
          <w:p w:rsidR="00000000" w:rsidRPr="00A702B3" w:rsidP="00A702B3">
            <w:pPr>
              <w:pStyle w:val="ListBullet"/>
            </w:pPr>
            <w:r w:rsidRPr="00A702B3">
              <w:t>types of equipment used to transfer cargo, their applications, procedures and precautions for their use</w:t>
            </w:r>
          </w:p>
          <w:p w:rsidR="00000000" w:rsidRPr="00A702B3" w:rsidP="00A702B3">
            <w:pPr>
              <w:pStyle w:val="ListBullet"/>
            </w:pPr>
            <w:r w:rsidRPr="00A702B3">
              <w:t>working load limit (WLL) of cargo transfer equipment</w:t>
            </w:r>
          </w:p>
          <w:p w:rsidR="00000000" w:rsidRPr="00A702B3" w:rsidP="00A702B3">
            <w:pPr>
              <w:pStyle w:val="ListBullet"/>
            </w:pPr>
            <w:r w:rsidRPr="00A702B3">
              <w:t>workplace procedures and policies for handling and transferring cargo</w:t>
            </w:r>
          </w:p>
          <w:p w:rsidR="00000000" w:rsidRPr="00A702B3" w:rsidP="00A702B3">
            <w:pPr>
              <w:pStyle w:val="ListBullet"/>
            </w:pPr>
            <w:r w:rsidRPr="00A702B3">
              <w:t xml:space="preserve">workplace procedures for using transfer equipment. </w:t>
            </w:r>
          </w:p>
        </w:tc>
      </w:tr>
    </w:tbl>
    <w:p w:rsidR="00000000" w:rsidRPr="00A702B3" w:rsidP="00A702B3">
      <w:pPr>
        <w:pStyle w:val="NoPaddingFontSize1"/>
      </w:pPr>
    </w:p>
    <w:p w:rsidR="00000000" w:rsidRPr="00A702B3" w:rsidP="00A702B3">
      <w:pPr>
        <w:pStyle w:val="AllowPageBreak"/>
      </w:pPr>
    </w:p>
    <w:p w:rsidR="00000000" w:rsidRPr="00A702B3" w:rsidP="00A702B3">
      <w:pPr>
        <w:pStyle w:val="Heading1"/>
      </w:pPr>
      <w:bookmarkStart w:id="4" w:name="O_1065981"/>
      <w:bookmarkEnd w:id="4"/>
      <w:r w:rsidRPr="00A702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B3" w:rsidP="00A702B3">
            <w:pPr>
              <w:pStyle w:val="BodyText"/>
            </w:pPr>
            <w:r w:rsidRPr="00A702B3">
              <w:t xml:space="preserve">Assessors must hold credentials specified within the Standards for Registered Training Organisations current at the time of assessment. </w:t>
            </w:r>
          </w:p>
          <w:p w:rsidR="00000000" w:rsidRPr="00A702B3" w:rsidP="00A702B3">
            <w:pPr>
              <w:pStyle w:val="BodyText"/>
            </w:pPr>
            <w:r w:rsidRPr="00A702B3">
              <w:t xml:space="preserve">Assessment must satisfy </w:t>
            </w:r>
            <w:r w:rsidRPr="00A702B3">
              <w:t>the Principles of Assessment and Rules of Evidence and all regulatory requirements included within the Standards for Registered Training Organisations current at the time of assessment.</w:t>
            </w:r>
          </w:p>
          <w:p w:rsidR="00000000" w:rsidRPr="00A702B3" w:rsidP="00A702B3">
            <w:pPr>
              <w:pStyle w:val="BodyText"/>
            </w:pPr>
            <w:r w:rsidRPr="00A702B3">
              <w:t xml:space="preserve">Assessment must occur in workplace operational situations where it is </w:t>
            </w:r>
            <w:r w:rsidRPr="00A702B3">
              <w:t>appropriate to do so; where this is not appropriate, assessment must occur in simulated workplace operational situations that replicate workplace conditions.</w:t>
            </w:r>
          </w:p>
          <w:p w:rsidR="00000000" w:rsidRPr="00A702B3" w:rsidP="00A702B3">
            <w:pPr>
              <w:pStyle w:val="BodyText"/>
            </w:pPr>
            <w:r w:rsidRPr="00A702B3">
              <w:t>Assessment processes and techniques must be appropriate to the language, literacy and numeracy req</w:t>
            </w:r>
            <w:r w:rsidRPr="00A702B3">
              <w:t>uirements of the work being performed and the needs of the candidate.</w:t>
            </w:r>
          </w:p>
          <w:p w:rsidR="00000000" w:rsidRPr="00A702B3" w:rsidP="00A702B3">
            <w:pPr>
              <w:pStyle w:val="BodyText"/>
            </w:pPr>
            <w:r w:rsidRPr="00A702B3">
              <w:t>Resources for assessment must include:</w:t>
            </w:r>
          </w:p>
          <w:p w:rsidR="00000000" w:rsidRPr="00A702B3" w:rsidP="00A702B3">
            <w:pPr>
              <w:pStyle w:val="ListBullet"/>
            </w:pPr>
            <w:r w:rsidRPr="00A702B3">
              <w:t>relevant materials, tools, transfer equipment and personal protective equipment (PPE)</w:t>
            </w:r>
          </w:p>
          <w:p w:rsidR="00000000" w:rsidRPr="00A702B3" w:rsidP="00A702B3">
            <w:pPr>
              <w:pStyle w:val="ListBullet"/>
            </w:pPr>
            <w:r w:rsidRPr="00A702B3">
              <w:t>applicable documentation, including workplace procedures, re</w:t>
            </w:r>
            <w:r w:rsidRPr="00A702B3">
              <w:t>gulations, codes of practice and operation manuals.</w:t>
            </w:r>
          </w:p>
        </w:tc>
      </w:tr>
    </w:tbl>
    <w:p w:rsidR="00000000" w:rsidRPr="00A702B3" w:rsidP="00A702B3">
      <w:pPr>
        <w:pStyle w:val="NoPaddingFontSize1"/>
      </w:pPr>
    </w:p>
    <w:p w:rsidR="00000000" w:rsidRPr="00A702B3" w:rsidP="00A702B3">
      <w:pPr>
        <w:pStyle w:val="AllowPageBreak"/>
      </w:pPr>
    </w:p>
    <w:p w:rsidR="00000000" w:rsidRPr="00A702B3" w:rsidP="00A702B3">
      <w:pPr>
        <w:pStyle w:val="Heading1"/>
      </w:pPr>
      <w:bookmarkStart w:id="5" w:name="O_1065984"/>
      <w:bookmarkEnd w:id="5"/>
      <w:r w:rsidRPr="00A702B3">
        <w:t>Links</w:t>
      </w:r>
    </w:p>
    <w:p w:rsidR="00000000" w:rsidRPr="00A702B3" w:rsidP="001A3418">
      <w:pPr>
        <w:pStyle w:val="BodyText"/>
      </w:pPr>
      <w:r w:rsidRPr="00A702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65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02B3" w:rsidP="00A702B3"/>
    <w:sectPr w:rsidSect="00A702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B3" w:rsidRPr="001A3418" w:rsidP="001A3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18" w:rsidP="00A70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418" w:rsidP="00A70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3418" w:rsidP="00A70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2B3" w:rsidRPr="001A3418" w:rsidP="001A3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18" w:rsidRPr="002D2AF8" w:rsidP="00A70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TLIA0018 Transfer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3418" w:rsidP="00A70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EAF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8F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2B3"/>
  </w:style>
  <w:style w:type="character" w:customStyle="1" w:styleId="Heading1Char">
    <w:name w:val="Heading 1 Char"/>
    <w:basedOn w:val="DefaultParagraphFont"/>
    <w:link w:val="Heading1"/>
    <w:rsid w:val="00A70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2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2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0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0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2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2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2B3"/>
    <w:rPr>
      <w:b/>
      <w:spacing w:val="0"/>
    </w:rPr>
  </w:style>
  <w:style w:type="paragraph" w:customStyle="1" w:styleId="SuperTitle">
    <w:name w:val="SuperTitle"/>
    <w:basedOn w:val="Title"/>
    <w:rsid w:val="00A70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2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2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2B3"/>
    <w:rPr>
      <w:i/>
    </w:rPr>
  </w:style>
  <w:style w:type="paragraph" w:styleId="Caption">
    <w:name w:val="caption"/>
    <w:basedOn w:val="BodyText"/>
    <w:next w:val="Normal"/>
    <w:qFormat/>
    <w:rsid w:val="00A70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2B3"/>
  </w:style>
  <w:style w:type="paragraph" w:styleId="TableofFigures">
    <w:name w:val="table of figures"/>
    <w:basedOn w:val="Normal"/>
    <w:next w:val="Normal"/>
    <w:semiHidden/>
    <w:rsid w:val="00A70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2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2B3"/>
    <w:rPr>
      <w:rFonts w:ascii="Wingdings" w:hAnsi="Wingdings"/>
    </w:rPr>
  </w:style>
  <w:style w:type="paragraph" w:customStyle="1" w:styleId="TableHeading">
    <w:name w:val="Table Heading"/>
    <w:basedOn w:val="HeadingBase"/>
    <w:rsid w:val="00A70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2B3"/>
    <w:rPr>
      <w:color w:val="0033CC"/>
      <w:u w:val="none"/>
    </w:rPr>
  </w:style>
  <w:style w:type="paragraph" w:customStyle="1" w:styleId="BodyTextRight">
    <w:name w:val="Body Text Right"/>
    <w:basedOn w:val="BodyText"/>
    <w:rsid w:val="00A70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2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2B3"/>
    <w:rPr>
      <w:sz w:val="32"/>
    </w:rPr>
  </w:style>
  <w:style w:type="paragraph" w:customStyle="1" w:styleId="HeadingProcedure">
    <w:name w:val="Heading Procedure"/>
    <w:basedOn w:val="HeadingBase"/>
    <w:next w:val="Normal"/>
    <w:rsid w:val="00A70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2B3"/>
    <w:pPr>
      <w:spacing w:before="60" w:after="60"/>
    </w:pPr>
  </w:style>
  <w:style w:type="paragraph" w:styleId="ListContinue">
    <w:name w:val="List Continue"/>
    <w:basedOn w:val="List"/>
    <w:rsid w:val="00A702B3"/>
    <w:pPr>
      <w:ind w:firstLine="0"/>
    </w:pPr>
  </w:style>
  <w:style w:type="paragraph" w:customStyle="1" w:styleId="ListNote">
    <w:name w:val="List Note"/>
    <w:basedOn w:val="List"/>
    <w:rsid w:val="00A70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2B3"/>
    <w:rPr>
      <w:rFonts w:ascii="Courier New" w:hAnsi="Courier New"/>
    </w:rPr>
  </w:style>
  <w:style w:type="paragraph" w:customStyle="1" w:styleId="NoteBullet">
    <w:name w:val="Note Bullet"/>
    <w:basedOn w:val="Note"/>
    <w:rsid w:val="00A70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2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2B3"/>
    <w:rPr>
      <w:b/>
      <w:smallCaps/>
    </w:rPr>
  </w:style>
  <w:style w:type="paragraph" w:customStyle="1" w:styleId="TableListNumber">
    <w:name w:val="Table List Number"/>
    <w:basedOn w:val="ListNumber"/>
    <w:rsid w:val="00A70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2B3"/>
    <w:pPr>
      <w:numPr>
        <w:numId w:val="8"/>
      </w:numPr>
    </w:pPr>
  </w:style>
  <w:style w:type="paragraph" w:customStyle="1" w:styleId="ListAlpha2">
    <w:name w:val="List Alpha 2"/>
    <w:basedOn w:val="List2"/>
    <w:rsid w:val="00A702B3"/>
    <w:pPr>
      <w:numPr>
        <w:numId w:val="7"/>
      </w:numPr>
    </w:pPr>
  </w:style>
  <w:style w:type="paragraph" w:styleId="List2">
    <w:name w:val="List 2"/>
    <w:basedOn w:val="BodyText"/>
    <w:rsid w:val="00A70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2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2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2B3"/>
    <w:pPr>
      <w:numPr>
        <w:numId w:val="3"/>
      </w:numPr>
    </w:pPr>
  </w:style>
  <w:style w:type="paragraph" w:styleId="ListContinue2">
    <w:name w:val="List Continue 2"/>
    <w:basedOn w:val="List2"/>
    <w:rsid w:val="00A702B3"/>
    <w:pPr>
      <w:ind w:firstLine="0"/>
    </w:pPr>
  </w:style>
  <w:style w:type="paragraph" w:styleId="ListContinue3">
    <w:name w:val="List Continue 3"/>
    <w:basedOn w:val="List3"/>
    <w:rsid w:val="00A702B3"/>
    <w:pPr>
      <w:ind w:left="1021" w:firstLine="0"/>
    </w:pPr>
  </w:style>
  <w:style w:type="paragraph" w:styleId="ListContinue4">
    <w:name w:val="List Continue 4"/>
    <w:basedOn w:val="List4"/>
    <w:rsid w:val="00A702B3"/>
    <w:pPr>
      <w:ind w:firstLine="0"/>
    </w:pPr>
  </w:style>
  <w:style w:type="paragraph" w:styleId="ListContinue5">
    <w:name w:val="List Continue 5"/>
    <w:basedOn w:val="List5"/>
    <w:rsid w:val="00A702B3"/>
    <w:pPr>
      <w:ind w:firstLine="0"/>
    </w:pPr>
  </w:style>
  <w:style w:type="paragraph" w:styleId="ListNumber3">
    <w:name w:val="List Number 3"/>
    <w:basedOn w:val="List3"/>
    <w:rsid w:val="00A702B3"/>
    <w:pPr>
      <w:numPr>
        <w:numId w:val="4"/>
      </w:numPr>
    </w:pPr>
  </w:style>
  <w:style w:type="paragraph" w:styleId="ListNumber4">
    <w:name w:val="List Number 4"/>
    <w:basedOn w:val="List4"/>
    <w:rsid w:val="00A702B3"/>
    <w:pPr>
      <w:numPr>
        <w:numId w:val="5"/>
      </w:numPr>
    </w:pPr>
  </w:style>
  <w:style w:type="paragraph" w:styleId="ListNumber5">
    <w:name w:val="List Number 5"/>
    <w:basedOn w:val="List5"/>
    <w:rsid w:val="00A702B3"/>
    <w:pPr>
      <w:numPr>
        <w:numId w:val="6"/>
      </w:numPr>
    </w:pPr>
  </w:style>
  <w:style w:type="paragraph" w:styleId="BlockText">
    <w:name w:val="Block Text"/>
    <w:basedOn w:val="Normal"/>
    <w:rsid w:val="00A70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2B3"/>
    <w:rPr>
      <w:sz w:val="16"/>
      <w:vertAlign w:val="superscript"/>
    </w:rPr>
  </w:style>
  <w:style w:type="character" w:customStyle="1" w:styleId="Symbols">
    <w:name w:val="Symbols"/>
    <w:basedOn w:val="DefaultParagraphFont"/>
    <w:rsid w:val="00A702B3"/>
    <w:rPr>
      <w:rFonts w:ascii="Symbol" w:hAnsi="Symbol"/>
    </w:rPr>
  </w:style>
  <w:style w:type="character" w:customStyle="1" w:styleId="MenuOptions">
    <w:name w:val="Menu Options"/>
    <w:basedOn w:val="DefaultParagraphFont"/>
    <w:rsid w:val="00A70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2B3"/>
    <w:rPr>
      <w:b/>
    </w:rPr>
  </w:style>
  <w:style w:type="character" w:customStyle="1" w:styleId="Underlined">
    <w:name w:val="Underlined"/>
    <w:basedOn w:val="DefaultParagraphFont"/>
    <w:rsid w:val="00A702B3"/>
    <w:rPr>
      <w:u w:val="single"/>
    </w:rPr>
  </w:style>
  <w:style w:type="paragraph" w:customStyle="1" w:styleId="TableBodyTextRight">
    <w:name w:val="Table Body Text Right"/>
    <w:basedOn w:val="TableBodyText"/>
    <w:rsid w:val="00A70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2B3"/>
    <w:rPr>
      <w:sz w:val="18"/>
    </w:rPr>
  </w:style>
  <w:style w:type="paragraph" w:customStyle="1" w:styleId="BodySmallRight">
    <w:name w:val="Body Small Right"/>
    <w:basedOn w:val="BodyTextRight"/>
    <w:rsid w:val="00A702B3"/>
    <w:rPr>
      <w:sz w:val="18"/>
      <w:szCs w:val="18"/>
    </w:rPr>
  </w:style>
  <w:style w:type="paragraph" w:customStyle="1" w:styleId="MarginEdition">
    <w:name w:val="Margin Edition"/>
    <w:basedOn w:val="MarginNote"/>
    <w:rsid w:val="00A70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2B3"/>
    <w:rPr>
      <w:sz w:val="2"/>
      <w:szCs w:val="2"/>
    </w:rPr>
  </w:style>
  <w:style w:type="character" w:customStyle="1" w:styleId="Small">
    <w:name w:val="Small"/>
    <w:basedOn w:val="DefaultParagraphFont"/>
    <w:rsid w:val="00A702B3"/>
    <w:rPr>
      <w:sz w:val="16"/>
    </w:rPr>
  </w:style>
  <w:style w:type="paragraph" w:customStyle="1" w:styleId="WideTable">
    <w:name w:val="Wide Table"/>
    <w:basedOn w:val="Normal"/>
    <w:rsid w:val="00A70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2B3"/>
  </w:style>
  <w:style w:type="paragraph" w:styleId="Quote">
    <w:name w:val="Quote"/>
    <w:basedOn w:val="Heading1"/>
    <w:link w:val="QuoteChar"/>
    <w:qFormat/>
    <w:rsid w:val="00A70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2B3"/>
    <w:pPr>
      <w:pageBreakBefore/>
    </w:pPr>
  </w:style>
  <w:style w:type="paragraph" w:customStyle="1" w:styleId="Border">
    <w:name w:val="Border"/>
    <w:basedOn w:val="Normal"/>
    <w:qFormat/>
    <w:rsid w:val="00A70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2B3"/>
    <w:rPr>
      <w:u w:val="single"/>
    </w:rPr>
  </w:style>
  <w:style w:type="character" w:customStyle="1" w:styleId="BoldandItalics">
    <w:name w:val="Bold and Italics"/>
    <w:qFormat/>
    <w:rsid w:val="00A702B3"/>
    <w:rPr>
      <w:b/>
      <w:i/>
      <w:u w:val="none"/>
    </w:rPr>
  </w:style>
  <w:style w:type="paragraph" w:styleId="BalloonText">
    <w:name w:val="Balloon Text"/>
    <w:basedOn w:val="Normal"/>
    <w:link w:val="BalloonTextChar"/>
    <w:rsid w:val="00A70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2B3"/>
    <w:pPr>
      <w:spacing w:before="0" w:after="0"/>
    </w:pPr>
  </w:style>
  <w:style w:type="paragraph" w:customStyle="1" w:styleId="BodyTextBold">
    <w:name w:val="Body Text Bold"/>
    <w:basedOn w:val="BodyText"/>
    <w:qFormat/>
    <w:rsid w:val="00A702B3"/>
    <w:rPr>
      <w:b/>
    </w:rPr>
  </w:style>
  <w:style w:type="character" w:styleId="Hyperlink">
    <w:name w:val="Hyperlink"/>
    <w:basedOn w:val="DefaultParagraphFont"/>
    <w:uiPriority w:val="99"/>
    <w:unhideWhenUsed/>
    <w:rsid w:val="001A3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3010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TLIA0018 Transfer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