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442" w:rsidP="00DC0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TLIA0015 Organise receival and despatch operations</w:t>
      </w:r>
      <w:r>
        <w:fldChar w:fldCharType="end"/>
      </w:r>
    </w:p>
    <w:p w:rsidR="00DC0442" w:rsidP="00DC0442">
      <w:pPr>
        <w:pStyle w:val="Version"/>
        <w:sectPr w:rsidSect="00D46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8D9" w:rsidP="00D468D9">
      <w:pPr>
        <w:pStyle w:val="SuperHeading"/>
      </w:pPr>
      <w:r w:rsidRPr="00D468D9">
        <w:t>TLIA0015 Organise receival and despatch operations</w:t>
      </w:r>
    </w:p>
    <w:p w:rsidR="00000000" w:rsidRPr="00D468D9" w:rsidP="00D468D9">
      <w:pPr>
        <w:pStyle w:val="Heading1"/>
      </w:pPr>
      <w:bookmarkStart w:id="1" w:name="O_1065911"/>
      <w:bookmarkEnd w:id="1"/>
      <w:r w:rsidRPr="00D468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 xml:space="preserve">Release 1. </w:t>
            </w:r>
            <w:r w:rsidRPr="00D468D9">
              <w:t>This is the first release of this unit of competency in the TLI Transport and Logistics Training Package.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2" w:name="O_1065912"/>
      <w:bookmarkEnd w:id="2"/>
      <w:r w:rsidRPr="00D468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This unit involves the skills and knowledge required to organise receival an</w:t>
            </w:r>
            <w:r w:rsidRPr="00D468D9">
              <w:t>d despatch operations in accordance with regulations, codes of practice and workplace requirements in the transport and logistics industry.</w:t>
            </w:r>
          </w:p>
          <w:p w:rsidR="00000000" w:rsidRPr="00D468D9" w:rsidP="00D468D9">
            <w:pPr>
              <w:pStyle w:val="BodyText"/>
            </w:pPr>
            <w:r w:rsidRPr="00D468D9">
              <w:t>It includes planning and organising receival operations, storing received stock, despatching ordered stock and compl</w:t>
            </w:r>
            <w:r w:rsidRPr="00D468D9">
              <w:t>eting documentation and records.</w:t>
            </w:r>
          </w:p>
          <w:p w:rsidR="00000000" w:rsidRPr="00D468D9" w:rsidP="00D468D9">
            <w:pPr>
              <w:pStyle w:val="BodyText"/>
            </w:pPr>
            <w:r w:rsidRPr="00D468D9">
              <w:t>Work is performed under some supervision generally within a team environment.</w:t>
            </w:r>
          </w:p>
          <w:p w:rsidR="00000000" w:rsidRPr="00D468D9" w:rsidP="00D468D9">
            <w:pPr>
              <w:pStyle w:val="BodyText"/>
            </w:pPr>
            <w:r w:rsidRPr="00D468D9">
              <w:t>No licensing, legislative or certification requirements apply to this unit at the time of publication.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3" w:name="O_1065913"/>
      <w:bookmarkEnd w:id="3"/>
      <w:r w:rsidRPr="00D468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No</w:t>
            </w:r>
            <w:r w:rsidRPr="00D468D9">
              <w:t>t applicable.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4" w:name="O_1065914"/>
      <w:bookmarkEnd w:id="4"/>
      <w:r w:rsidRPr="00D468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A – Handling Cargo/Stock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5" w:name="O_1065915"/>
      <w:bookmarkEnd w:id="5"/>
      <w:r w:rsidRPr="00D468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Not applicable.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6" w:name="O_1065916"/>
      <w:bookmarkEnd w:id="6"/>
      <w:r w:rsidRPr="00D468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PERFORMANCE CRITERIA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Performance criteria describe the performance needed to demonstrate achievement of the element.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Plan and organise receival</w:t>
            </w:r>
            <w:r w:rsidRPr="00D468D9">
              <w:t xml:space="preserve"> </w:t>
            </w:r>
            <w:r w:rsidRPr="00D468D9">
              <w:rPr>
                <w:rStyle w:val="SpecialBold"/>
              </w:rPr>
              <w:t>and</w:t>
            </w:r>
            <w:r w:rsidRPr="00D468D9">
              <w:t xml:space="preserve"> </w:t>
            </w:r>
            <w:r w:rsidRPr="00D468D9">
              <w:rPr>
                <w:rStyle w:val="SpecialBold"/>
              </w:rPr>
              <w:t>despatch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Product characteristics and workplace procedures are applied to stock analysis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Resources are identified to match product characteristics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Timeframes are scheduled to enable receival or despatch of stock according to workplace procedures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Work processes are planned to meet specified timeframes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Organise the storage and despatch</w:t>
            </w:r>
            <w:r w:rsidRPr="00D468D9">
              <w:t xml:space="preserve"> </w:t>
            </w:r>
            <w:r w:rsidRPr="00D468D9">
              <w:rPr>
                <w:rStyle w:val="SpecialBold"/>
              </w:rPr>
              <w:t>of stock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Employees, equipment and storage areas are allocated and supervised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Individuals are informed of work requirements and deadlines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Work processes are monitored to ensure human resources and equipmen</w:t>
            </w:r>
            <w:r w:rsidRPr="00D468D9">
              <w:t>t are maintained at productive levels in accordance with workplace procedures and work health and safety (WHS)/occupational health and safety (OHS) requirements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Discrepancies in stocks are noted and reported in accordance with workplace procedures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Documentation and records regarding receival and despatch operations are confirmed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t>Documentation and records are completed and proofread</w:t>
            </w:r>
          </w:p>
        </w:tc>
      </w:tr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8D9">
            <w:pPr>
              <w:pStyle w:val="BodyText"/>
              <w:rPr>
                <w:lang w:val="en-NZ"/>
              </w:rPr>
            </w:pPr>
            <w:r w:rsidRPr="00D468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Documentation and records are processed in accordance with workplace procedu</w:t>
            </w:r>
            <w:r w:rsidRPr="00D468D9">
              <w:t>res and relevant regulatory requirements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7" w:name="O_1065917"/>
      <w:bookmarkEnd w:id="7"/>
      <w:r w:rsidRPr="00D468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Foundation skills essential to performance are explicit in the performance criteria of this unit of competency.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8" w:name="O_1065918"/>
      <w:bookmarkEnd w:id="8"/>
      <w:r w:rsidRPr="00D468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Range is restricted to essential operating conditions and any other variables essential to the work environment.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9" w:name="O_1065919"/>
      <w:bookmarkEnd w:id="9"/>
      <w:r w:rsidRPr="00D468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8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8D9" w:rsidP="00D468D9">
            <w:pPr>
              <w:pStyle w:val="BodyText"/>
            </w:pPr>
            <w:r w:rsidRPr="00D468D9">
              <w:t>This unit replaces but is not equivalent to TLIA3018 Organise despatch operations and TLIA3019 Or</w:t>
            </w:r>
            <w:r w:rsidRPr="00D468D9">
              <w:t>ganise receival operations.</w:t>
            </w:r>
          </w:p>
        </w:tc>
      </w:tr>
    </w:tbl>
    <w:p w:rsidR="00000000" w:rsidRPr="00D468D9" w:rsidP="00D468D9">
      <w:pPr>
        <w:pStyle w:val="NoPaddingFontSize1"/>
      </w:pPr>
    </w:p>
    <w:p w:rsidR="00000000" w:rsidRPr="00D468D9" w:rsidP="00D468D9">
      <w:pPr>
        <w:pStyle w:val="AllowPageBreak"/>
      </w:pPr>
    </w:p>
    <w:p w:rsidR="00000000" w:rsidRPr="00D468D9" w:rsidP="00D468D9">
      <w:pPr>
        <w:pStyle w:val="Heading1"/>
      </w:pPr>
      <w:bookmarkStart w:id="10" w:name="O_1065926"/>
      <w:bookmarkEnd w:id="10"/>
      <w:r w:rsidRPr="00D468D9">
        <w:t>Links</w:t>
      </w:r>
    </w:p>
    <w:p w:rsidR="00000000" w:rsidRPr="00D468D9" w:rsidP="00DC0442">
      <w:pPr>
        <w:pStyle w:val="BodyText"/>
      </w:pPr>
      <w:r w:rsidRPr="00D46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05C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68D9" w:rsidP="00D468D9"/>
    <w:sectPr w:rsidSect="00D46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D9" w:rsidRPr="00DC0442" w:rsidP="00DC0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42" w:rsidP="00D4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442" w:rsidP="00D4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0442" w:rsidP="00D46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8D9" w:rsidRPr="00DC0442" w:rsidP="00DC0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42" w:rsidRPr="002D2AF8" w:rsidP="00D4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TLIA0015 Organise receival and despatch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0442" w:rsidP="00D46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8D9"/>
  </w:style>
  <w:style w:type="character" w:customStyle="1" w:styleId="Heading1Char">
    <w:name w:val="Heading 1 Char"/>
    <w:basedOn w:val="DefaultParagraphFont"/>
    <w:link w:val="Heading1"/>
    <w:rsid w:val="00D46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8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68D9"/>
    <w:rPr>
      <w:b/>
      <w:spacing w:val="0"/>
    </w:rPr>
  </w:style>
  <w:style w:type="paragraph" w:customStyle="1" w:styleId="SuperHeading">
    <w:name w:val="SuperHeading"/>
    <w:basedOn w:val="Normal"/>
    <w:rsid w:val="00D46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6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8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8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6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8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8D9"/>
    <w:rPr>
      <w:i/>
    </w:rPr>
  </w:style>
  <w:style w:type="paragraph" w:styleId="Caption">
    <w:name w:val="caption"/>
    <w:basedOn w:val="BodyText"/>
    <w:next w:val="Normal"/>
    <w:qFormat/>
    <w:rsid w:val="00D46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8D9"/>
  </w:style>
  <w:style w:type="paragraph" w:styleId="TableofFigures">
    <w:name w:val="table of figures"/>
    <w:basedOn w:val="Normal"/>
    <w:next w:val="Normal"/>
    <w:semiHidden/>
    <w:rsid w:val="00D46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8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68D9"/>
    <w:rPr>
      <w:rFonts w:ascii="Wingdings" w:hAnsi="Wingdings"/>
    </w:rPr>
  </w:style>
  <w:style w:type="paragraph" w:customStyle="1" w:styleId="TableHeading">
    <w:name w:val="Table Heading"/>
    <w:basedOn w:val="HeadingBase"/>
    <w:rsid w:val="00D46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8D9"/>
    <w:rPr>
      <w:color w:val="0033CC"/>
      <w:u w:val="none"/>
    </w:rPr>
  </w:style>
  <w:style w:type="paragraph" w:customStyle="1" w:styleId="BodyTextRight">
    <w:name w:val="Body Text Right"/>
    <w:basedOn w:val="BodyText"/>
    <w:rsid w:val="00D46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8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8D9"/>
    <w:rPr>
      <w:sz w:val="32"/>
    </w:rPr>
  </w:style>
  <w:style w:type="paragraph" w:customStyle="1" w:styleId="HeadingProcedure">
    <w:name w:val="Heading Procedure"/>
    <w:basedOn w:val="HeadingBase"/>
    <w:next w:val="Normal"/>
    <w:rsid w:val="00D46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8D9"/>
    <w:pPr>
      <w:spacing w:before="60" w:after="60"/>
    </w:pPr>
  </w:style>
  <w:style w:type="paragraph" w:styleId="ListContinue">
    <w:name w:val="List Continue"/>
    <w:basedOn w:val="List"/>
    <w:rsid w:val="00D468D9"/>
    <w:pPr>
      <w:ind w:firstLine="0"/>
    </w:pPr>
  </w:style>
  <w:style w:type="paragraph" w:customStyle="1" w:styleId="ListNote">
    <w:name w:val="List Note"/>
    <w:basedOn w:val="List"/>
    <w:rsid w:val="00D46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8D9"/>
    <w:rPr>
      <w:rFonts w:ascii="Courier New" w:hAnsi="Courier New"/>
    </w:rPr>
  </w:style>
  <w:style w:type="paragraph" w:customStyle="1" w:styleId="NoteBullet">
    <w:name w:val="Note Bullet"/>
    <w:basedOn w:val="Note"/>
    <w:rsid w:val="00D46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8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6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8D9"/>
    <w:rPr>
      <w:b/>
      <w:smallCaps/>
    </w:rPr>
  </w:style>
  <w:style w:type="paragraph" w:customStyle="1" w:styleId="TableListNumber">
    <w:name w:val="Table List Number"/>
    <w:basedOn w:val="ListNumber"/>
    <w:rsid w:val="00D46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8D9"/>
    <w:pPr>
      <w:numPr>
        <w:numId w:val="7"/>
      </w:numPr>
    </w:pPr>
  </w:style>
  <w:style w:type="paragraph" w:customStyle="1" w:styleId="ListAlpha2">
    <w:name w:val="List Alpha 2"/>
    <w:basedOn w:val="List2"/>
    <w:rsid w:val="00D468D9"/>
    <w:pPr>
      <w:numPr>
        <w:numId w:val="6"/>
      </w:numPr>
    </w:pPr>
  </w:style>
  <w:style w:type="paragraph" w:styleId="List2">
    <w:name w:val="List 2"/>
    <w:basedOn w:val="BodyText"/>
    <w:rsid w:val="00D46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8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8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68D9"/>
    <w:pPr>
      <w:numPr>
        <w:numId w:val="2"/>
      </w:numPr>
    </w:pPr>
  </w:style>
  <w:style w:type="paragraph" w:styleId="ListContinue2">
    <w:name w:val="List Continue 2"/>
    <w:basedOn w:val="List2"/>
    <w:rsid w:val="00D468D9"/>
    <w:pPr>
      <w:ind w:firstLine="0"/>
    </w:pPr>
  </w:style>
  <w:style w:type="paragraph" w:styleId="ListContinue3">
    <w:name w:val="List Continue 3"/>
    <w:basedOn w:val="List3"/>
    <w:rsid w:val="00D468D9"/>
    <w:pPr>
      <w:ind w:left="1021" w:firstLine="0"/>
    </w:pPr>
  </w:style>
  <w:style w:type="paragraph" w:styleId="ListContinue4">
    <w:name w:val="List Continue 4"/>
    <w:basedOn w:val="List4"/>
    <w:rsid w:val="00D468D9"/>
    <w:pPr>
      <w:ind w:firstLine="0"/>
    </w:pPr>
  </w:style>
  <w:style w:type="paragraph" w:styleId="ListContinue5">
    <w:name w:val="List Continue 5"/>
    <w:basedOn w:val="List5"/>
    <w:rsid w:val="00D468D9"/>
    <w:pPr>
      <w:ind w:firstLine="0"/>
    </w:pPr>
  </w:style>
  <w:style w:type="paragraph" w:styleId="ListNumber3">
    <w:name w:val="List Number 3"/>
    <w:basedOn w:val="List3"/>
    <w:rsid w:val="00D468D9"/>
    <w:pPr>
      <w:numPr>
        <w:numId w:val="3"/>
      </w:numPr>
    </w:pPr>
  </w:style>
  <w:style w:type="paragraph" w:styleId="ListNumber4">
    <w:name w:val="List Number 4"/>
    <w:basedOn w:val="List4"/>
    <w:rsid w:val="00D468D9"/>
    <w:pPr>
      <w:numPr>
        <w:numId w:val="4"/>
      </w:numPr>
    </w:pPr>
  </w:style>
  <w:style w:type="paragraph" w:styleId="ListNumber5">
    <w:name w:val="List Number 5"/>
    <w:basedOn w:val="List5"/>
    <w:rsid w:val="00D468D9"/>
    <w:pPr>
      <w:numPr>
        <w:numId w:val="5"/>
      </w:numPr>
    </w:pPr>
  </w:style>
  <w:style w:type="paragraph" w:styleId="BlockText">
    <w:name w:val="Block Text"/>
    <w:basedOn w:val="Normal"/>
    <w:rsid w:val="00D46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8D9"/>
    <w:rPr>
      <w:sz w:val="16"/>
      <w:vertAlign w:val="superscript"/>
    </w:rPr>
  </w:style>
  <w:style w:type="character" w:customStyle="1" w:styleId="Symbols">
    <w:name w:val="Symbols"/>
    <w:basedOn w:val="DefaultParagraphFont"/>
    <w:rsid w:val="00D468D9"/>
    <w:rPr>
      <w:rFonts w:ascii="Symbol" w:hAnsi="Symbol"/>
    </w:rPr>
  </w:style>
  <w:style w:type="character" w:customStyle="1" w:styleId="MenuOptions">
    <w:name w:val="Menu Options"/>
    <w:basedOn w:val="DefaultParagraphFont"/>
    <w:rsid w:val="00D46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8D9"/>
    <w:rPr>
      <w:b/>
    </w:rPr>
  </w:style>
  <w:style w:type="character" w:customStyle="1" w:styleId="Underlined">
    <w:name w:val="Underlined"/>
    <w:basedOn w:val="DefaultParagraphFont"/>
    <w:rsid w:val="00D468D9"/>
    <w:rPr>
      <w:u w:val="single"/>
    </w:rPr>
  </w:style>
  <w:style w:type="paragraph" w:customStyle="1" w:styleId="TableBodyTextRight">
    <w:name w:val="Table Body Text Right"/>
    <w:basedOn w:val="TableBodyText"/>
    <w:rsid w:val="00D46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8D9"/>
    <w:rPr>
      <w:sz w:val="18"/>
    </w:rPr>
  </w:style>
  <w:style w:type="paragraph" w:customStyle="1" w:styleId="BodySmallRight">
    <w:name w:val="Body Small Right"/>
    <w:basedOn w:val="BodyTextRight"/>
    <w:rsid w:val="00D468D9"/>
    <w:rPr>
      <w:sz w:val="18"/>
      <w:szCs w:val="18"/>
    </w:rPr>
  </w:style>
  <w:style w:type="paragraph" w:customStyle="1" w:styleId="MarginEdition">
    <w:name w:val="Margin Edition"/>
    <w:basedOn w:val="MarginNote"/>
    <w:rsid w:val="00D46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8D9"/>
    <w:rPr>
      <w:sz w:val="2"/>
      <w:szCs w:val="2"/>
    </w:rPr>
  </w:style>
  <w:style w:type="character" w:customStyle="1" w:styleId="Small">
    <w:name w:val="Small"/>
    <w:basedOn w:val="DefaultParagraphFont"/>
    <w:rsid w:val="00D468D9"/>
    <w:rPr>
      <w:sz w:val="16"/>
    </w:rPr>
  </w:style>
  <w:style w:type="paragraph" w:customStyle="1" w:styleId="WideTable">
    <w:name w:val="Wide Table"/>
    <w:basedOn w:val="Normal"/>
    <w:rsid w:val="00D46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8D9"/>
  </w:style>
  <w:style w:type="paragraph" w:styleId="Quote">
    <w:name w:val="Quote"/>
    <w:basedOn w:val="Heading1"/>
    <w:link w:val="QuoteChar"/>
    <w:qFormat/>
    <w:rsid w:val="00D46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8D9"/>
    <w:pPr>
      <w:pageBreakBefore/>
    </w:pPr>
  </w:style>
  <w:style w:type="paragraph" w:customStyle="1" w:styleId="Border">
    <w:name w:val="Border"/>
    <w:basedOn w:val="Normal"/>
    <w:qFormat/>
    <w:rsid w:val="00D46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8D9"/>
    <w:rPr>
      <w:u w:val="single"/>
    </w:rPr>
  </w:style>
  <w:style w:type="character" w:customStyle="1" w:styleId="BoldandItalics">
    <w:name w:val="Bold and Italics"/>
    <w:qFormat/>
    <w:rsid w:val="00D468D9"/>
    <w:rPr>
      <w:b/>
      <w:i/>
      <w:u w:val="none"/>
    </w:rPr>
  </w:style>
  <w:style w:type="paragraph" w:styleId="BalloonText">
    <w:name w:val="Balloon Text"/>
    <w:basedOn w:val="Normal"/>
    <w:link w:val="BalloonTextChar"/>
    <w:rsid w:val="00D46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8D9"/>
    <w:pPr>
      <w:spacing w:before="0" w:after="0"/>
    </w:pPr>
  </w:style>
  <w:style w:type="paragraph" w:customStyle="1" w:styleId="BodyTextBold">
    <w:name w:val="Body Text Bold"/>
    <w:basedOn w:val="BodyText"/>
    <w:qFormat/>
    <w:rsid w:val="00D468D9"/>
    <w:rPr>
      <w:b/>
    </w:rPr>
  </w:style>
  <w:style w:type="character" w:styleId="Hyperlink">
    <w:name w:val="Hyperlink"/>
    <w:basedOn w:val="DefaultParagraphFont"/>
    <w:uiPriority w:val="99"/>
    <w:unhideWhenUsed/>
    <w:rsid w:val="00DC0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2658</Characters>
  <Application>Microsoft Office Word</Application>
  <DocSecurity>0</DocSecurity>
  <Lines>132</Lines>
  <Paragraphs>69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TLIA0015 Organise receival and despatch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