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55F" w:rsidP="00C505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TLIA0014 Organise and monitor terminal/wharf operations</w:t>
      </w:r>
      <w:r>
        <w:fldChar w:fldCharType="end"/>
      </w:r>
    </w:p>
    <w:p w:rsidR="00C5055F" w:rsidP="00C5055F">
      <w:pPr>
        <w:pStyle w:val="Version"/>
        <w:sectPr w:rsidSect="00BA11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181" w:rsidP="00BA1181">
      <w:pPr>
        <w:pStyle w:val="SuperHeading"/>
      </w:pPr>
      <w:r w:rsidRPr="00BA1181">
        <w:t>TLIA0014 Organise and monitor terminal/wharf operations</w:t>
      </w:r>
    </w:p>
    <w:p w:rsidR="00000000" w:rsidRPr="00BA1181" w:rsidP="00BA1181">
      <w:pPr>
        <w:pStyle w:val="Heading1"/>
      </w:pPr>
      <w:bookmarkStart w:id="1" w:name="O_1065892"/>
      <w:bookmarkEnd w:id="1"/>
      <w:r w:rsidRPr="00BA11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 xml:space="preserve">Release 1. </w:t>
            </w:r>
            <w:r w:rsidRPr="00BA1181">
              <w:t>This is the first release of this unit of competency in the TLI Transport and Logistics Training Package.</w:t>
            </w:r>
          </w:p>
        </w:tc>
      </w:tr>
    </w:tbl>
    <w:p w:rsidR="00000000" w:rsidRPr="00BA1181" w:rsidP="00BA1181">
      <w:pPr>
        <w:pStyle w:val="NoPaddingFontSize1"/>
      </w:pPr>
    </w:p>
    <w:p w:rsidR="00000000" w:rsidRPr="00BA1181" w:rsidP="00BA1181">
      <w:pPr>
        <w:pStyle w:val="AllowPageBreak"/>
      </w:pPr>
    </w:p>
    <w:p w:rsidR="00000000" w:rsidRPr="00BA1181" w:rsidP="00BA1181">
      <w:pPr>
        <w:pStyle w:val="Heading1"/>
      </w:pPr>
      <w:bookmarkStart w:id="2" w:name="O_1065893"/>
      <w:bookmarkEnd w:id="2"/>
      <w:r w:rsidRPr="00BA11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t>This unit involves the skills and knowledge required to organise an</w:t>
            </w:r>
            <w:r w:rsidRPr="00BA1181">
              <w:t>d monitor terminal or wharf operations in accordance with standards, regulations and workplace requirements as part of work activities in the stevedoring, transport, distribution and/or allied industries.</w:t>
            </w:r>
          </w:p>
          <w:p w:rsidR="00000000" w:rsidRPr="00BA1181" w:rsidP="00BA1181">
            <w:pPr>
              <w:pStyle w:val="BodyText"/>
            </w:pPr>
            <w:r w:rsidRPr="00BA1181">
              <w:t>It includes organising equipment, machinery and per</w:t>
            </w:r>
            <w:r w:rsidRPr="00BA1181">
              <w:t>sonnel; managing potential risks; monitoring work performance and progress; monitoring the status of pending work; solving problems and making decisions; completing all shift requirements and preparing for the next shift.</w:t>
            </w:r>
          </w:p>
          <w:p w:rsidR="00000000" w:rsidRPr="00BA1181" w:rsidP="00BA1181">
            <w:pPr>
              <w:pStyle w:val="BodyText"/>
            </w:pPr>
            <w:r w:rsidRPr="00BA1181">
              <w:t>Work is performed under some super</w:t>
            </w:r>
            <w:r w:rsidRPr="00BA1181">
              <w:t>vision generally within a team environment.</w:t>
            </w:r>
          </w:p>
          <w:p w:rsidR="00000000" w:rsidRPr="00BA1181" w:rsidP="00BA1181">
            <w:pPr>
              <w:pStyle w:val="BodyText"/>
            </w:pPr>
            <w:r w:rsidRPr="00BA1181">
              <w:t>No licensing, legislative or certification requirements apply to this unit at the time of publication.</w:t>
            </w:r>
          </w:p>
        </w:tc>
      </w:tr>
    </w:tbl>
    <w:p w:rsidR="00000000" w:rsidRPr="00BA1181" w:rsidP="00BA1181">
      <w:pPr>
        <w:pStyle w:val="NoPaddingFontSize1"/>
      </w:pPr>
    </w:p>
    <w:p w:rsidR="00000000" w:rsidRPr="00BA1181" w:rsidP="00BA1181">
      <w:pPr>
        <w:pStyle w:val="AllowPageBreak"/>
      </w:pPr>
    </w:p>
    <w:p w:rsidR="00000000" w:rsidRPr="00BA1181" w:rsidP="00BA1181">
      <w:pPr>
        <w:pStyle w:val="Heading1"/>
      </w:pPr>
      <w:bookmarkStart w:id="3" w:name="O_1065894"/>
      <w:bookmarkEnd w:id="3"/>
      <w:r w:rsidRPr="00BA11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t>Not applicable.</w:t>
            </w:r>
          </w:p>
        </w:tc>
      </w:tr>
    </w:tbl>
    <w:p w:rsidR="00000000" w:rsidRPr="00BA1181" w:rsidP="00BA1181">
      <w:pPr>
        <w:pStyle w:val="NoPaddingFontSize1"/>
      </w:pPr>
    </w:p>
    <w:p w:rsidR="00000000" w:rsidRPr="00BA1181" w:rsidP="00BA1181">
      <w:pPr>
        <w:pStyle w:val="AllowPageBreak"/>
      </w:pPr>
    </w:p>
    <w:p w:rsidR="00000000" w:rsidRPr="00BA1181" w:rsidP="00BA1181">
      <w:pPr>
        <w:pStyle w:val="Heading1"/>
      </w:pPr>
      <w:bookmarkStart w:id="4" w:name="O_1065895"/>
      <w:bookmarkEnd w:id="4"/>
      <w:r w:rsidRPr="00BA11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t>A – Handling Ca</w:t>
            </w:r>
            <w:r w:rsidRPr="00BA1181">
              <w:t>rgo/Stock</w:t>
            </w:r>
          </w:p>
        </w:tc>
      </w:tr>
    </w:tbl>
    <w:p w:rsidR="00000000" w:rsidRPr="00BA1181" w:rsidP="00BA1181">
      <w:pPr>
        <w:pStyle w:val="NoPaddingFontSize1"/>
      </w:pPr>
    </w:p>
    <w:p w:rsidR="00000000" w:rsidRPr="00BA1181" w:rsidP="00BA1181">
      <w:pPr>
        <w:pStyle w:val="AllowPageBreak"/>
      </w:pPr>
    </w:p>
    <w:p w:rsidR="00000000" w:rsidRPr="00BA1181" w:rsidP="00BA1181">
      <w:pPr>
        <w:pStyle w:val="Heading1"/>
      </w:pPr>
      <w:bookmarkStart w:id="5" w:name="O_1065896"/>
      <w:bookmarkEnd w:id="5"/>
      <w:r w:rsidRPr="00BA11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t>Stevedore sector.</w:t>
            </w:r>
          </w:p>
        </w:tc>
      </w:tr>
    </w:tbl>
    <w:p w:rsidR="00000000" w:rsidRPr="00BA1181" w:rsidP="00BA1181">
      <w:pPr>
        <w:pStyle w:val="NoPaddingFontSize1"/>
      </w:pPr>
    </w:p>
    <w:p w:rsidR="00000000" w:rsidRPr="00BA1181" w:rsidP="00BA1181">
      <w:pPr>
        <w:pStyle w:val="AllowPageBreak"/>
      </w:pPr>
    </w:p>
    <w:p w:rsidR="00000000" w:rsidRPr="00BA1181" w:rsidP="00BA1181">
      <w:pPr>
        <w:pStyle w:val="Heading1"/>
      </w:pPr>
      <w:bookmarkStart w:id="6" w:name="O_1065897"/>
      <w:bookmarkEnd w:id="6"/>
      <w:r w:rsidRPr="00BA11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PERFORMANCE CRITERIA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Performance criteria describe the performance needed to demonstrate achievement of the element.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>Organise equipment, machinery and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Equipment, machinery and personnel are organised to facilitate the safe and efficient loading and unloading of the ship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Liaison is maintained with supervisors to ensure availability of adequate resources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>Manage potential risks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Potential hazards are identified, risks are assessed and appropriate controls are implemented in accordance with workplace procedures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Potential risks to safe and efficient operations are removed from work area and/or other arrangements are made to e</w:t>
            </w:r>
            <w:r w:rsidRPr="00BA1181">
              <w:t>nsure conditions for safe work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Supervisors are advised of potential risks and liaison is maintained until risks have been removed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>Monitor work performance and progress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Work performance and progress are monitored to ensure work is performed in</w:t>
            </w:r>
            <w:r w:rsidRPr="00BA1181">
              <w:t xml:space="preserve"> accordance with established guidelines and procedures, and that safe work practices are maintained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Work methods and procedures are monitored and refined in consultation with supervisors and operational personnel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Work performance rates are monitored and delays are minimised to ensure work program objectives are met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Work practices are monitored to ensure compliance with national standards and safety codes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Environmental conditions are monitored to ensure safe working conditions are maintained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rPr>
                <w:rStyle w:val="SpecialBold"/>
              </w:rPr>
              <w:t>Monitor status of pending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Pending work needs of the ship and the terminal or wharf are identified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t>Work priorities are determined</w:t>
            </w:r>
          </w:p>
        </w:tc>
      </w:tr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181">
            <w:pPr>
              <w:pStyle w:val="BodyText"/>
              <w:rPr>
                <w:lang w:val="en-NZ"/>
              </w:rPr>
            </w:pPr>
            <w:r w:rsidRPr="00BA118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t>Status of pending work is monitored, in order of priority, taking into account the needs of the ship and the terminal or wharf</w:t>
            </w:r>
          </w:p>
        </w:tc>
      </w:tr>
    </w:tbl>
    <w:p w:rsidR="00000000" w:rsidRPr="00BA1181" w:rsidP="00BA1181">
      <w:pPr>
        <w:pStyle w:val="NoPaddingFontSize1"/>
      </w:pPr>
    </w:p>
    <w:p w:rsidR="00000000" w:rsidRPr="00BA1181" w:rsidP="00BA1181">
      <w:pPr>
        <w:pStyle w:val="AllowPageBreak"/>
      </w:pPr>
    </w:p>
    <w:p w:rsidR="00000000" w:rsidRPr="00BA1181" w:rsidP="00BA1181">
      <w:pPr>
        <w:pStyle w:val="Heading1"/>
      </w:pPr>
      <w:bookmarkStart w:id="7" w:name="O_1065898"/>
      <w:bookmarkEnd w:id="7"/>
      <w:r w:rsidRPr="00BA11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t>Foundation skills essential to performance are explicit in the performance criteria of thi</w:t>
            </w:r>
            <w:r w:rsidRPr="00BA1181">
              <w:t>s unit of competency.</w:t>
            </w:r>
          </w:p>
        </w:tc>
      </w:tr>
    </w:tbl>
    <w:p w:rsidR="00000000" w:rsidRPr="00BA1181" w:rsidP="00BA1181">
      <w:pPr>
        <w:pStyle w:val="NoPaddingFontSize1"/>
      </w:pPr>
    </w:p>
    <w:p w:rsidR="00000000" w:rsidRPr="00BA1181" w:rsidP="00BA1181">
      <w:pPr>
        <w:pStyle w:val="AllowPageBreak"/>
      </w:pPr>
    </w:p>
    <w:p w:rsidR="00000000" w:rsidRPr="00BA1181" w:rsidP="00BA1181">
      <w:pPr>
        <w:pStyle w:val="Heading1"/>
      </w:pPr>
      <w:bookmarkStart w:id="8" w:name="O_1065899"/>
      <w:bookmarkEnd w:id="8"/>
      <w:r w:rsidRPr="00BA11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t>Range is restricted to essential operating conditions and any other variables essential to the work environment.</w:t>
            </w:r>
          </w:p>
        </w:tc>
      </w:tr>
    </w:tbl>
    <w:p w:rsidR="00000000" w:rsidRPr="00BA1181" w:rsidP="00BA1181">
      <w:pPr>
        <w:pStyle w:val="NoPaddingFontSize1"/>
      </w:pPr>
    </w:p>
    <w:p w:rsidR="00000000" w:rsidRPr="00BA1181" w:rsidP="00BA1181">
      <w:pPr>
        <w:pStyle w:val="AllowPageBreak"/>
      </w:pPr>
    </w:p>
    <w:p w:rsidR="00000000" w:rsidRPr="00BA1181" w:rsidP="00BA1181">
      <w:pPr>
        <w:pStyle w:val="Heading1"/>
      </w:pPr>
      <w:bookmarkStart w:id="9" w:name="O_1065900"/>
      <w:bookmarkEnd w:id="9"/>
      <w:r w:rsidRPr="00BA11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11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181" w:rsidP="00BA1181">
            <w:pPr>
              <w:pStyle w:val="BodyText"/>
            </w:pPr>
            <w:r w:rsidRPr="00BA1181">
              <w:t>This unit replaces and is equivalent to TLIA4006 Organise and monitor terminal/wharf operations.</w:t>
            </w:r>
          </w:p>
        </w:tc>
      </w:tr>
    </w:tbl>
    <w:p w:rsidR="00000000" w:rsidRPr="00BA1181" w:rsidP="00BA1181">
      <w:pPr>
        <w:pStyle w:val="NoPaddingFontSize1"/>
      </w:pPr>
    </w:p>
    <w:p w:rsidR="00000000" w:rsidRPr="00BA1181" w:rsidP="00BA1181">
      <w:pPr>
        <w:pStyle w:val="AllowPageBreak"/>
      </w:pPr>
    </w:p>
    <w:p w:rsidR="00000000" w:rsidRPr="00BA1181" w:rsidP="00BA1181">
      <w:pPr>
        <w:pStyle w:val="Heading1"/>
      </w:pPr>
      <w:bookmarkStart w:id="10" w:name="O_1065907"/>
      <w:bookmarkEnd w:id="10"/>
      <w:r w:rsidRPr="00BA1181">
        <w:t>Links</w:t>
      </w:r>
    </w:p>
    <w:p w:rsidR="00000000" w:rsidRPr="00BA1181" w:rsidP="00C5055F">
      <w:pPr>
        <w:pStyle w:val="BodyText"/>
      </w:pPr>
      <w:r w:rsidRPr="00BA11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644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1181" w:rsidP="00BA1181"/>
    <w:sectPr w:rsidSect="00BA11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1" w:rsidRPr="00C5055F" w:rsidP="00C505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5F" w:rsidP="00BA11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55F" w:rsidP="00BA11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5055F" w:rsidP="00BA11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181" w:rsidRPr="00C5055F" w:rsidP="00C505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1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55F" w:rsidRPr="002D2AF8" w:rsidP="00BA11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TLIA0014 Organise and monitor terminal/wharf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5055F" w:rsidP="00BA11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1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1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1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1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1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1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1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1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1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1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1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181"/>
  </w:style>
  <w:style w:type="character" w:customStyle="1" w:styleId="Heading1Char">
    <w:name w:val="Heading 1 Char"/>
    <w:basedOn w:val="DefaultParagraphFont"/>
    <w:link w:val="Heading1"/>
    <w:rsid w:val="00BA11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1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1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1181"/>
    <w:rPr>
      <w:b/>
      <w:spacing w:val="0"/>
    </w:rPr>
  </w:style>
  <w:style w:type="paragraph" w:customStyle="1" w:styleId="SuperHeading">
    <w:name w:val="SuperHeading"/>
    <w:basedOn w:val="Normal"/>
    <w:rsid w:val="00BA11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1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11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1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1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1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1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1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1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1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1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1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1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1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1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1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1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1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1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11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11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1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1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1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1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1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1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1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1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1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1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1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1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1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181"/>
    <w:rPr>
      <w:i/>
    </w:rPr>
  </w:style>
  <w:style w:type="paragraph" w:styleId="Caption">
    <w:name w:val="caption"/>
    <w:basedOn w:val="BodyText"/>
    <w:next w:val="Normal"/>
    <w:qFormat/>
    <w:rsid w:val="00BA11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1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1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181"/>
  </w:style>
  <w:style w:type="paragraph" w:styleId="TableofFigures">
    <w:name w:val="table of figures"/>
    <w:basedOn w:val="Normal"/>
    <w:next w:val="Normal"/>
    <w:semiHidden/>
    <w:rsid w:val="00BA11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1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1181"/>
    <w:rPr>
      <w:rFonts w:ascii="Wingdings" w:hAnsi="Wingdings"/>
    </w:rPr>
  </w:style>
  <w:style w:type="paragraph" w:customStyle="1" w:styleId="TableHeading">
    <w:name w:val="Table Heading"/>
    <w:basedOn w:val="HeadingBase"/>
    <w:rsid w:val="00BA11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181"/>
    <w:rPr>
      <w:color w:val="0033CC"/>
      <w:u w:val="none"/>
    </w:rPr>
  </w:style>
  <w:style w:type="paragraph" w:customStyle="1" w:styleId="BodyTextRight">
    <w:name w:val="Body Text Right"/>
    <w:basedOn w:val="BodyText"/>
    <w:rsid w:val="00BA11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1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1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1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1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1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181"/>
    <w:rPr>
      <w:sz w:val="32"/>
    </w:rPr>
  </w:style>
  <w:style w:type="paragraph" w:customStyle="1" w:styleId="HeadingProcedure">
    <w:name w:val="Heading Procedure"/>
    <w:basedOn w:val="HeadingBase"/>
    <w:next w:val="Normal"/>
    <w:rsid w:val="00BA11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181"/>
    <w:pPr>
      <w:spacing w:before="60" w:after="60"/>
    </w:pPr>
  </w:style>
  <w:style w:type="paragraph" w:styleId="ListContinue">
    <w:name w:val="List Continue"/>
    <w:basedOn w:val="List"/>
    <w:rsid w:val="00BA1181"/>
    <w:pPr>
      <w:ind w:firstLine="0"/>
    </w:pPr>
  </w:style>
  <w:style w:type="paragraph" w:customStyle="1" w:styleId="ListNote">
    <w:name w:val="List Note"/>
    <w:basedOn w:val="List"/>
    <w:rsid w:val="00BA11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1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1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181"/>
    <w:rPr>
      <w:rFonts w:ascii="Courier New" w:hAnsi="Courier New"/>
    </w:rPr>
  </w:style>
  <w:style w:type="paragraph" w:customStyle="1" w:styleId="NoteBullet">
    <w:name w:val="Note Bullet"/>
    <w:basedOn w:val="Note"/>
    <w:rsid w:val="00BA11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1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1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1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1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11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1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181"/>
    <w:rPr>
      <w:b/>
      <w:smallCaps/>
    </w:rPr>
  </w:style>
  <w:style w:type="paragraph" w:customStyle="1" w:styleId="TableListNumber">
    <w:name w:val="Table List Number"/>
    <w:basedOn w:val="ListNumber"/>
    <w:rsid w:val="00BA11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1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181"/>
    <w:pPr>
      <w:numPr>
        <w:numId w:val="7"/>
      </w:numPr>
    </w:pPr>
  </w:style>
  <w:style w:type="paragraph" w:customStyle="1" w:styleId="ListAlpha2">
    <w:name w:val="List Alpha 2"/>
    <w:basedOn w:val="List2"/>
    <w:rsid w:val="00BA1181"/>
    <w:pPr>
      <w:numPr>
        <w:numId w:val="6"/>
      </w:numPr>
    </w:pPr>
  </w:style>
  <w:style w:type="paragraph" w:styleId="List2">
    <w:name w:val="List 2"/>
    <w:basedOn w:val="BodyText"/>
    <w:rsid w:val="00BA11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1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1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1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1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1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1181"/>
    <w:pPr>
      <w:numPr>
        <w:numId w:val="2"/>
      </w:numPr>
    </w:pPr>
  </w:style>
  <w:style w:type="paragraph" w:styleId="ListContinue2">
    <w:name w:val="List Continue 2"/>
    <w:basedOn w:val="List2"/>
    <w:rsid w:val="00BA1181"/>
    <w:pPr>
      <w:ind w:firstLine="0"/>
    </w:pPr>
  </w:style>
  <w:style w:type="paragraph" w:styleId="ListContinue3">
    <w:name w:val="List Continue 3"/>
    <w:basedOn w:val="List3"/>
    <w:rsid w:val="00BA1181"/>
    <w:pPr>
      <w:ind w:left="1021" w:firstLine="0"/>
    </w:pPr>
  </w:style>
  <w:style w:type="paragraph" w:styleId="ListContinue4">
    <w:name w:val="List Continue 4"/>
    <w:basedOn w:val="List4"/>
    <w:rsid w:val="00BA1181"/>
    <w:pPr>
      <w:ind w:firstLine="0"/>
    </w:pPr>
  </w:style>
  <w:style w:type="paragraph" w:styleId="ListContinue5">
    <w:name w:val="List Continue 5"/>
    <w:basedOn w:val="List5"/>
    <w:rsid w:val="00BA1181"/>
    <w:pPr>
      <w:ind w:firstLine="0"/>
    </w:pPr>
  </w:style>
  <w:style w:type="paragraph" w:styleId="ListNumber3">
    <w:name w:val="List Number 3"/>
    <w:basedOn w:val="List3"/>
    <w:rsid w:val="00BA1181"/>
    <w:pPr>
      <w:numPr>
        <w:numId w:val="3"/>
      </w:numPr>
    </w:pPr>
  </w:style>
  <w:style w:type="paragraph" w:styleId="ListNumber4">
    <w:name w:val="List Number 4"/>
    <w:basedOn w:val="List4"/>
    <w:rsid w:val="00BA1181"/>
    <w:pPr>
      <w:numPr>
        <w:numId w:val="4"/>
      </w:numPr>
    </w:pPr>
  </w:style>
  <w:style w:type="paragraph" w:styleId="ListNumber5">
    <w:name w:val="List Number 5"/>
    <w:basedOn w:val="List5"/>
    <w:rsid w:val="00BA1181"/>
    <w:pPr>
      <w:numPr>
        <w:numId w:val="5"/>
      </w:numPr>
    </w:pPr>
  </w:style>
  <w:style w:type="paragraph" w:styleId="BlockText">
    <w:name w:val="Block Text"/>
    <w:basedOn w:val="Normal"/>
    <w:rsid w:val="00BA11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1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181"/>
    <w:rPr>
      <w:sz w:val="16"/>
      <w:vertAlign w:val="superscript"/>
    </w:rPr>
  </w:style>
  <w:style w:type="character" w:customStyle="1" w:styleId="Symbols">
    <w:name w:val="Symbols"/>
    <w:basedOn w:val="DefaultParagraphFont"/>
    <w:rsid w:val="00BA1181"/>
    <w:rPr>
      <w:rFonts w:ascii="Symbol" w:hAnsi="Symbol"/>
    </w:rPr>
  </w:style>
  <w:style w:type="character" w:customStyle="1" w:styleId="MenuOptions">
    <w:name w:val="Menu Options"/>
    <w:basedOn w:val="DefaultParagraphFont"/>
    <w:rsid w:val="00BA11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181"/>
    <w:rPr>
      <w:b/>
    </w:rPr>
  </w:style>
  <w:style w:type="character" w:customStyle="1" w:styleId="Underlined">
    <w:name w:val="Underlined"/>
    <w:basedOn w:val="DefaultParagraphFont"/>
    <w:rsid w:val="00BA1181"/>
    <w:rPr>
      <w:u w:val="single"/>
    </w:rPr>
  </w:style>
  <w:style w:type="paragraph" w:customStyle="1" w:styleId="TableBodyTextRight">
    <w:name w:val="Table Body Text Right"/>
    <w:basedOn w:val="TableBodyText"/>
    <w:rsid w:val="00BA11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181"/>
    <w:rPr>
      <w:sz w:val="18"/>
    </w:rPr>
  </w:style>
  <w:style w:type="paragraph" w:customStyle="1" w:styleId="BodySmallRight">
    <w:name w:val="Body Small Right"/>
    <w:basedOn w:val="BodyTextRight"/>
    <w:rsid w:val="00BA1181"/>
    <w:rPr>
      <w:sz w:val="18"/>
      <w:szCs w:val="18"/>
    </w:rPr>
  </w:style>
  <w:style w:type="paragraph" w:customStyle="1" w:styleId="MarginEdition">
    <w:name w:val="Margin Edition"/>
    <w:basedOn w:val="MarginNote"/>
    <w:rsid w:val="00BA11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181"/>
    <w:rPr>
      <w:sz w:val="2"/>
      <w:szCs w:val="2"/>
    </w:rPr>
  </w:style>
  <w:style w:type="character" w:customStyle="1" w:styleId="Small">
    <w:name w:val="Small"/>
    <w:basedOn w:val="DefaultParagraphFont"/>
    <w:rsid w:val="00BA1181"/>
    <w:rPr>
      <w:sz w:val="16"/>
    </w:rPr>
  </w:style>
  <w:style w:type="paragraph" w:customStyle="1" w:styleId="WideTable">
    <w:name w:val="Wide Table"/>
    <w:basedOn w:val="Normal"/>
    <w:rsid w:val="00BA11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181"/>
  </w:style>
  <w:style w:type="paragraph" w:styleId="Quote">
    <w:name w:val="Quote"/>
    <w:basedOn w:val="Heading1"/>
    <w:link w:val="QuoteChar"/>
    <w:qFormat/>
    <w:rsid w:val="00BA11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1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181"/>
    <w:pPr>
      <w:pageBreakBefore/>
    </w:pPr>
  </w:style>
  <w:style w:type="paragraph" w:customStyle="1" w:styleId="Border">
    <w:name w:val="Border"/>
    <w:basedOn w:val="Normal"/>
    <w:qFormat/>
    <w:rsid w:val="00BA11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1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1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1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1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1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1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1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1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181"/>
    <w:rPr>
      <w:u w:val="single"/>
    </w:rPr>
  </w:style>
  <w:style w:type="character" w:customStyle="1" w:styleId="BoldandItalics">
    <w:name w:val="Bold and Italics"/>
    <w:qFormat/>
    <w:rsid w:val="00BA1181"/>
    <w:rPr>
      <w:b/>
      <w:i/>
      <w:u w:val="none"/>
    </w:rPr>
  </w:style>
  <w:style w:type="paragraph" w:styleId="BalloonText">
    <w:name w:val="Balloon Text"/>
    <w:basedOn w:val="Normal"/>
    <w:link w:val="BalloonTextChar"/>
    <w:rsid w:val="00BA1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1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1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1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1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1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181"/>
    <w:pPr>
      <w:spacing w:before="0" w:after="0"/>
    </w:pPr>
  </w:style>
  <w:style w:type="paragraph" w:customStyle="1" w:styleId="BodyTextBold">
    <w:name w:val="Body Text Bold"/>
    <w:basedOn w:val="BodyText"/>
    <w:qFormat/>
    <w:rsid w:val="00BA1181"/>
    <w:rPr>
      <w:b/>
    </w:rPr>
  </w:style>
  <w:style w:type="character" w:styleId="Hyperlink">
    <w:name w:val="Hyperlink"/>
    <w:basedOn w:val="DefaultParagraphFont"/>
    <w:uiPriority w:val="99"/>
    <w:unhideWhenUsed/>
    <w:rsid w:val="00C505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508</Words>
  <Characters>3147</Characters>
  <Application>Microsoft Office Word</Application>
  <DocSecurity>0</DocSecurity>
  <Lines>149</Lines>
  <Paragraphs>77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TLIA0014 Organise and monitor terminal/wharf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