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2D9" w:rsidP="00677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TLIA0013 Maintain container and freight records</w:t>
      </w:r>
      <w:r>
        <w:fldChar w:fldCharType="end"/>
      </w:r>
    </w:p>
    <w:p w:rsidR="006772D9" w:rsidP="006772D9">
      <w:pPr>
        <w:pStyle w:val="Version"/>
        <w:sectPr w:rsidSect="00725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2A0" w:rsidP="007252A0">
      <w:pPr>
        <w:pStyle w:val="SuperHeading"/>
      </w:pPr>
      <w:r w:rsidRPr="007252A0">
        <w:t>TLIA0013 Maintain container and freight records</w:t>
      </w:r>
    </w:p>
    <w:p w:rsidR="00000000" w:rsidRPr="007252A0" w:rsidP="007252A0">
      <w:pPr>
        <w:pStyle w:val="Heading1"/>
      </w:pPr>
      <w:bookmarkStart w:id="1" w:name="O_1065873"/>
      <w:bookmarkEnd w:id="1"/>
      <w:r w:rsidRPr="007252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 xml:space="preserve">Release 1. </w:t>
            </w:r>
            <w:r w:rsidRPr="007252A0">
              <w:t>This is the first release of this unit of competency in the TLI Transport and Logistics Training Package.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2" w:name="O_1065874"/>
      <w:bookmarkEnd w:id="2"/>
      <w:r w:rsidRPr="007252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This unit involves the skills and knowledge required to maintain container a</w:t>
            </w:r>
            <w:r w:rsidRPr="007252A0">
              <w:t>nd freight records in accordance with relevant regulations and workplace requirements as part of work activities within the transport and logistics industry.</w:t>
            </w:r>
          </w:p>
          <w:p w:rsidR="00000000" w:rsidRPr="007252A0" w:rsidP="007252A0">
            <w:pPr>
              <w:pStyle w:val="BodyText"/>
            </w:pPr>
            <w:r w:rsidRPr="007252A0">
              <w:t>It includes processing container and freight documentation; maintaining records of container and f</w:t>
            </w:r>
            <w:r w:rsidRPr="007252A0">
              <w:t>reight movements; monitoring container and freight, including refrigerated units; and maintaining records.</w:t>
            </w:r>
          </w:p>
          <w:p w:rsidR="00000000" w:rsidRPr="007252A0" w:rsidP="007252A0">
            <w:pPr>
              <w:pStyle w:val="BodyText"/>
            </w:pPr>
            <w:r w:rsidRPr="007252A0">
              <w:t>Work is performed under some supervision generally within a team environment.</w:t>
            </w:r>
          </w:p>
          <w:p w:rsidR="00000000" w:rsidRPr="007252A0" w:rsidP="007252A0">
            <w:pPr>
              <w:pStyle w:val="BodyText"/>
            </w:pPr>
            <w:r w:rsidRPr="007252A0">
              <w:t>No licensing, legislative or certification requirements apply to this u</w:t>
            </w:r>
            <w:r w:rsidRPr="007252A0">
              <w:t>nit at the time of publication.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3" w:name="O_1065875"/>
      <w:bookmarkEnd w:id="3"/>
      <w:r w:rsidRPr="007252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Not applicable.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4" w:name="O_1065876"/>
      <w:bookmarkEnd w:id="4"/>
      <w:r w:rsidRPr="007252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A – Handling Cargo/Stock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5" w:name="O_1065877"/>
      <w:bookmarkEnd w:id="5"/>
      <w:r w:rsidRPr="007252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Not applicable.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6" w:name="O_1065878"/>
      <w:bookmarkEnd w:id="6"/>
      <w:r w:rsidRPr="007252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PERFORMANCE CRITERIA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Performance criteria describe the performance needed to demonstrate achievement of the element.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Process container and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Documentation is processed in accordance with workplace procedures and statutory authority requirements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Movements of containers and freight are recorded in accordance with workplace procedures and statutory authority requirements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Information, labels, instructions and workplace procedures are read and interpreted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Size, shape and special requirements of loads are estimated according to freight procedures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Maintain records of container and freight movements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Records are up</w:t>
            </w:r>
            <w:r w:rsidRPr="007252A0">
              <w:t>dated each time containers or freight are moved within the yard and communicated with relevant personnel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Containers and freight are checked using markings to ensure correct identification when updating records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rPr>
                <w:rStyle w:val="SpecialBold"/>
              </w:rPr>
              <w:t>Monitor container and freight and ma</w:t>
            </w:r>
            <w:r w:rsidRPr="007252A0">
              <w:rPr>
                <w:rStyle w:val="SpecialBold"/>
              </w:rPr>
              <w:t>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Containers and freight are monitored daily and specified information is recorded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Problems with controlled systems on containers or freight are reported and forwarded to maintenance personnel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t>Log cards on containers and freight with controlled systems are checked on completion of monitoring, and all unit or system breakdowns and/or faults are logged in breakdown log diary in accordance with workplace procedures</w:t>
            </w:r>
          </w:p>
        </w:tc>
      </w:tr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A0">
            <w:pPr>
              <w:pStyle w:val="BodyText"/>
              <w:rPr>
                <w:lang w:val="en-NZ"/>
              </w:rPr>
            </w:pPr>
            <w:r w:rsidRPr="007252A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Movement of containers and freight is monitored daily and information is recorded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7" w:name="O_1065879"/>
      <w:bookmarkEnd w:id="7"/>
      <w:r w:rsidRPr="007252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Foundation skills essential to performance are explicit in the performance criteria of this unit of competency.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8" w:name="O_1065880"/>
      <w:bookmarkEnd w:id="8"/>
      <w:r w:rsidRPr="007252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Range is restricted to essential operating conditions and any other variables essential to the work environment.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9" w:name="O_1065881"/>
      <w:bookmarkEnd w:id="9"/>
      <w:r w:rsidRPr="007252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A0" w:rsidP="007252A0">
            <w:pPr>
              <w:pStyle w:val="BodyText"/>
            </w:pPr>
            <w:r w:rsidRPr="007252A0">
              <w:t>This unit replaces and is equivalent to TLIA3002 Maintain container/cargo rec</w:t>
            </w:r>
            <w:r w:rsidRPr="007252A0">
              <w:t>ords.</w:t>
            </w:r>
          </w:p>
        </w:tc>
      </w:tr>
    </w:tbl>
    <w:p w:rsidR="00000000" w:rsidRPr="007252A0" w:rsidP="007252A0">
      <w:pPr>
        <w:pStyle w:val="NoPaddingFontSize1"/>
      </w:pPr>
    </w:p>
    <w:p w:rsidR="00000000" w:rsidRPr="007252A0" w:rsidP="007252A0">
      <w:pPr>
        <w:pStyle w:val="AllowPageBreak"/>
      </w:pPr>
    </w:p>
    <w:p w:rsidR="00000000" w:rsidRPr="007252A0" w:rsidP="007252A0">
      <w:pPr>
        <w:pStyle w:val="Heading1"/>
      </w:pPr>
      <w:bookmarkStart w:id="10" w:name="O_1065888"/>
      <w:bookmarkEnd w:id="10"/>
      <w:r w:rsidRPr="007252A0">
        <w:t>Links</w:t>
      </w:r>
    </w:p>
    <w:p w:rsidR="00000000" w:rsidRPr="007252A0" w:rsidP="006772D9">
      <w:pPr>
        <w:pStyle w:val="BodyText"/>
      </w:pPr>
      <w:r w:rsidRPr="00725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56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52A0" w:rsidP="007252A0"/>
    <w:sectPr w:rsidSect="00725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A0" w:rsidRPr="006772D9" w:rsidP="00677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D9" w:rsidP="00725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2D9" w:rsidP="00725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72D9" w:rsidP="00725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2A0" w:rsidRPr="006772D9" w:rsidP="00677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D9" w:rsidRPr="002D2AF8" w:rsidP="00725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TLIA0013 Maintain container and freight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72D9" w:rsidP="00725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2A0"/>
  </w:style>
  <w:style w:type="character" w:customStyle="1" w:styleId="Heading1Char">
    <w:name w:val="Heading 1 Char"/>
    <w:basedOn w:val="DefaultParagraphFont"/>
    <w:link w:val="Heading1"/>
    <w:rsid w:val="00725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2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52A0"/>
    <w:rPr>
      <w:b/>
      <w:spacing w:val="0"/>
    </w:rPr>
  </w:style>
  <w:style w:type="paragraph" w:customStyle="1" w:styleId="SuperHeading">
    <w:name w:val="SuperHeading"/>
    <w:basedOn w:val="Normal"/>
    <w:rsid w:val="00725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5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2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2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5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2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2A0"/>
    <w:rPr>
      <w:i/>
    </w:rPr>
  </w:style>
  <w:style w:type="paragraph" w:styleId="Caption">
    <w:name w:val="caption"/>
    <w:basedOn w:val="BodyText"/>
    <w:next w:val="Normal"/>
    <w:qFormat/>
    <w:rsid w:val="00725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2A0"/>
  </w:style>
  <w:style w:type="paragraph" w:styleId="TableofFigures">
    <w:name w:val="table of figures"/>
    <w:basedOn w:val="Normal"/>
    <w:next w:val="Normal"/>
    <w:semiHidden/>
    <w:rsid w:val="00725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2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52A0"/>
    <w:rPr>
      <w:rFonts w:ascii="Wingdings" w:hAnsi="Wingdings"/>
    </w:rPr>
  </w:style>
  <w:style w:type="paragraph" w:customStyle="1" w:styleId="TableHeading">
    <w:name w:val="Table Heading"/>
    <w:basedOn w:val="HeadingBase"/>
    <w:rsid w:val="00725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2A0"/>
    <w:rPr>
      <w:color w:val="0033CC"/>
      <w:u w:val="none"/>
    </w:rPr>
  </w:style>
  <w:style w:type="paragraph" w:customStyle="1" w:styleId="BodyTextRight">
    <w:name w:val="Body Text Right"/>
    <w:basedOn w:val="BodyText"/>
    <w:rsid w:val="00725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2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2A0"/>
    <w:rPr>
      <w:sz w:val="32"/>
    </w:rPr>
  </w:style>
  <w:style w:type="paragraph" w:customStyle="1" w:styleId="HeadingProcedure">
    <w:name w:val="Heading Procedure"/>
    <w:basedOn w:val="HeadingBase"/>
    <w:next w:val="Normal"/>
    <w:rsid w:val="00725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2A0"/>
    <w:pPr>
      <w:spacing w:before="60" w:after="60"/>
    </w:pPr>
  </w:style>
  <w:style w:type="paragraph" w:styleId="ListContinue">
    <w:name w:val="List Continue"/>
    <w:basedOn w:val="List"/>
    <w:rsid w:val="007252A0"/>
    <w:pPr>
      <w:ind w:firstLine="0"/>
    </w:pPr>
  </w:style>
  <w:style w:type="paragraph" w:customStyle="1" w:styleId="ListNote">
    <w:name w:val="List Note"/>
    <w:basedOn w:val="List"/>
    <w:rsid w:val="00725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2A0"/>
    <w:rPr>
      <w:rFonts w:ascii="Courier New" w:hAnsi="Courier New"/>
    </w:rPr>
  </w:style>
  <w:style w:type="paragraph" w:customStyle="1" w:styleId="NoteBullet">
    <w:name w:val="Note Bullet"/>
    <w:basedOn w:val="Note"/>
    <w:rsid w:val="00725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2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5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2A0"/>
    <w:rPr>
      <w:b/>
      <w:smallCaps/>
    </w:rPr>
  </w:style>
  <w:style w:type="paragraph" w:customStyle="1" w:styleId="TableListNumber">
    <w:name w:val="Table List Number"/>
    <w:basedOn w:val="ListNumber"/>
    <w:rsid w:val="00725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2A0"/>
    <w:pPr>
      <w:numPr>
        <w:numId w:val="7"/>
      </w:numPr>
    </w:pPr>
  </w:style>
  <w:style w:type="paragraph" w:customStyle="1" w:styleId="ListAlpha2">
    <w:name w:val="List Alpha 2"/>
    <w:basedOn w:val="List2"/>
    <w:rsid w:val="007252A0"/>
    <w:pPr>
      <w:numPr>
        <w:numId w:val="6"/>
      </w:numPr>
    </w:pPr>
  </w:style>
  <w:style w:type="paragraph" w:styleId="List2">
    <w:name w:val="List 2"/>
    <w:basedOn w:val="BodyText"/>
    <w:rsid w:val="00725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2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2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52A0"/>
    <w:pPr>
      <w:numPr>
        <w:numId w:val="2"/>
      </w:numPr>
    </w:pPr>
  </w:style>
  <w:style w:type="paragraph" w:styleId="ListContinue2">
    <w:name w:val="List Continue 2"/>
    <w:basedOn w:val="List2"/>
    <w:rsid w:val="007252A0"/>
    <w:pPr>
      <w:ind w:firstLine="0"/>
    </w:pPr>
  </w:style>
  <w:style w:type="paragraph" w:styleId="ListContinue3">
    <w:name w:val="List Continue 3"/>
    <w:basedOn w:val="List3"/>
    <w:rsid w:val="007252A0"/>
    <w:pPr>
      <w:ind w:left="1021" w:firstLine="0"/>
    </w:pPr>
  </w:style>
  <w:style w:type="paragraph" w:styleId="ListContinue4">
    <w:name w:val="List Continue 4"/>
    <w:basedOn w:val="List4"/>
    <w:rsid w:val="007252A0"/>
    <w:pPr>
      <w:ind w:firstLine="0"/>
    </w:pPr>
  </w:style>
  <w:style w:type="paragraph" w:styleId="ListContinue5">
    <w:name w:val="List Continue 5"/>
    <w:basedOn w:val="List5"/>
    <w:rsid w:val="007252A0"/>
    <w:pPr>
      <w:ind w:firstLine="0"/>
    </w:pPr>
  </w:style>
  <w:style w:type="paragraph" w:styleId="ListNumber3">
    <w:name w:val="List Number 3"/>
    <w:basedOn w:val="List3"/>
    <w:rsid w:val="007252A0"/>
    <w:pPr>
      <w:numPr>
        <w:numId w:val="3"/>
      </w:numPr>
    </w:pPr>
  </w:style>
  <w:style w:type="paragraph" w:styleId="ListNumber4">
    <w:name w:val="List Number 4"/>
    <w:basedOn w:val="List4"/>
    <w:rsid w:val="007252A0"/>
    <w:pPr>
      <w:numPr>
        <w:numId w:val="4"/>
      </w:numPr>
    </w:pPr>
  </w:style>
  <w:style w:type="paragraph" w:styleId="ListNumber5">
    <w:name w:val="List Number 5"/>
    <w:basedOn w:val="List5"/>
    <w:rsid w:val="007252A0"/>
    <w:pPr>
      <w:numPr>
        <w:numId w:val="5"/>
      </w:numPr>
    </w:pPr>
  </w:style>
  <w:style w:type="paragraph" w:styleId="BlockText">
    <w:name w:val="Block Text"/>
    <w:basedOn w:val="Normal"/>
    <w:rsid w:val="00725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2A0"/>
    <w:rPr>
      <w:sz w:val="16"/>
      <w:vertAlign w:val="superscript"/>
    </w:rPr>
  </w:style>
  <w:style w:type="character" w:customStyle="1" w:styleId="Symbols">
    <w:name w:val="Symbols"/>
    <w:basedOn w:val="DefaultParagraphFont"/>
    <w:rsid w:val="007252A0"/>
    <w:rPr>
      <w:rFonts w:ascii="Symbol" w:hAnsi="Symbol"/>
    </w:rPr>
  </w:style>
  <w:style w:type="character" w:customStyle="1" w:styleId="MenuOptions">
    <w:name w:val="Menu Options"/>
    <w:basedOn w:val="DefaultParagraphFont"/>
    <w:rsid w:val="00725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2A0"/>
    <w:rPr>
      <w:b/>
    </w:rPr>
  </w:style>
  <w:style w:type="character" w:customStyle="1" w:styleId="Underlined">
    <w:name w:val="Underlined"/>
    <w:basedOn w:val="DefaultParagraphFont"/>
    <w:rsid w:val="007252A0"/>
    <w:rPr>
      <w:u w:val="single"/>
    </w:rPr>
  </w:style>
  <w:style w:type="paragraph" w:customStyle="1" w:styleId="TableBodyTextRight">
    <w:name w:val="Table Body Text Right"/>
    <w:basedOn w:val="TableBodyText"/>
    <w:rsid w:val="00725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2A0"/>
    <w:rPr>
      <w:sz w:val="18"/>
    </w:rPr>
  </w:style>
  <w:style w:type="paragraph" w:customStyle="1" w:styleId="BodySmallRight">
    <w:name w:val="Body Small Right"/>
    <w:basedOn w:val="BodyTextRight"/>
    <w:rsid w:val="007252A0"/>
    <w:rPr>
      <w:sz w:val="18"/>
      <w:szCs w:val="18"/>
    </w:rPr>
  </w:style>
  <w:style w:type="paragraph" w:customStyle="1" w:styleId="MarginEdition">
    <w:name w:val="Margin Edition"/>
    <w:basedOn w:val="MarginNote"/>
    <w:rsid w:val="00725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2A0"/>
    <w:rPr>
      <w:sz w:val="2"/>
      <w:szCs w:val="2"/>
    </w:rPr>
  </w:style>
  <w:style w:type="character" w:customStyle="1" w:styleId="Small">
    <w:name w:val="Small"/>
    <w:basedOn w:val="DefaultParagraphFont"/>
    <w:rsid w:val="007252A0"/>
    <w:rPr>
      <w:sz w:val="16"/>
    </w:rPr>
  </w:style>
  <w:style w:type="paragraph" w:customStyle="1" w:styleId="WideTable">
    <w:name w:val="Wide Table"/>
    <w:basedOn w:val="Normal"/>
    <w:rsid w:val="00725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2A0"/>
  </w:style>
  <w:style w:type="paragraph" w:styleId="Quote">
    <w:name w:val="Quote"/>
    <w:basedOn w:val="Heading1"/>
    <w:link w:val="QuoteChar"/>
    <w:qFormat/>
    <w:rsid w:val="00725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2A0"/>
    <w:pPr>
      <w:pageBreakBefore/>
    </w:pPr>
  </w:style>
  <w:style w:type="paragraph" w:customStyle="1" w:styleId="Border">
    <w:name w:val="Border"/>
    <w:basedOn w:val="Normal"/>
    <w:qFormat/>
    <w:rsid w:val="00725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2A0"/>
    <w:rPr>
      <w:u w:val="single"/>
    </w:rPr>
  </w:style>
  <w:style w:type="character" w:customStyle="1" w:styleId="BoldandItalics">
    <w:name w:val="Bold and Italics"/>
    <w:qFormat/>
    <w:rsid w:val="007252A0"/>
    <w:rPr>
      <w:b/>
      <w:i/>
      <w:u w:val="none"/>
    </w:rPr>
  </w:style>
  <w:style w:type="paragraph" w:styleId="BalloonText">
    <w:name w:val="Balloon Text"/>
    <w:basedOn w:val="Normal"/>
    <w:link w:val="BalloonTextChar"/>
    <w:rsid w:val="00725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2A0"/>
    <w:pPr>
      <w:spacing w:before="0" w:after="0"/>
    </w:pPr>
  </w:style>
  <w:style w:type="paragraph" w:customStyle="1" w:styleId="BodyTextBold">
    <w:name w:val="Body Text Bold"/>
    <w:basedOn w:val="BodyText"/>
    <w:qFormat/>
    <w:rsid w:val="007252A0"/>
    <w:rPr>
      <w:b/>
    </w:rPr>
  </w:style>
  <w:style w:type="character" w:styleId="Hyperlink">
    <w:name w:val="Hyperlink"/>
    <w:basedOn w:val="DefaultParagraphFont"/>
    <w:uiPriority w:val="99"/>
    <w:unhideWhenUsed/>
    <w:rsid w:val="00677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2814</Characters>
  <Application>Microsoft Office Word</Application>
  <DocSecurity>0</DocSecurity>
  <Lines>134</Lines>
  <Paragraphs>67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TLIA0013 Maintain container and freight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