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4B07" w:rsidP="008C4B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TLIA0005 Connect and disconnect reefer units</w:t>
      </w:r>
      <w:r>
        <w:fldChar w:fldCharType="end"/>
      </w:r>
    </w:p>
    <w:p w:rsidR="008C4B07" w:rsidP="008C4B07">
      <w:pPr>
        <w:pStyle w:val="Version"/>
        <w:sectPr w:rsidSect="00E30D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0DFE" w:rsidP="00E30DFE">
      <w:pPr>
        <w:pStyle w:val="SuperHeading"/>
      </w:pPr>
      <w:r w:rsidRPr="00E30DFE">
        <w:t>TLIA0005 Connect and disconnect reefer units</w:t>
      </w:r>
    </w:p>
    <w:p w:rsidR="00000000" w:rsidRPr="00E30DFE" w:rsidP="00E30DFE">
      <w:pPr>
        <w:pStyle w:val="Heading1"/>
      </w:pPr>
      <w:bookmarkStart w:id="1" w:name="O_1065721"/>
      <w:bookmarkEnd w:id="1"/>
      <w:r w:rsidRPr="00E30DF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0D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DFE" w:rsidP="00E30DFE">
            <w:pPr>
              <w:pStyle w:val="BodyText"/>
            </w:pPr>
            <w:r w:rsidRPr="00E30DFE">
              <w:rPr>
                <w:rStyle w:val="SpecialBold"/>
              </w:rPr>
              <w:t xml:space="preserve">Release 1. </w:t>
            </w:r>
            <w:r w:rsidRPr="00E30DFE">
              <w:t>This is the first release of this unit of competency in the TLI Transport and Logistics Training Package.</w:t>
            </w:r>
          </w:p>
        </w:tc>
      </w:tr>
    </w:tbl>
    <w:p w:rsidR="00000000" w:rsidRPr="00E30DFE" w:rsidP="00E30DFE">
      <w:pPr>
        <w:pStyle w:val="NoPaddingFontSize1"/>
      </w:pPr>
    </w:p>
    <w:p w:rsidR="00000000" w:rsidRPr="00E30DFE" w:rsidP="00E30DFE">
      <w:pPr>
        <w:pStyle w:val="AllowPageBreak"/>
      </w:pPr>
    </w:p>
    <w:p w:rsidR="00000000" w:rsidRPr="00E30DFE" w:rsidP="00E30DFE">
      <w:pPr>
        <w:pStyle w:val="Heading1"/>
      </w:pPr>
      <w:bookmarkStart w:id="2" w:name="O_1065722"/>
      <w:bookmarkEnd w:id="2"/>
      <w:r w:rsidRPr="00E30DF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0D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DFE" w:rsidP="00E30DFE">
            <w:pPr>
              <w:pStyle w:val="BodyText"/>
            </w:pPr>
            <w:r w:rsidRPr="00E30DFE">
              <w:t>This unit involves the skills and knowledge required to connect and disconne</w:t>
            </w:r>
            <w:r w:rsidRPr="00E30DFE">
              <w:t>ct (refrigerated) reefer units in accordance with workplace requirements as part of work activities in the stevedoring, transport, distribution and allied industries.</w:t>
            </w:r>
          </w:p>
          <w:p w:rsidR="00000000" w:rsidRPr="00E30DFE" w:rsidP="00E30DFE">
            <w:pPr>
              <w:pStyle w:val="BodyText"/>
            </w:pPr>
            <w:r w:rsidRPr="00E30DFE">
              <w:t>It includes connecting and disconnecting reefer units to/from power sources and identifyi</w:t>
            </w:r>
            <w:r w:rsidRPr="00E30DFE">
              <w:t>ng and reporting any faults and damage with reefer unit operation.</w:t>
            </w:r>
          </w:p>
          <w:p w:rsidR="00000000" w:rsidRPr="00E30DFE" w:rsidP="00E30DFE">
            <w:pPr>
              <w:pStyle w:val="BodyText"/>
            </w:pPr>
            <w:r w:rsidRPr="00E30DFE">
              <w:t>Work is performed under some supervision generally within a team environment.</w:t>
            </w:r>
          </w:p>
          <w:p w:rsidR="00000000" w:rsidRPr="00E30DFE" w:rsidP="00E30DFE">
            <w:pPr>
              <w:pStyle w:val="BodyText"/>
            </w:pPr>
            <w:r w:rsidRPr="00E30DFE">
              <w:t>No licensing, legislative or certification requirements apply to this unit at the time of publication.</w:t>
            </w:r>
          </w:p>
        </w:tc>
      </w:tr>
    </w:tbl>
    <w:p w:rsidR="00000000" w:rsidRPr="00E30DFE" w:rsidP="00E30DFE">
      <w:pPr>
        <w:pStyle w:val="NoPaddingFontSize1"/>
      </w:pPr>
    </w:p>
    <w:p w:rsidR="00000000" w:rsidRPr="00E30DFE" w:rsidP="00E30DFE">
      <w:pPr>
        <w:pStyle w:val="AllowPageBreak"/>
      </w:pPr>
    </w:p>
    <w:p w:rsidR="00000000" w:rsidRPr="00E30DFE" w:rsidP="00E30DFE">
      <w:pPr>
        <w:pStyle w:val="Heading1"/>
      </w:pPr>
      <w:bookmarkStart w:id="3" w:name="O_1065723"/>
      <w:bookmarkEnd w:id="3"/>
      <w:r w:rsidRPr="00E30DF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0D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DFE" w:rsidP="00E30DFE">
            <w:pPr>
              <w:pStyle w:val="BodyText"/>
            </w:pPr>
            <w:r w:rsidRPr="00E30DFE">
              <w:t>Not applicable.</w:t>
            </w:r>
          </w:p>
        </w:tc>
      </w:tr>
    </w:tbl>
    <w:p w:rsidR="00000000" w:rsidRPr="00E30DFE" w:rsidP="00E30DFE">
      <w:pPr>
        <w:pStyle w:val="NoPaddingFontSize1"/>
      </w:pPr>
    </w:p>
    <w:p w:rsidR="00000000" w:rsidRPr="00E30DFE" w:rsidP="00E30DFE">
      <w:pPr>
        <w:pStyle w:val="AllowPageBreak"/>
      </w:pPr>
    </w:p>
    <w:p w:rsidR="00000000" w:rsidRPr="00E30DFE" w:rsidP="00E30DFE">
      <w:pPr>
        <w:pStyle w:val="Heading1"/>
      </w:pPr>
      <w:bookmarkStart w:id="4" w:name="O_1065724"/>
      <w:bookmarkEnd w:id="4"/>
      <w:r w:rsidRPr="00E30DF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0D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DFE" w:rsidP="00E30DFE">
            <w:pPr>
              <w:pStyle w:val="BodyText"/>
            </w:pPr>
            <w:r w:rsidRPr="00E30DFE">
              <w:t>A – Handling Cargo/Stock</w:t>
            </w:r>
          </w:p>
        </w:tc>
      </w:tr>
    </w:tbl>
    <w:p w:rsidR="00000000" w:rsidRPr="00E30DFE" w:rsidP="00E30DFE">
      <w:pPr>
        <w:pStyle w:val="NoPaddingFontSize1"/>
      </w:pPr>
    </w:p>
    <w:p w:rsidR="00000000" w:rsidRPr="00E30DFE" w:rsidP="00E30DFE">
      <w:pPr>
        <w:pStyle w:val="AllowPageBreak"/>
      </w:pPr>
    </w:p>
    <w:p w:rsidR="00000000" w:rsidRPr="00E30DFE" w:rsidP="00E30DFE">
      <w:pPr>
        <w:pStyle w:val="Heading1"/>
      </w:pPr>
      <w:bookmarkStart w:id="5" w:name="O_1065725"/>
      <w:bookmarkEnd w:id="5"/>
      <w:r w:rsidRPr="00E30DF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0D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DFE" w:rsidP="00E30DFE">
            <w:pPr>
              <w:pStyle w:val="BodyText"/>
            </w:pPr>
            <w:r w:rsidRPr="00E30DFE">
              <w:t>Not applicable.</w:t>
            </w:r>
          </w:p>
        </w:tc>
      </w:tr>
    </w:tbl>
    <w:p w:rsidR="00000000" w:rsidRPr="00E30DFE" w:rsidP="00E30DFE">
      <w:pPr>
        <w:pStyle w:val="NoPaddingFontSize1"/>
      </w:pPr>
    </w:p>
    <w:p w:rsidR="00000000" w:rsidRPr="00E30DFE" w:rsidP="00E30DFE">
      <w:pPr>
        <w:pStyle w:val="AllowPageBreak"/>
      </w:pPr>
    </w:p>
    <w:p w:rsidR="00000000" w:rsidRPr="00E30DFE" w:rsidP="00E30DFE">
      <w:pPr>
        <w:pStyle w:val="Heading1"/>
      </w:pPr>
      <w:bookmarkStart w:id="6" w:name="O_1065726"/>
      <w:bookmarkEnd w:id="6"/>
      <w:r w:rsidRPr="00E30DF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30D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DFE" w:rsidP="00E30DFE">
            <w:pPr>
              <w:pStyle w:val="BodyText"/>
            </w:pPr>
            <w:r w:rsidRPr="00E30DF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DFE">
            <w:pPr>
              <w:pStyle w:val="BodyText"/>
              <w:rPr>
                <w:lang w:val="en-NZ"/>
              </w:rPr>
            </w:pPr>
            <w:r w:rsidRPr="00E30DFE">
              <w:rPr>
                <w:rStyle w:val="SpecialBold"/>
              </w:rPr>
              <w:t>PERFORMANCE CRITERIA</w:t>
            </w:r>
          </w:p>
        </w:tc>
      </w:tr>
      <w:tr w:rsidTr="00E30D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DFE">
            <w:pPr>
              <w:pStyle w:val="BodyText"/>
              <w:rPr>
                <w:lang w:val="en-NZ"/>
              </w:rPr>
            </w:pPr>
            <w:r w:rsidRPr="00E30DF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DFE">
            <w:pPr>
              <w:pStyle w:val="BodyText"/>
              <w:rPr>
                <w:lang w:val="en-NZ"/>
              </w:rPr>
            </w:pPr>
            <w:r w:rsidRPr="00E30DFE">
              <w:t>Performance criteria describe the performance needed to demonstrate achievement of the element.</w:t>
            </w:r>
          </w:p>
        </w:tc>
      </w:tr>
      <w:tr w:rsidTr="00E30D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DFE" w:rsidP="00E30DFE">
            <w:pPr>
              <w:pStyle w:val="BodyText"/>
            </w:pPr>
            <w:r w:rsidRPr="00E30DFE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DFE" w:rsidP="00E30DFE">
            <w:pPr>
              <w:pStyle w:val="BodyText"/>
            </w:pPr>
            <w:r w:rsidRPr="00E30DFE">
              <w:rPr>
                <w:rStyle w:val="SpecialBold"/>
              </w:rPr>
              <w:t>Connect reefer units to power sources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DFE">
            <w:pPr>
              <w:pStyle w:val="BodyText"/>
              <w:rPr>
                <w:lang w:val="en-NZ"/>
              </w:rPr>
            </w:pPr>
            <w:r w:rsidRPr="00E30DF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DFE">
            <w:pPr>
              <w:pStyle w:val="BodyText"/>
              <w:rPr>
                <w:lang w:val="en-NZ"/>
              </w:rPr>
            </w:pPr>
            <w:r w:rsidRPr="00E30DFE">
              <w:t xml:space="preserve">Appropriate personal protective equipment (PPE) is selected and used in accordance with workplace procedures </w:t>
            </w:r>
          </w:p>
        </w:tc>
      </w:tr>
      <w:tr w:rsidTr="00E30D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D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DFE">
            <w:pPr>
              <w:pStyle w:val="BodyText"/>
              <w:rPr>
                <w:lang w:val="en-NZ"/>
              </w:rPr>
            </w:pPr>
            <w:r w:rsidRPr="00E30DF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DFE">
            <w:pPr>
              <w:pStyle w:val="BodyText"/>
              <w:rPr>
                <w:lang w:val="en-NZ"/>
              </w:rPr>
            </w:pPr>
            <w:r w:rsidRPr="00E30DFE">
              <w:t xml:space="preserve">Hazards, including weather conditions, are identified, </w:t>
            </w:r>
            <w:r w:rsidRPr="00E30DFE">
              <w:t xml:space="preserve">risks assessed and control measures implemented </w:t>
            </w:r>
          </w:p>
        </w:tc>
      </w:tr>
      <w:tr w:rsidTr="00E30D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D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DFE">
            <w:pPr>
              <w:pStyle w:val="BodyText"/>
              <w:rPr>
                <w:lang w:val="en-NZ"/>
              </w:rPr>
            </w:pPr>
            <w:r w:rsidRPr="00E30DF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DFE">
            <w:pPr>
              <w:pStyle w:val="BodyText"/>
              <w:rPr>
                <w:lang w:val="en-NZ"/>
              </w:rPr>
            </w:pPr>
            <w:r w:rsidRPr="00E30DFE">
              <w:t xml:space="preserve">Reefer units are located and identified </w:t>
            </w:r>
          </w:p>
        </w:tc>
      </w:tr>
      <w:tr w:rsidTr="00E30D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D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DFE">
            <w:pPr>
              <w:pStyle w:val="BodyText"/>
              <w:rPr>
                <w:lang w:val="en-NZ"/>
              </w:rPr>
            </w:pPr>
            <w:r w:rsidRPr="00E30DF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DFE">
            <w:pPr>
              <w:pStyle w:val="BodyText"/>
              <w:rPr>
                <w:lang w:val="en-NZ"/>
              </w:rPr>
            </w:pPr>
            <w:r w:rsidRPr="00E30DFE">
              <w:t>Reefer units are visually inspected, and faults and damage are identified and reported to relevant personnel in accordance with workplace procedures</w:t>
            </w:r>
          </w:p>
        </w:tc>
      </w:tr>
      <w:tr w:rsidTr="00E30D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D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DFE">
            <w:pPr>
              <w:pStyle w:val="BodyText"/>
              <w:rPr>
                <w:lang w:val="en-NZ"/>
              </w:rPr>
            </w:pPr>
            <w:r w:rsidRPr="00E30DF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DFE">
            <w:pPr>
              <w:pStyle w:val="BodyText"/>
              <w:rPr>
                <w:lang w:val="en-NZ"/>
              </w:rPr>
            </w:pPr>
            <w:r w:rsidRPr="00E30DFE">
              <w:t>Reefer units are connected in accordance with workpl</w:t>
            </w:r>
            <w:r w:rsidRPr="00E30DFE">
              <w:t>ace procedures</w:t>
            </w:r>
          </w:p>
        </w:tc>
      </w:tr>
      <w:tr w:rsidTr="00E30D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D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DFE">
            <w:pPr>
              <w:pStyle w:val="BodyText"/>
              <w:rPr>
                <w:lang w:val="en-NZ"/>
              </w:rPr>
            </w:pPr>
            <w:r w:rsidRPr="00E30DF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DFE">
            <w:pPr>
              <w:pStyle w:val="BodyText"/>
              <w:rPr>
                <w:lang w:val="en-NZ"/>
              </w:rPr>
            </w:pPr>
            <w:r w:rsidRPr="00E30DFE">
              <w:t>Reefer units are checked to be running correctly after being connected in accordance with workplace procedures</w:t>
            </w:r>
          </w:p>
        </w:tc>
      </w:tr>
      <w:tr w:rsidTr="00E30D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DFE" w:rsidP="00E30DFE">
            <w:pPr>
              <w:pStyle w:val="BodyText"/>
            </w:pPr>
            <w:r w:rsidRPr="00E30DF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DFE" w:rsidP="00E30DFE">
            <w:pPr>
              <w:pStyle w:val="BodyText"/>
            </w:pPr>
            <w:r w:rsidRPr="00E30DFE">
              <w:rPr>
                <w:rStyle w:val="SpecialBold"/>
              </w:rPr>
              <w:t>Disconnect reefer units from power sources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DFE">
            <w:pPr>
              <w:pStyle w:val="BodyText"/>
              <w:rPr>
                <w:lang w:val="en-NZ"/>
              </w:rPr>
            </w:pPr>
            <w:r w:rsidRPr="00E30DF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DFE">
            <w:pPr>
              <w:pStyle w:val="BodyText"/>
              <w:rPr>
                <w:lang w:val="en-NZ"/>
              </w:rPr>
            </w:pPr>
            <w:r w:rsidRPr="00E30DFE">
              <w:t>Reefer units to be disconnected are identified, visually inspected, and f</w:t>
            </w:r>
            <w:r w:rsidRPr="00E30DFE">
              <w:t>aults and damage are reported to relevant personnel in accordance with workplace procedures</w:t>
            </w:r>
          </w:p>
        </w:tc>
      </w:tr>
      <w:tr w:rsidTr="00E30D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D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DFE">
            <w:pPr>
              <w:pStyle w:val="BodyText"/>
              <w:rPr>
                <w:lang w:val="en-NZ"/>
              </w:rPr>
            </w:pPr>
            <w:r w:rsidRPr="00E30DF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DFE" w:rsidP="00E30DFE">
            <w:pPr>
              <w:pStyle w:val="BodyText"/>
            </w:pPr>
            <w:r w:rsidRPr="00E30DFE">
              <w:t xml:space="preserve">Reefer units are disconnected and cables are stowed appropriate for transport in accordance with workplace procedures </w:t>
            </w:r>
          </w:p>
        </w:tc>
      </w:tr>
    </w:tbl>
    <w:p w:rsidR="00000000" w:rsidRPr="00E30DFE" w:rsidP="00E30DFE">
      <w:pPr>
        <w:pStyle w:val="NoPaddingFontSize1"/>
      </w:pPr>
    </w:p>
    <w:p w:rsidR="00000000" w:rsidRPr="00E30DFE" w:rsidP="00E30DFE">
      <w:pPr>
        <w:pStyle w:val="AllowPageBreak"/>
      </w:pPr>
    </w:p>
    <w:p w:rsidR="00000000" w:rsidRPr="00E30DFE" w:rsidP="00E30DFE">
      <w:pPr>
        <w:pStyle w:val="Heading1"/>
      </w:pPr>
      <w:bookmarkStart w:id="7" w:name="O_1065727"/>
      <w:bookmarkEnd w:id="7"/>
      <w:r w:rsidRPr="00E30DF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0D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DFE" w:rsidP="00E30DFE">
            <w:pPr>
              <w:pStyle w:val="BodyText"/>
            </w:pPr>
            <w:r w:rsidRPr="00E30DFE">
              <w:t>Foundation skills essential to performance are explicit in the performance criteria of this unit of competency.</w:t>
            </w:r>
          </w:p>
        </w:tc>
      </w:tr>
    </w:tbl>
    <w:p w:rsidR="00000000" w:rsidRPr="00E30DFE" w:rsidP="00E30DFE">
      <w:pPr>
        <w:pStyle w:val="NoPaddingFontSize1"/>
      </w:pPr>
    </w:p>
    <w:p w:rsidR="00000000" w:rsidRPr="00E30DFE" w:rsidP="00E30DFE">
      <w:pPr>
        <w:pStyle w:val="AllowPageBreak"/>
      </w:pPr>
    </w:p>
    <w:p w:rsidR="00000000" w:rsidRPr="00E30DFE" w:rsidP="00E30DFE">
      <w:pPr>
        <w:pStyle w:val="Heading1"/>
      </w:pPr>
      <w:bookmarkStart w:id="8" w:name="O_1065728"/>
      <w:bookmarkEnd w:id="8"/>
      <w:r w:rsidRPr="00E30DF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0D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DFE" w:rsidP="00E30DFE">
            <w:pPr>
              <w:pStyle w:val="BodyText"/>
            </w:pPr>
            <w:r w:rsidRPr="00E30DFE">
              <w:t>Range is restricted to essential operating conditions and any other variables essential to the work environment.</w:t>
            </w:r>
          </w:p>
        </w:tc>
      </w:tr>
    </w:tbl>
    <w:p w:rsidR="00000000" w:rsidRPr="00E30DFE" w:rsidP="00E30DFE">
      <w:pPr>
        <w:pStyle w:val="NoPaddingFontSize1"/>
      </w:pPr>
    </w:p>
    <w:p w:rsidR="00000000" w:rsidRPr="00E30DFE" w:rsidP="00E30DFE">
      <w:pPr>
        <w:pStyle w:val="AllowPageBreak"/>
      </w:pPr>
    </w:p>
    <w:p w:rsidR="00000000" w:rsidRPr="00E30DFE" w:rsidP="00E30DFE">
      <w:pPr>
        <w:pStyle w:val="Heading1"/>
      </w:pPr>
      <w:bookmarkStart w:id="9" w:name="O_1065729"/>
      <w:bookmarkEnd w:id="9"/>
      <w:r w:rsidRPr="00E30DF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0D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DFE" w:rsidP="00E30DFE">
            <w:pPr>
              <w:pStyle w:val="BodyText"/>
            </w:pPr>
            <w:r w:rsidRPr="00E30DFE">
              <w:t>This unit replaces and is equivalent to TLIA2003 Connect and disconnect reefer units.</w:t>
            </w:r>
          </w:p>
        </w:tc>
      </w:tr>
    </w:tbl>
    <w:p w:rsidR="00000000" w:rsidRPr="00E30DFE" w:rsidP="00E30DFE">
      <w:pPr>
        <w:pStyle w:val="NoPaddingFontSize1"/>
      </w:pPr>
    </w:p>
    <w:p w:rsidR="00000000" w:rsidRPr="00E30DFE" w:rsidP="00E30DFE">
      <w:pPr>
        <w:pStyle w:val="AllowPageBreak"/>
      </w:pPr>
    </w:p>
    <w:p w:rsidR="00000000" w:rsidRPr="00E30DFE" w:rsidP="00E30DFE">
      <w:pPr>
        <w:pStyle w:val="Heading1"/>
      </w:pPr>
      <w:bookmarkStart w:id="10" w:name="O_1065736"/>
      <w:bookmarkEnd w:id="10"/>
      <w:r w:rsidRPr="00E30DFE">
        <w:t>Links</w:t>
      </w:r>
    </w:p>
    <w:p w:rsidR="00000000" w:rsidRPr="00E30DFE" w:rsidP="008C4B07">
      <w:pPr>
        <w:pStyle w:val="BodyText"/>
      </w:pPr>
      <w:r w:rsidRPr="00E30D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36F5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30DFE" w:rsidP="00E30DFE"/>
    <w:sectPr w:rsidSect="00E30D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D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DFE" w:rsidRPr="008C4B07" w:rsidP="008C4B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D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B07" w:rsidP="00E30D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4B07" w:rsidP="00E30D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C4B07" w:rsidP="00E30D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D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B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0DFE" w:rsidRPr="008C4B07" w:rsidP="008C4B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D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B07" w:rsidRPr="002D2AF8" w:rsidP="00E30D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TLIA0005 Connect and disconnect reefer units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C4B07" w:rsidP="00E30D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D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0D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0D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0D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0D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0D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0D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0D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0D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0D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0D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0DFE"/>
  </w:style>
  <w:style w:type="character" w:customStyle="1" w:styleId="Heading1Char">
    <w:name w:val="Heading 1 Char"/>
    <w:basedOn w:val="DefaultParagraphFont"/>
    <w:link w:val="Heading1"/>
    <w:rsid w:val="00E30D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0D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0DF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30DFE"/>
    <w:rPr>
      <w:b/>
      <w:spacing w:val="0"/>
    </w:rPr>
  </w:style>
  <w:style w:type="paragraph" w:customStyle="1" w:styleId="SuperHeading">
    <w:name w:val="SuperHeading"/>
    <w:basedOn w:val="Normal"/>
    <w:rsid w:val="00E30D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0D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30D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0D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0D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0D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0D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0D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0D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0D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0D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0D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0D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0D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0D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0D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0D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0D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0D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0D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0D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0DF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30D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0D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0D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0D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0DF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0D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0D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0D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0D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0D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0D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0D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0D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0D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0DFE"/>
    <w:rPr>
      <w:i/>
    </w:rPr>
  </w:style>
  <w:style w:type="paragraph" w:styleId="Caption">
    <w:name w:val="caption"/>
    <w:basedOn w:val="BodyText"/>
    <w:next w:val="Normal"/>
    <w:qFormat/>
    <w:rsid w:val="00E30D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0D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0D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0DFE"/>
  </w:style>
  <w:style w:type="paragraph" w:styleId="TableofFigures">
    <w:name w:val="table of figures"/>
    <w:basedOn w:val="Normal"/>
    <w:next w:val="Normal"/>
    <w:semiHidden/>
    <w:rsid w:val="00E30D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0DF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30DFE"/>
    <w:rPr>
      <w:rFonts w:ascii="Wingdings" w:hAnsi="Wingdings"/>
    </w:rPr>
  </w:style>
  <w:style w:type="paragraph" w:customStyle="1" w:styleId="TableHeading">
    <w:name w:val="Table Heading"/>
    <w:basedOn w:val="HeadingBase"/>
    <w:rsid w:val="00E30D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0DFE"/>
    <w:rPr>
      <w:color w:val="0033CC"/>
      <w:u w:val="none"/>
    </w:rPr>
  </w:style>
  <w:style w:type="paragraph" w:customStyle="1" w:styleId="BodyTextRight">
    <w:name w:val="Body Text Right"/>
    <w:basedOn w:val="BodyText"/>
    <w:rsid w:val="00E30D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0D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0DF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0D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0D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0D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0DFE"/>
    <w:rPr>
      <w:sz w:val="32"/>
    </w:rPr>
  </w:style>
  <w:style w:type="paragraph" w:customStyle="1" w:styleId="HeadingProcedure">
    <w:name w:val="Heading Procedure"/>
    <w:basedOn w:val="HeadingBase"/>
    <w:next w:val="Normal"/>
    <w:rsid w:val="00E30D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0DFE"/>
    <w:pPr>
      <w:spacing w:before="60" w:after="60"/>
    </w:pPr>
  </w:style>
  <w:style w:type="paragraph" w:styleId="ListContinue">
    <w:name w:val="List Continue"/>
    <w:basedOn w:val="List"/>
    <w:rsid w:val="00E30DFE"/>
    <w:pPr>
      <w:ind w:firstLine="0"/>
    </w:pPr>
  </w:style>
  <w:style w:type="paragraph" w:customStyle="1" w:styleId="ListNote">
    <w:name w:val="List Note"/>
    <w:basedOn w:val="List"/>
    <w:rsid w:val="00E30D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0D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0D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0DFE"/>
    <w:rPr>
      <w:rFonts w:ascii="Courier New" w:hAnsi="Courier New"/>
    </w:rPr>
  </w:style>
  <w:style w:type="paragraph" w:customStyle="1" w:styleId="NoteBullet">
    <w:name w:val="Note Bullet"/>
    <w:basedOn w:val="Note"/>
    <w:rsid w:val="00E30D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0D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0D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0D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0DF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30D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0D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0DFE"/>
    <w:rPr>
      <w:b/>
      <w:smallCaps/>
    </w:rPr>
  </w:style>
  <w:style w:type="paragraph" w:customStyle="1" w:styleId="TableListNumber">
    <w:name w:val="Table List Number"/>
    <w:basedOn w:val="ListNumber"/>
    <w:rsid w:val="00E30D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0D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0DFE"/>
    <w:pPr>
      <w:numPr>
        <w:numId w:val="7"/>
      </w:numPr>
    </w:pPr>
  </w:style>
  <w:style w:type="paragraph" w:customStyle="1" w:styleId="ListAlpha2">
    <w:name w:val="List Alpha 2"/>
    <w:basedOn w:val="List2"/>
    <w:rsid w:val="00E30DFE"/>
    <w:pPr>
      <w:numPr>
        <w:numId w:val="6"/>
      </w:numPr>
    </w:pPr>
  </w:style>
  <w:style w:type="paragraph" w:styleId="List2">
    <w:name w:val="List 2"/>
    <w:basedOn w:val="BodyText"/>
    <w:rsid w:val="00E30D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0D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0D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0D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0DF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0DF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30DFE"/>
    <w:pPr>
      <w:numPr>
        <w:numId w:val="2"/>
      </w:numPr>
    </w:pPr>
  </w:style>
  <w:style w:type="paragraph" w:styleId="ListContinue2">
    <w:name w:val="List Continue 2"/>
    <w:basedOn w:val="List2"/>
    <w:rsid w:val="00E30DFE"/>
    <w:pPr>
      <w:ind w:firstLine="0"/>
    </w:pPr>
  </w:style>
  <w:style w:type="paragraph" w:styleId="ListContinue3">
    <w:name w:val="List Continue 3"/>
    <w:basedOn w:val="List3"/>
    <w:rsid w:val="00E30DFE"/>
    <w:pPr>
      <w:ind w:left="1021" w:firstLine="0"/>
    </w:pPr>
  </w:style>
  <w:style w:type="paragraph" w:styleId="ListContinue4">
    <w:name w:val="List Continue 4"/>
    <w:basedOn w:val="List4"/>
    <w:rsid w:val="00E30DFE"/>
    <w:pPr>
      <w:ind w:firstLine="0"/>
    </w:pPr>
  </w:style>
  <w:style w:type="paragraph" w:styleId="ListContinue5">
    <w:name w:val="List Continue 5"/>
    <w:basedOn w:val="List5"/>
    <w:rsid w:val="00E30DFE"/>
    <w:pPr>
      <w:ind w:firstLine="0"/>
    </w:pPr>
  </w:style>
  <w:style w:type="paragraph" w:styleId="ListNumber3">
    <w:name w:val="List Number 3"/>
    <w:basedOn w:val="List3"/>
    <w:rsid w:val="00E30DFE"/>
    <w:pPr>
      <w:numPr>
        <w:numId w:val="3"/>
      </w:numPr>
    </w:pPr>
  </w:style>
  <w:style w:type="paragraph" w:styleId="ListNumber4">
    <w:name w:val="List Number 4"/>
    <w:basedOn w:val="List4"/>
    <w:rsid w:val="00E30DFE"/>
    <w:pPr>
      <w:numPr>
        <w:numId w:val="4"/>
      </w:numPr>
    </w:pPr>
  </w:style>
  <w:style w:type="paragraph" w:styleId="ListNumber5">
    <w:name w:val="List Number 5"/>
    <w:basedOn w:val="List5"/>
    <w:rsid w:val="00E30DFE"/>
    <w:pPr>
      <w:numPr>
        <w:numId w:val="5"/>
      </w:numPr>
    </w:pPr>
  </w:style>
  <w:style w:type="paragraph" w:styleId="BlockText">
    <w:name w:val="Block Text"/>
    <w:basedOn w:val="Normal"/>
    <w:rsid w:val="00E30D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0D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0DFE"/>
    <w:rPr>
      <w:sz w:val="16"/>
      <w:vertAlign w:val="superscript"/>
    </w:rPr>
  </w:style>
  <w:style w:type="character" w:customStyle="1" w:styleId="Symbols">
    <w:name w:val="Symbols"/>
    <w:basedOn w:val="DefaultParagraphFont"/>
    <w:rsid w:val="00E30DFE"/>
    <w:rPr>
      <w:rFonts w:ascii="Symbol" w:hAnsi="Symbol"/>
    </w:rPr>
  </w:style>
  <w:style w:type="character" w:customStyle="1" w:styleId="MenuOptions">
    <w:name w:val="Menu Options"/>
    <w:basedOn w:val="DefaultParagraphFont"/>
    <w:rsid w:val="00E30D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0DFE"/>
    <w:rPr>
      <w:b/>
    </w:rPr>
  </w:style>
  <w:style w:type="character" w:customStyle="1" w:styleId="Underlined">
    <w:name w:val="Underlined"/>
    <w:basedOn w:val="DefaultParagraphFont"/>
    <w:rsid w:val="00E30DFE"/>
    <w:rPr>
      <w:u w:val="single"/>
    </w:rPr>
  </w:style>
  <w:style w:type="paragraph" w:customStyle="1" w:styleId="TableBodyTextRight">
    <w:name w:val="Table Body Text Right"/>
    <w:basedOn w:val="TableBodyText"/>
    <w:rsid w:val="00E30D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0DFE"/>
    <w:rPr>
      <w:sz w:val="18"/>
    </w:rPr>
  </w:style>
  <w:style w:type="paragraph" w:customStyle="1" w:styleId="BodySmallRight">
    <w:name w:val="Body Small Right"/>
    <w:basedOn w:val="BodyTextRight"/>
    <w:rsid w:val="00E30DFE"/>
    <w:rPr>
      <w:sz w:val="18"/>
      <w:szCs w:val="18"/>
    </w:rPr>
  </w:style>
  <w:style w:type="paragraph" w:customStyle="1" w:styleId="MarginEdition">
    <w:name w:val="Margin Edition"/>
    <w:basedOn w:val="MarginNote"/>
    <w:rsid w:val="00E30D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0DFE"/>
    <w:rPr>
      <w:sz w:val="2"/>
      <w:szCs w:val="2"/>
    </w:rPr>
  </w:style>
  <w:style w:type="character" w:customStyle="1" w:styleId="Small">
    <w:name w:val="Small"/>
    <w:basedOn w:val="DefaultParagraphFont"/>
    <w:rsid w:val="00E30DFE"/>
    <w:rPr>
      <w:sz w:val="16"/>
    </w:rPr>
  </w:style>
  <w:style w:type="paragraph" w:customStyle="1" w:styleId="WideTable">
    <w:name w:val="Wide Table"/>
    <w:basedOn w:val="Normal"/>
    <w:rsid w:val="00E30D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0DFE"/>
  </w:style>
  <w:style w:type="paragraph" w:styleId="Quote">
    <w:name w:val="Quote"/>
    <w:basedOn w:val="Heading1"/>
    <w:link w:val="QuoteChar"/>
    <w:qFormat/>
    <w:rsid w:val="00E30D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0D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0DFE"/>
    <w:pPr>
      <w:pageBreakBefore/>
    </w:pPr>
  </w:style>
  <w:style w:type="paragraph" w:customStyle="1" w:styleId="Border">
    <w:name w:val="Border"/>
    <w:basedOn w:val="Normal"/>
    <w:qFormat/>
    <w:rsid w:val="00E30D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0D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0D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0D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0D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0D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0D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0D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0D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0DFE"/>
    <w:rPr>
      <w:u w:val="single"/>
    </w:rPr>
  </w:style>
  <w:style w:type="character" w:customStyle="1" w:styleId="BoldandItalics">
    <w:name w:val="Bold and Italics"/>
    <w:qFormat/>
    <w:rsid w:val="00E30DFE"/>
    <w:rPr>
      <w:b/>
      <w:i/>
      <w:u w:val="none"/>
    </w:rPr>
  </w:style>
  <w:style w:type="paragraph" w:styleId="BalloonText">
    <w:name w:val="Balloon Text"/>
    <w:basedOn w:val="Normal"/>
    <w:link w:val="BalloonTextChar"/>
    <w:rsid w:val="00E30D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0D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0D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0D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0D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0D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0DFE"/>
    <w:pPr>
      <w:spacing w:before="0" w:after="0"/>
    </w:pPr>
  </w:style>
  <w:style w:type="paragraph" w:customStyle="1" w:styleId="BodyTextBold">
    <w:name w:val="Body Text Bold"/>
    <w:basedOn w:val="BodyText"/>
    <w:qFormat/>
    <w:rsid w:val="00E30DFE"/>
    <w:rPr>
      <w:b/>
    </w:rPr>
  </w:style>
  <w:style w:type="character" w:styleId="Hyperlink">
    <w:name w:val="Hyperlink"/>
    <w:basedOn w:val="DefaultParagraphFont"/>
    <w:uiPriority w:val="99"/>
    <w:unhideWhenUsed/>
    <w:rsid w:val="008C4B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388</Words>
  <Characters>2478</Characters>
  <Application>Microsoft Office Word</Application>
  <DocSecurity>0</DocSecurity>
  <Lines>118</Lines>
  <Paragraphs>60</Paragraphs>
  <ScaleCrop>false</ScaleCrop>
  <Company>Author-it Software Corporation Ltd.</Company>
  <LinksUpToDate>false</LinksUpToDate>
  <CharactersWithSpaces>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TLIA0005 Connect and disconnect reefer units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2024-07-12T08:13:00Z</dcterms:created>
  <dcterms:modified xsi:type="dcterms:W3CDTF">2024-07-12T08:13:00Z</dcterms:modified>
</cp:coreProperties>
</file>