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E11" w:rsidP="00C96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TLIA0002 Prepare cargo for export</w:t>
      </w:r>
      <w:r>
        <w:fldChar w:fldCharType="end"/>
      </w:r>
    </w:p>
    <w:p w:rsidR="00C96E11" w:rsidP="00C96E11">
      <w:pPr>
        <w:pStyle w:val="Version"/>
        <w:sectPr w:rsidSect="00B94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CDB" w:rsidP="00B94CDB">
      <w:pPr>
        <w:pStyle w:val="SuperHeading"/>
      </w:pPr>
      <w:r w:rsidRPr="00B94CDB">
        <w:t>TLIA0002 Prepare cargo for export</w:t>
      </w:r>
    </w:p>
    <w:p w:rsidR="00000000" w:rsidRPr="00B94CDB" w:rsidP="00B94CDB">
      <w:pPr>
        <w:pStyle w:val="Heading1"/>
      </w:pPr>
      <w:bookmarkStart w:id="1" w:name="O_837772"/>
      <w:bookmarkEnd w:id="1"/>
      <w:r w:rsidRPr="00B94CDB">
        <w:t>Modification History</w:t>
      </w:r>
    </w:p>
    <w:p w:rsidR="00C96E11" w:rsidP="00C96E11">
      <w:pPr>
        <w:pStyle w:val="BodyText"/>
      </w:pPr>
      <w:r w:rsidRPr="00B94CDB">
        <w:t>Release 1. This is the first release of this unit of competency in the TLI Transport and Logistics Training Package.</w:t>
      </w:r>
    </w:p>
    <w:p w:rsidR="00000000" w:rsidRPr="00B94CDB" w:rsidP="00B94CDB">
      <w:pPr>
        <w:pStyle w:val="Heading1"/>
      </w:pPr>
      <w:bookmarkStart w:id="2" w:name="O_837773"/>
      <w:bookmarkEnd w:id="2"/>
      <w:r w:rsidRPr="00B94CD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96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CDB" w:rsidP="00B94CDB">
            <w:pPr>
              <w:pStyle w:val="BodyText"/>
            </w:pPr>
            <w:r w:rsidRPr="00B94CDB">
              <w:t>This unit involves the skills and knowledge required to prepare cargo for export and inc</w:t>
            </w:r>
            <w:r w:rsidRPr="00B94CDB">
              <w:t>ludes confirming correct preparation of the consignment, organising cargo loading and processing documentation.</w:t>
            </w:r>
          </w:p>
          <w:p w:rsidR="00000000" w:rsidRPr="00B94CDB" w:rsidP="00B94CDB">
            <w:pPr>
              <w:pStyle w:val="BodyText"/>
            </w:pPr>
            <w:r w:rsidRPr="00B94CDB">
              <w:t>Work must be must be carried out in compliance with relevant international and domestic legislation, regulations and codes of practice for expor</w:t>
            </w:r>
            <w:r w:rsidRPr="00B94CDB">
              <w:t>ting cargo.</w:t>
            </w:r>
          </w:p>
          <w:p w:rsidR="00000000" w:rsidRPr="00B94CDB" w:rsidP="00B94CDB">
            <w:pPr>
              <w:pStyle w:val="BodyText"/>
            </w:pPr>
            <w:r w:rsidRPr="00B94CDB">
              <w:t>Work is performed under general supervision, with some accountability and responsibility for self and others in achieving prescribed outcomes.</w:t>
            </w:r>
          </w:p>
          <w:p w:rsidR="00000000" w:rsidRPr="00B94CDB" w:rsidP="00B94CDB">
            <w:pPr>
              <w:pStyle w:val="BodyText"/>
            </w:pPr>
            <w:r w:rsidRPr="00B94CDB">
              <w:t>Work involves the application of routine freight forwarding principles and procedures to prepare carg</w:t>
            </w:r>
            <w:r w:rsidRPr="00B94CDB">
              <w:t>o for export.</w:t>
            </w:r>
          </w:p>
          <w:p w:rsidR="00000000" w:rsidRPr="00B94CDB" w:rsidP="00B94CDB">
            <w:pPr>
              <w:pStyle w:val="BodyText"/>
            </w:pPr>
            <w:r w:rsidRPr="00B94CDB">
              <w:t>No licensing, legislative or certification requirements apply to this unit at the time of publication.</w:t>
            </w:r>
          </w:p>
        </w:tc>
      </w:tr>
    </w:tbl>
    <w:p w:rsidR="00C96E11" w:rsidP="00B94CDB">
      <w:pPr>
        <w:pStyle w:val="BodyText"/>
      </w:pPr>
    </w:p>
    <w:p w:rsidR="00C96E11" w:rsidP="00B94CDB">
      <w:pPr>
        <w:pStyle w:val="BodyText"/>
      </w:pPr>
    </w:p>
    <w:p w:rsidR="00000000" w:rsidRPr="00B94CDB" w:rsidP="00B94CDB">
      <w:pPr>
        <w:pStyle w:val="Heading1"/>
      </w:pPr>
      <w:bookmarkStart w:id="3" w:name="O_837774"/>
      <w:bookmarkEnd w:id="3"/>
      <w:r w:rsidRPr="00B94CDB">
        <w:t>Pre-requisite Unit</w:t>
      </w:r>
    </w:p>
    <w:p w:rsidR="00C96E11" w:rsidP="00C96E11">
      <w:pPr>
        <w:pStyle w:val="BodyText"/>
      </w:pPr>
      <w:r w:rsidRPr="00B94CDB">
        <w:t>Not applicable.</w:t>
      </w:r>
    </w:p>
    <w:p w:rsidR="00000000" w:rsidRPr="00B94CDB" w:rsidP="00B94CDB">
      <w:pPr>
        <w:pStyle w:val="Heading1"/>
      </w:pPr>
      <w:bookmarkStart w:id="4" w:name="O_837775"/>
      <w:bookmarkEnd w:id="4"/>
      <w:r w:rsidRPr="00B94CDB">
        <w:t>Competency Field</w:t>
      </w:r>
    </w:p>
    <w:p w:rsidR="00C96E11" w:rsidP="00C96E11">
      <w:pPr>
        <w:pStyle w:val="BodyText"/>
      </w:pPr>
      <w:r w:rsidRPr="00B94CDB">
        <w:t>A – Handling Cargo/Stock</w:t>
      </w:r>
    </w:p>
    <w:p w:rsidR="00000000" w:rsidRPr="00B94CDB" w:rsidP="00B94CDB">
      <w:pPr>
        <w:pStyle w:val="Heading1"/>
      </w:pPr>
      <w:bookmarkStart w:id="5" w:name="O_837776"/>
      <w:bookmarkEnd w:id="5"/>
      <w:r w:rsidRPr="00B94CDB">
        <w:t>Unit Sector</w:t>
      </w:r>
    </w:p>
    <w:p w:rsidR="00C96E11" w:rsidP="00C96E11">
      <w:pPr>
        <w:pStyle w:val="BodyText"/>
      </w:pPr>
      <w:r w:rsidRPr="00B94CDB">
        <w:t>Not applicable.</w:t>
      </w:r>
    </w:p>
    <w:p w:rsidR="00000000" w:rsidRPr="00B94CDB" w:rsidP="00B94CDB">
      <w:pPr>
        <w:pStyle w:val="Heading1"/>
      </w:pPr>
      <w:bookmarkStart w:id="6" w:name="O_837777"/>
      <w:bookmarkEnd w:id="6"/>
      <w:r w:rsidRPr="00B94CD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2"/>
        <w:gridCol w:w="1824"/>
        <w:gridCol w:w="569"/>
        <w:gridCol w:w="6461"/>
      </w:tblGrid>
      <w:tr w:rsidTr="00C96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CDB" w:rsidP="00B94CDB">
            <w:pPr>
              <w:pStyle w:val="BodyText"/>
            </w:pPr>
            <w:r w:rsidRPr="00B94CD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rPr>
                <w:rStyle w:val="SpecialBold"/>
              </w:rPr>
              <w:t>PERFORMANCE CRITERIA</w:t>
            </w:r>
          </w:p>
        </w:tc>
      </w:tr>
      <w:tr w:rsidTr="00C96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 xml:space="preserve">Elements describe the </w:t>
            </w:r>
            <w:r w:rsidRPr="00B94CDB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 xml:space="preserve">Performance criteria describe the performance needed to demonstrate achievement of the </w:t>
            </w:r>
            <w:r w:rsidRPr="00B94CDB">
              <w:t>element.</w:t>
            </w:r>
          </w:p>
        </w:tc>
      </w:tr>
      <w:tr w:rsidTr="00C96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CDB" w:rsidP="00B94CDB">
            <w:pPr>
              <w:pStyle w:val="BodyText"/>
            </w:pPr>
            <w:r w:rsidRPr="00B94CD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rPr>
                <w:rStyle w:val="SpecialBold"/>
              </w:rPr>
              <w:t>Confirm correct preparation of consignment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Consignment is checked to ensure cargo is consistent with packing specification and is suitable for mode and method of transport</w:t>
            </w:r>
          </w:p>
        </w:tc>
      </w:tr>
      <w:tr w:rsidTr="00C96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 xml:space="preserve">Consignment is checked to ensure </w:t>
            </w:r>
            <w:r w:rsidRPr="00B94CDB">
              <w:t>labelling and marking of cargo conforms with domestic and international regulations, and workplace requirements and that packaging of cargo conforms to regulatory requirements and is appropriate for transport method</w:t>
            </w:r>
          </w:p>
        </w:tc>
      </w:tr>
      <w:tr w:rsidTr="00C96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Cargo is checked for dangerous go</w:t>
            </w:r>
            <w:r w:rsidRPr="00B94CDB">
              <w:t>ods or explosives and conformance of packaging and labelling with Australian and international dangerous goods or explosives codes is confirmed as required</w:t>
            </w:r>
          </w:p>
        </w:tc>
      </w:tr>
      <w:tr w:rsidTr="00C96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Discrepancies in composition or preparation of cargo are noted and appropriate action is unde</w:t>
            </w:r>
            <w:r w:rsidRPr="00B94CDB">
              <w:t>rtaken in accordance with workplace procedures</w:t>
            </w:r>
          </w:p>
        </w:tc>
      </w:tr>
      <w:tr w:rsidTr="00C96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CDB" w:rsidP="00B94CDB">
            <w:pPr>
              <w:pStyle w:val="BodyText"/>
            </w:pPr>
            <w:r w:rsidRPr="00B94CD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rPr>
                <w:rStyle w:val="SpecialBold"/>
              </w:rPr>
              <w:t xml:space="preserve">Organise cargo loading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Handling methods and equipment suitable for goods, transport mode and method are selected</w:t>
            </w:r>
          </w:p>
        </w:tc>
      </w:tr>
      <w:tr w:rsidTr="00C96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Goods transfer methods between modes of transport are selected as required</w:t>
            </w:r>
          </w:p>
        </w:tc>
      </w:tr>
      <w:tr w:rsidTr="00C96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Procedures for cargo loading are organised and followed in accordance with legislative and workplace requirements</w:t>
            </w:r>
          </w:p>
        </w:tc>
      </w:tr>
      <w:tr w:rsidTr="00C96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CDB" w:rsidP="00B94CDB">
            <w:pPr>
              <w:pStyle w:val="BodyText"/>
            </w:pPr>
            <w:r w:rsidRPr="00B94CD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rPr>
                <w:rStyle w:val="SpecialBold"/>
              </w:rPr>
              <w:t>Process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All relevant documentation is consolidated and checked for completion and accuracy</w:t>
            </w:r>
          </w:p>
        </w:tc>
      </w:tr>
      <w:tr w:rsidTr="00C96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 xml:space="preserve">Discrepancies in documentation are identified and appropriate action is undertaken in accordance with workplace procedures </w:t>
            </w:r>
          </w:p>
        </w:tc>
      </w:tr>
      <w:tr w:rsidTr="00C96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 xml:space="preserve">Dangerous goods declaration is obtained from consignor as required </w:t>
            </w:r>
          </w:p>
        </w:tc>
      </w:tr>
      <w:tr w:rsidTr="00C96E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CDB">
            <w:pPr>
              <w:pStyle w:val="BodyText"/>
              <w:rPr>
                <w:lang w:val="en-NZ"/>
              </w:rPr>
            </w:pPr>
            <w:r w:rsidRPr="00B94CD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CDB" w:rsidP="00B94CDB">
            <w:pPr>
              <w:pStyle w:val="BodyText"/>
            </w:pPr>
            <w:r w:rsidRPr="00B94CDB">
              <w:t>Copies of documents are retained in accordance with regulatory requirements and workplace procedures</w:t>
            </w:r>
          </w:p>
        </w:tc>
      </w:tr>
    </w:tbl>
    <w:p w:rsidR="00C96E11" w:rsidP="00B94CDB">
      <w:pPr>
        <w:pStyle w:val="BodyText"/>
      </w:pPr>
    </w:p>
    <w:p w:rsidR="00C96E11" w:rsidP="00B94CDB">
      <w:pPr>
        <w:pStyle w:val="BodyText"/>
      </w:pPr>
    </w:p>
    <w:p w:rsidR="00000000" w:rsidRPr="00B94CDB" w:rsidP="00B94CDB">
      <w:pPr>
        <w:pStyle w:val="Heading1"/>
      </w:pPr>
      <w:bookmarkStart w:id="7" w:name="O_837778"/>
      <w:bookmarkEnd w:id="7"/>
      <w:r w:rsidRPr="00B94CDB">
        <w:t>Foundation Skills</w:t>
      </w:r>
    </w:p>
    <w:p w:rsidR="00C96E11" w:rsidP="00C96E11">
      <w:pPr>
        <w:pStyle w:val="BodyText"/>
      </w:pPr>
      <w:r w:rsidRPr="00B94CDB">
        <w:t>Foundation skills essential to performance are explicit in the performance criteria of this unit of competency.</w:t>
      </w:r>
    </w:p>
    <w:p w:rsidR="00000000" w:rsidRPr="00B94CDB" w:rsidP="00B94CDB">
      <w:pPr>
        <w:pStyle w:val="Heading1"/>
      </w:pPr>
      <w:bookmarkStart w:id="8" w:name="O_837779"/>
      <w:bookmarkEnd w:id="8"/>
      <w:r w:rsidRPr="00B94CDB">
        <w:t>Range of Conditions</w:t>
      </w:r>
    </w:p>
    <w:p w:rsidR="00000000" w:rsidRPr="00B94CDB" w:rsidP="00C96E11">
      <w:pPr>
        <w:pStyle w:val="BodyText"/>
      </w:pPr>
      <w:r w:rsidRPr="00B94CDB">
        <w:t>Range is restricted to essential operating conditions and any other variables essential to the work environment.</w:t>
      </w:r>
    </w:p>
    <w:p w:rsidR="00C96E11" w:rsidP="00C96E11">
      <w:pPr>
        <w:pStyle w:val="BodyText"/>
      </w:pPr>
      <w:r w:rsidRPr="00B94CDB">
        <w:t>Non-essential conditions can be found in the Companion Volume Implementation Guide.</w:t>
      </w:r>
    </w:p>
    <w:p w:rsidR="00000000" w:rsidRPr="00B94CDB" w:rsidP="00B94CDB">
      <w:pPr>
        <w:pStyle w:val="Heading1"/>
      </w:pPr>
      <w:bookmarkStart w:id="9" w:name="O_837780"/>
      <w:bookmarkEnd w:id="9"/>
      <w:r w:rsidRPr="00B94CDB">
        <w:t>Unit Map</w:t>
      </w:r>
      <w:r w:rsidRPr="00B94CDB">
        <w:t>ping Information</w:t>
      </w:r>
    </w:p>
    <w:p w:rsidR="00C96E11" w:rsidP="00C96E11">
      <w:pPr>
        <w:pStyle w:val="BodyText"/>
      </w:pPr>
      <w:r w:rsidRPr="00B94CDB">
        <w:t xml:space="preserve">This unit replaces but is </w:t>
      </w:r>
      <w:r w:rsidRPr="00B94CDB">
        <w:rPr>
          <w:rStyle w:val="SpecialBold"/>
        </w:rPr>
        <w:t xml:space="preserve">not </w:t>
      </w:r>
      <w:r w:rsidRPr="00B94CDB">
        <w:t>equivalent to TLIA4030A Organise cargo for export.</w:t>
      </w:r>
    </w:p>
    <w:p w:rsidR="00000000" w:rsidRPr="00B94CDB" w:rsidP="00B94CDB">
      <w:pPr>
        <w:pStyle w:val="Heading1"/>
      </w:pPr>
      <w:bookmarkStart w:id="10" w:name="O_837787"/>
      <w:bookmarkEnd w:id="10"/>
      <w:r w:rsidRPr="00B94CDB">
        <w:t>Links</w:t>
      </w:r>
    </w:p>
    <w:p w:rsidR="00000000" w:rsidRPr="00B94CDB" w:rsidP="00C96E11">
      <w:pPr>
        <w:pStyle w:val="BodyText"/>
      </w:pPr>
      <w:r w:rsidRPr="00B94C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C2C7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94CDB" w:rsidP="00B94CDB"/>
    <w:sectPr w:rsidSect="00B94C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CDB" w:rsidRPr="00C96E11" w:rsidP="00C96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E11" w:rsidP="00B94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6E11" w:rsidP="00B94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96E11" w:rsidP="00B94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CDB" w:rsidRPr="00C96E11" w:rsidP="00C96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E11" w:rsidRPr="002D2AF8" w:rsidP="00B94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TLIA0002 Prepare cargo for export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96E11" w:rsidP="00B94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CDB"/>
  </w:style>
  <w:style w:type="character" w:customStyle="1" w:styleId="Heading1Char">
    <w:name w:val="Heading 1 Char"/>
    <w:basedOn w:val="DefaultParagraphFont"/>
    <w:link w:val="Heading1"/>
    <w:rsid w:val="00B94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C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4CDB"/>
    <w:rPr>
      <w:b/>
      <w:spacing w:val="0"/>
    </w:rPr>
  </w:style>
  <w:style w:type="paragraph" w:customStyle="1" w:styleId="SuperHeading">
    <w:name w:val="SuperHeading"/>
    <w:basedOn w:val="Normal"/>
    <w:rsid w:val="00B94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C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C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4C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4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4C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4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C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4CDB"/>
    <w:rPr>
      <w:i/>
    </w:rPr>
  </w:style>
  <w:style w:type="paragraph" w:styleId="Caption">
    <w:name w:val="caption"/>
    <w:basedOn w:val="BodyText"/>
    <w:next w:val="Normal"/>
    <w:qFormat/>
    <w:rsid w:val="00B94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CDB"/>
  </w:style>
  <w:style w:type="paragraph" w:styleId="TableofFigures">
    <w:name w:val="table of figures"/>
    <w:basedOn w:val="Normal"/>
    <w:next w:val="Normal"/>
    <w:semiHidden/>
    <w:rsid w:val="00B94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C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4CDB"/>
    <w:rPr>
      <w:rFonts w:ascii="Wingdings" w:hAnsi="Wingdings"/>
    </w:rPr>
  </w:style>
  <w:style w:type="paragraph" w:customStyle="1" w:styleId="TableHeading">
    <w:name w:val="Table Heading"/>
    <w:basedOn w:val="HeadingBase"/>
    <w:rsid w:val="00B94C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CDB"/>
    <w:rPr>
      <w:color w:val="0033CC"/>
      <w:u w:val="none"/>
    </w:rPr>
  </w:style>
  <w:style w:type="paragraph" w:customStyle="1" w:styleId="BodyTextRight">
    <w:name w:val="Body Text Right"/>
    <w:basedOn w:val="BodyText"/>
    <w:rsid w:val="00B94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C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CDB"/>
    <w:rPr>
      <w:sz w:val="32"/>
    </w:rPr>
  </w:style>
  <w:style w:type="paragraph" w:customStyle="1" w:styleId="HeadingProcedure">
    <w:name w:val="Heading Procedure"/>
    <w:basedOn w:val="HeadingBase"/>
    <w:next w:val="Normal"/>
    <w:rsid w:val="00B94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CDB"/>
    <w:pPr>
      <w:spacing w:before="60" w:after="60"/>
    </w:pPr>
  </w:style>
  <w:style w:type="paragraph" w:styleId="ListContinue">
    <w:name w:val="List Continue"/>
    <w:basedOn w:val="List"/>
    <w:rsid w:val="00B94CDB"/>
    <w:pPr>
      <w:ind w:firstLine="0"/>
    </w:pPr>
  </w:style>
  <w:style w:type="paragraph" w:customStyle="1" w:styleId="ListNote">
    <w:name w:val="List Note"/>
    <w:basedOn w:val="List"/>
    <w:rsid w:val="00B94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CDB"/>
    <w:rPr>
      <w:rFonts w:ascii="Courier New" w:hAnsi="Courier New"/>
    </w:rPr>
  </w:style>
  <w:style w:type="paragraph" w:customStyle="1" w:styleId="NoteBullet">
    <w:name w:val="Note Bullet"/>
    <w:basedOn w:val="Note"/>
    <w:rsid w:val="00B94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C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4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CDB"/>
    <w:rPr>
      <w:b/>
      <w:smallCaps/>
    </w:rPr>
  </w:style>
  <w:style w:type="paragraph" w:customStyle="1" w:styleId="TableListNumber">
    <w:name w:val="Table List Number"/>
    <w:basedOn w:val="ListNumber"/>
    <w:rsid w:val="00B94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CDB"/>
    <w:pPr>
      <w:numPr>
        <w:numId w:val="7"/>
      </w:numPr>
    </w:pPr>
  </w:style>
  <w:style w:type="paragraph" w:customStyle="1" w:styleId="ListAlpha2">
    <w:name w:val="List Alpha 2"/>
    <w:basedOn w:val="List2"/>
    <w:rsid w:val="00B94CDB"/>
    <w:pPr>
      <w:numPr>
        <w:numId w:val="6"/>
      </w:numPr>
    </w:pPr>
  </w:style>
  <w:style w:type="paragraph" w:styleId="List2">
    <w:name w:val="List 2"/>
    <w:basedOn w:val="BodyText"/>
    <w:rsid w:val="00B94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C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C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4CDB"/>
    <w:pPr>
      <w:numPr>
        <w:numId w:val="2"/>
      </w:numPr>
    </w:pPr>
  </w:style>
  <w:style w:type="paragraph" w:styleId="ListContinue2">
    <w:name w:val="List Continue 2"/>
    <w:basedOn w:val="List2"/>
    <w:rsid w:val="00B94CDB"/>
    <w:pPr>
      <w:ind w:firstLine="0"/>
    </w:pPr>
  </w:style>
  <w:style w:type="paragraph" w:styleId="ListContinue3">
    <w:name w:val="List Continue 3"/>
    <w:basedOn w:val="List3"/>
    <w:rsid w:val="00B94CDB"/>
    <w:pPr>
      <w:ind w:left="1021" w:firstLine="0"/>
    </w:pPr>
  </w:style>
  <w:style w:type="paragraph" w:styleId="ListContinue4">
    <w:name w:val="List Continue 4"/>
    <w:basedOn w:val="List4"/>
    <w:rsid w:val="00B94CDB"/>
    <w:pPr>
      <w:ind w:firstLine="0"/>
    </w:pPr>
  </w:style>
  <w:style w:type="paragraph" w:styleId="ListContinue5">
    <w:name w:val="List Continue 5"/>
    <w:basedOn w:val="List5"/>
    <w:rsid w:val="00B94CDB"/>
    <w:pPr>
      <w:ind w:firstLine="0"/>
    </w:pPr>
  </w:style>
  <w:style w:type="paragraph" w:styleId="ListNumber3">
    <w:name w:val="List Number 3"/>
    <w:basedOn w:val="List3"/>
    <w:rsid w:val="00B94CDB"/>
    <w:pPr>
      <w:numPr>
        <w:numId w:val="3"/>
      </w:numPr>
    </w:pPr>
  </w:style>
  <w:style w:type="paragraph" w:styleId="ListNumber4">
    <w:name w:val="List Number 4"/>
    <w:basedOn w:val="List4"/>
    <w:rsid w:val="00B94CDB"/>
    <w:pPr>
      <w:numPr>
        <w:numId w:val="4"/>
      </w:numPr>
    </w:pPr>
  </w:style>
  <w:style w:type="paragraph" w:styleId="ListNumber5">
    <w:name w:val="List Number 5"/>
    <w:basedOn w:val="List5"/>
    <w:rsid w:val="00B94CDB"/>
    <w:pPr>
      <w:numPr>
        <w:numId w:val="5"/>
      </w:numPr>
    </w:pPr>
  </w:style>
  <w:style w:type="paragraph" w:styleId="BlockText">
    <w:name w:val="Block Text"/>
    <w:basedOn w:val="Normal"/>
    <w:rsid w:val="00B94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CDB"/>
    <w:rPr>
      <w:sz w:val="16"/>
      <w:vertAlign w:val="superscript"/>
    </w:rPr>
  </w:style>
  <w:style w:type="character" w:customStyle="1" w:styleId="Symbols">
    <w:name w:val="Symbols"/>
    <w:basedOn w:val="DefaultParagraphFont"/>
    <w:rsid w:val="00B94CDB"/>
    <w:rPr>
      <w:rFonts w:ascii="Symbol" w:hAnsi="Symbol"/>
    </w:rPr>
  </w:style>
  <w:style w:type="character" w:customStyle="1" w:styleId="MenuOptions">
    <w:name w:val="Menu Options"/>
    <w:basedOn w:val="DefaultParagraphFont"/>
    <w:rsid w:val="00B94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CDB"/>
    <w:rPr>
      <w:b/>
    </w:rPr>
  </w:style>
  <w:style w:type="character" w:customStyle="1" w:styleId="Underlined">
    <w:name w:val="Underlined"/>
    <w:basedOn w:val="DefaultParagraphFont"/>
    <w:rsid w:val="00B94CDB"/>
    <w:rPr>
      <w:u w:val="single"/>
    </w:rPr>
  </w:style>
  <w:style w:type="paragraph" w:customStyle="1" w:styleId="TableBodyTextRight">
    <w:name w:val="Table Body Text Right"/>
    <w:basedOn w:val="TableBodyText"/>
    <w:rsid w:val="00B94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CDB"/>
    <w:rPr>
      <w:sz w:val="18"/>
    </w:rPr>
  </w:style>
  <w:style w:type="paragraph" w:customStyle="1" w:styleId="BodySmallRight">
    <w:name w:val="Body Small Right"/>
    <w:basedOn w:val="BodyTextRight"/>
    <w:rsid w:val="00B94CDB"/>
    <w:rPr>
      <w:sz w:val="18"/>
      <w:szCs w:val="18"/>
    </w:rPr>
  </w:style>
  <w:style w:type="paragraph" w:customStyle="1" w:styleId="MarginEdition">
    <w:name w:val="Margin Edition"/>
    <w:basedOn w:val="MarginNote"/>
    <w:rsid w:val="00B94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CDB"/>
    <w:rPr>
      <w:sz w:val="2"/>
      <w:szCs w:val="2"/>
    </w:rPr>
  </w:style>
  <w:style w:type="character" w:customStyle="1" w:styleId="Small">
    <w:name w:val="Small"/>
    <w:basedOn w:val="DefaultParagraphFont"/>
    <w:rsid w:val="00B94CDB"/>
    <w:rPr>
      <w:sz w:val="16"/>
    </w:rPr>
  </w:style>
  <w:style w:type="paragraph" w:customStyle="1" w:styleId="WideTable">
    <w:name w:val="Wide Table"/>
    <w:basedOn w:val="Normal"/>
    <w:rsid w:val="00B94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CDB"/>
  </w:style>
  <w:style w:type="paragraph" w:styleId="Quote">
    <w:name w:val="Quote"/>
    <w:basedOn w:val="Heading1"/>
    <w:link w:val="QuoteChar"/>
    <w:qFormat/>
    <w:rsid w:val="00B94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CDB"/>
    <w:pPr>
      <w:pageBreakBefore/>
    </w:pPr>
  </w:style>
  <w:style w:type="paragraph" w:customStyle="1" w:styleId="Border">
    <w:name w:val="Border"/>
    <w:basedOn w:val="Normal"/>
    <w:qFormat/>
    <w:rsid w:val="00B94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CDB"/>
    <w:rPr>
      <w:u w:val="single"/>
    </w:rPr>
  </w:style>
  <w:style w:type="character" w:customStyle="1" w:styleId="BoldandItalics">
    <w:name w:val="Bold and Italics"/>
    <w:qFormat/>
    <w:rsid w:val="00B94CDB"/>
    <w:rPr>
      <w:b/>
      <w:i/>
      <w:u w:val="none"/>
    </w:rPr>
  </w:style>
  <w:style w:type="paragraph" w:styleId="BalloonText">
    <w:name w:val="Balloon Text"/>
    <w:basedOn w:val="Normal"/>
    <w:link w:val="BalloonTextChar"/>
    <w:rsid w:val="00B94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CDB"/>
    <w:pPr>
      <w:spacing w:before="0" w:after="0"/>
    </w:pPr>
  </w:style>
  <w:style w:type="paragraph" w:customStyle="1" w:styleId="BodyTextBold">
    <w:name w:val="Body Text Bold"/>
    <w:basedOn w:val="BodyText"/>
    <w:qFormat/>
    <w:rsid w:val="00B94CDB"/>
    <w:rPr>
      <w:b/>
    </w:rPr>
  </w:style>
  <w:style w:type="character" w:styleId="Hyperlink">
    <w:name w:val="Hyperlink"/>
    <w:basedOn w:val="DefaultParagraphFont"/>
    <w:uiPriority w:val="99"/>
    <w:unhideWhenUsed/>
    <w:rsid w:val="00C96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3078</Characters>
  <Application>Microsoft Office Word</Application>
  <DocSecurity>0</DocSecurity>
  <Lines>123</Lines>
  <Paragraphs>71</Paragraphs>
  <ScaleCrop>false</ScaleCrop>
  <Company>Author-it Software Corporation Ltd.</Company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TLIA0002 Prepare cargo for export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