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3E3E" w:rsidP="00CC3E3E">
      <w:pPr>
        <w:pStyle w:val="Title"/>
      </w:pPr>
      <w:r>
        <w:fldChar w:fldCharType="begin"/>
      </w:r>
      <w:r>
        <w:instrText xml:space="preserve"> TITLE   \* MERGEFORMAT </w:instrText>
      </w:r>
      <w:r>
        <w:fldChar w:fldCharType="separate"/>
      </w:r>
      <w:r>
        <w:t>TLI50515 Diploma of Deployment Logistics</w:t>
      </w:r>
      <w:r>
        <w:fldChar w:fldCharType="end"/>
      </w:r>
    </w:p>
    <w:p w:rsidR="00CC3E3E" w:rsidP="00CC3E3E">
      <w:pPr>
        <w:pStyle w:val="Version"/>
        <w:sectPr w:rsidSect="00EF11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F116C" w:rsidP="00EF116C">
      <w:pPr>
        <w:pStyle w:val="SuperHeading"/>
      </w:pPr>
      <w:r w:rsidRPr="00EF116C">
        <w:t>TLI50515 Diploma of Deployment Logistics</w:t>
      </w:r>
    </w:p>
    <w:p w:rsidR="00000000" w:rsidRPr="00EF116C" w:rsidP="00EF116C">
      <w:pPr>
        <w:pStyle w:val="Heading1"/>
      </w:pPr>
      <w:bookmarkStart w:id="1" w:name="O_955254"/>
      <w:bookmarkEnd w:id="1"/>
      <w:r w:rsidRPr="00EF116C">
        <w:t>Modification History</w:t>
      </w:r>
    </w:p>
    <w:tbl>
      <w:tblPr>
        <w:tblW w:w="0" w:type="auto"/>
        <w:tblLayout w:type="fixed"/>
        <w:tblCellMar>
          <w:left w:w="62" w:type="dxa"/>
          <w:right w:w="62" w:type="dxa"/>
        </w:tblCellMar>
        <w:tblLook w:val="0000"/>
      </w:tblPr>
      <w:tblGrid>
        <w:gridCol w:w="7890"/>
      </w:tblGrid>
      <w:tr w:rsidTr="00CC3E3E">
        <w:tblPrEx>
          <w:tblW w:w="0" w:type="auto"/>
          <w:tblLayout w:type="fixed"/>
          <w:tblCellMar>
            <w:left w:w="62" w:type="dxa"/>
            <w:right w:w="62" w:type="dxa"/>
          </w:tblCellMar>
          <w:tblLook w:val="0000"/>
        </w:tblPrEx>
        <w:tc>
          <w:tcPr>
            <w:tcW w:w="7890" w:type="dxa"/>
            <w:tcBorders>
              <w:top w:val="nil"/>
              <w:left w:val="nil"/>
              <w:bottom w:val="nil"/>
              <w:right w:val="nil"/>
            </w:tcBorders>
            <w:tcMar>
              <w:top w:w="0" w:type="dxa"/>
              <w:left w:w="62" w:type="dxa"/>
              <w:bottom w:w="0" w:type="dxa"/>
              <w:right w:w="62" w:type="dxa"/>
            </w:tcMar>
          </w:tcPr>
          <w:p w:rsidR="00000000" w:rsidRPr="00EF116C" w:rsidP="00EF116C">
            <w:pPr>
              <w:pStyle w:val="BodyText"/>
            </w:pPr>
            <w:r w:rsidRPr="00EF116C">
              <w:t>Release 2. This is the second release of this qualification in the TLI Transport and Logistics Training Package. The following modification has been made:</w:t>
            </w:r>
          </w:p>
          <w:p w:rsidR="00000000" w:rsidP="00EF116C">
            <w:pPr>
              <w:pStyle w:val="ListBullet"/>
              <w:rPr>
                <w:lang w:val="en-NZ"/>
              </w:rPr>
            </w:pPr>
            <w:r w:rsidRPr="00EF116C">
              <w:t>Imported Elective units updated.</w:t>
            </w:r>
          </w:p>
        </w:tc>
      </w:tr>
      <w:tr w:rsidTr="00CC3E3E">
        <w:tblPrEx>
          <w:tblW w:w="0" w:type="auto"/>
          <w:tblLayout w:type="fixed"/>
          <w:tblCellMar>
            <w:left w:w="62" w:type="dxa"/>
            <w:right w:w="62" w:type="dxa"/>
          </w:tblCellMar>
          <w:tblLook w:val="0000"/>
        </w:tblPrEx>
        <w:tc>
          <w:tcPr>
            <w:tcW w:w="7890" w:type="dxa"/>
            <w:tcBorders>
              <w:top w:val="nil"/>
              <w:left w:val="nil"/>
              <w:bottom w:val="nil"/>
              <w:right w:val="nil"/>
            </w:tcBorders>
            <w:tcMar>
              <w:top w:w="0" w:type="dxa"/>
              <w:left w:w="62" w:type="dxa"/>
              <w:bottom w:w="0" w:type="dxa"/>
              <w:right w:w="62" w:type="dxa"/>
            </w:tcMar>
          </w:tcPr>
          <w:p w:rsidR="00000000" w:rsidRPr="00EF116C" w:rsidP="00EF116C">
            <w:pPr>
              <w:pStyle w:val="BodyText"/>
            </w:pPr>
            <w:r w:rsidRPr="00EF116C">
              <w:rPr>
                <w:rStyle w:val="SpecialBold"/>
              </w:rPr>
              <w:t>Release 1.</w:t>
            </w:r>
            <w:r w:rsidRPr="00EF116C">
              <w:t xml:space="preserve"> This is the first release of this </w:t>
            </w:r>
            <w:r w:rsidRPr="00EF116C">
              <w:t>qualification in the TLI Transport and Logistics Training Package.</w:t>
            </w:r>
          </w:p>
        </w:tc>
      </w:tr>
    </w:tbl>
    <w:p w:rsidR="00CC3E3E" w:rsidP="00EF116C">
      <w:pPr>
        <w:pStyle w:val="NoPaddingFontSize1"/>
      </w:pPr>
    </w:p>
    <w:p w:rsidR="00CC3E3E" w:rsidP="00EF116C">
      <w:pPr>
        <w:pStyle w:val="NoPaddingFontSize1"/>
      </w:pPr>
    </w:p>
    <w:p w:rsidR="00000000" w:rsidRPr="00EF116C" w:rsidP="00EF116C">
      <w:pPr>
        <w:pStyle w:val="Heading1"/>
      </w:pPr>
      <w:bookmarkStart w:id="2" w:name="O_955253"/>
      <w:bookmarkEnd w:id="2"/>
      <w:r w:rsidRPr="00EF116C">
        <w:t>Qualification Description</w:t>
      </w:r>
    </w:p>
    <w:tbl>
      <w:tblPr>
        <w:tblW w:w="0" w:type="auto"/>
        <w:tblLayout w:type="fixed"/>
        <w:tblCellMar>
          <w:left w:w="62" w:type="dxa"/>
          <w:right w:w="62" w:type="dxa"/>
        </w:tblCellMar>
        <w:tblLook w:val="0000"/>
      </w:tblPr>
      <w:tblGrid>
        <w:gridCol w:w="7890"/>
      </w:tblGrid>
      <w:tr w:rsidTr="00CC3E3E">
        <w:tblPrEx>
          <w:tblW w:w="0" w:type="auto"/>
          <w:tblLayout w:type="fixed"/>
          <w:tblCellMar>
            <w:left w:w="62" w:type="dxa"/>
            <w:right w:w="62" w:type="dxa"/>
          </w:tblCellMar>
          <w:tblLook w:val="0000"/>
        </w:tblPrEx>
        <w:tc>
          <w:tcPr>
            <w:tcW w:w="7890" w:type="dxa"/>
            <w:tcBorders>
              <w:top w:val="nil"/>
              <w:left w:val="nil"/>
              <w:bottom w:val="nil"/>
              <w:right w:val="nil"/>
            </w:tcBorders>
            <w:tcMar>
              <w:top w:w="0" w:type="dxa"/>
              <w:left w:w="62" w:type="dxa"/>
              <w:bottom w:w="0" w:type="dxa"/>
              <w:right w:w="62" w:type="dxa"/>
            </w:tcMar>
          </w:tcPr>
          <w:p w:rsidR="00000000" w:rsidRPr="00EF116C" w:rsidP="00EF116C">
            <w:pPr>
              <w:pStyle w:val="BodyText"/>
            </w:pPr>
            <w:r w:rsidRPr="00EF116C">
              <w:t xml:space="preserve">This is a qualification for a person working in a deployment logistics management role. </w:t>
            </w:r>
          </w:p>
          <w:p w:rsidR="00000000" w:rsidRPr="00EF116C" w:rsidP="00EF116C">
            <w:pPr>
              <w:pStyle w:val="BodyText"/>
            </w:pPr>
            <w:r w:rsidRPr="00EF116C">
              <w:t>Successful achievement of this qualification requires</w:t>
            </w:r>
            <w:r w:rsidRPr="00EF116C">
              <w:t xml:space="preserve"> the self-directed application of knowledge and skills, with substantial depth in some areas where judgement is required in planning and selecting appropriate equipment, services and techniques for self and others. </w:t>
            </w:r>
          </w:p>
          <w:p w:rsidR="00000000" w:rsidRPr="00EF116C" w:rsidP="00EF116C">
            <w:pPr>
              <w:pStyle w:val="BodyText"/>
            </w:pPr>
            <w:r w:rsidRPr="00EF116C">
              <w:t>Applications involve participating in de</w:t>
            </w:r>
            <w:r w:rsidRPr="00EF116C">
              <w:t>veloping strategic initiatives as well as personal responsibility and autonomy in performing complex technical operations or organising others. It may include participating in teams, including those concerned with planning and evaluation functions. Group o</w:t>
            </w:r>
            <w:r w:rsidRPr="00EF116C">
              <w:t>r team coordination may be involved.</w:t>
            </w:r>
          </w:p>
          <w:p w:rsidR="00000000" w:rsidRPr="00EF116C" w:rsidP="00EF116C">
            <w:pPr>
              <w:pStyle w:val="BodyText"/>
            </w:pPr>
            <w:r w:rsidRPr="00EF116C">
              <w:rPr>
                <w:rStyle w:val="SpecialBold"/>
              </w:rPr>
              <w:t>Job roles</w:t>
            </w:r>
          </w:p>
          <w:p w:rsidR="00000000" w:rsidRPr="00EF116C" w:rsidP="00EF116C">
            <w:pPr>
              <w:pStyle w:val="BodyText"/>
            </w:pPr>
            <w:r w:rsidRPr="00EF116C">
              <w:t>Job roles and titles vary across different sectors. Possible job titles relevant to this qualification include:</w:t>
            </w:r>
          </w:p>
          <w:p w:rsidR="00000000" w:rsidRPr="00EF116C" w:rsidP="00EF116C">
            <w:pPr>
              <w:pStyle w:val="ListBullet"/>
            </w:pPr>
            <w:r w:rsidRPr="00EF116C">
              <w:t>Logistics Manager (Deployed Operations).</w:t>
            </w:r>
          </w:p>
          <w:p w:rsidR="00000000" w:rsidRPr="00EF116C" w:rsidP="00EF116C">
            <w:pPr>
              <w:pStyle w:val="BodyText"/>
            </w:pPr>
            <w:r w:rsidRPr="00EF116C">
              <w:t>No licensing, legislative or certification requirements apply to this qualification at the time of publication.</w:t>
            </w:r>
          </w:p>
        </w:tc>
      </w:tr>
    </w:tbl>
    <w:p w:rsidR="00CC3E3E" w:rsidP="00EF116C">
      <w:pPr>
        <w:pStyle w:val="NoPaddingFontSize1"/>
      </w:pPr>
    </w:p>
    <w:p w:rsidR="00CC3E3E" w:rsidP="00EF116C">
      <w:pPr>
        <w:pStyle w:val="NoPaddingFontSize1"/>
      </w:pPr>
    </w:p>
    <w:p w:rsidR="00000000" w:rsidRPr="00EF116C" w:rsidP="00EF116C">
      <w:pPr>
        <w:pStyle w:val="Heading1"/>
      </w:pPr>
      <w:bookmarkStart w:id="3" w:name="O_955252"/>
      <w:bookmarkEnd w:id="3"/>
      <w:r w:rsidRPr="00EF116C">
        <w:t>Entry Requirements</w:t>
      </w:r>
    </w:p>
    <w:tbl>
      <w:tblPr>
        <w:tblW w:w="9497" w:type="dxa"/>
        <w:tblLayout w:type="fixed"/>
        <w:tblCellMar>
          <w:left w:w="62" w:type="dxa"/>
          <w:right w:w="62" w:type="dxa"/>
        </w:tblCellMar>
        <w:tblLook w:val="0000"/>
      </w:tblPr>
      <w:tblGrid>
        <w:gridCol w:w="9497"/>
      </w:tblGrid>
      <w:tr w:rsidTr="00EF11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116C" w:rsidP="00EF116C">
            <w:pPr>
              <w:pStyle w:val="BodyText"/>
            </w:pPr>
            <w:r w:rsidRPr="00EF116C">
              <w:t>There are no entry requirements for this qualification.</w:t>
            </w:r>
          </w:p>
        </w:tc>
      </w:tr>
    </w:tbl>
    <w:p w:rsidR="00CC3E3E" w:rsidP="00EF116C">
      <w:pPr>
        <w:pStyle w:val="NoPaddingFontSize1"/>
      </w:pPr>
    </w:p>
    <w:p w:rsidR="00CC3E3E" w:rsidP="00EF116C">
      <w:pPr>
        <w:pStyle w:val="NoPaddingFontSize1"/>
      </w:pPr>
    </w:p>
    <w:p w:rsidR="00000000" w:rsidRPr="00EF116C" w:rsidP="00EF116C">
      <w:pPr>
        <w:pStyle w:val="Heading1"/>
      </w:pPr>
      <w:bookmarkStart w:id="4" w:name="O_955251"/>
      <w:bookmarkEnd w:id="4"/>
      <w:r w:rsidRPr="00EF116C">
        <w:t>Packaging Rules</w:t>
      </w:r>
    </w:p>
    <w:tbl>
      <w:tblPr>
        <w:tblW w:w="0" w:type="auto"/>
        <w:tblCellMar>
          <w:left w:w="62" w:type="dxa"/>
          <w:right w:w="62" w:type="dxa"/>
        </w:tblCellMar>
        <w:tblLook w:val="0000"/>
      </w:tblPr>
      <w:tblGrid>
        <w:gridCol w:w="1235"/>
        <w:gridCol w:w="7961"/>
      </w:tblGrid>
      <w:tr w:rsidTr="00CC3E3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EF116C" w:rsidP="00EF116C">
            <w:pPr>
              <w:pStyle w:val="BodyText"/>
            </w:pPr>
            <w:r w:rsidRPr="00EF116C">
              <w:t xml:space="preserve">A total of </w:t>
            </w:r>
            <w:r w:rsidRPr="00EF116C">
              <w:rPr>
                <w:rStyle w:val="SpecialBold"/>
              </w:rPr>
              <w:t>15 units of competency</w:t>
            </w:r>
            <w:r w:rsidRPr="00EF116C">
              <w:t xml:space="preserve"> comprising:</w:t>
            </w:r>
          </w:p>
          <w:p w:rsidR="00000000" w:rsidRPr="00EF116C" w:rsidP="00EF116C">
            <w:pPr>
              <w:pStyle w:val="BodyText"/>
            </w:pPr>
            <w:r w:rsidRPr="00EF116C">
              <w:rPr>
                <w:rStyle w:val="SpecialBold"/>
              </w:rPr>
              <w:t xml:space="preserve">4 core units </w:t>
            </w:r>
            <w:r w:rsidRPr="00EF116C">
              <w:t>listed below</w:t>
            </w:r>
            <w:r w:rsidRPr="00EF116C">
              <w:rPr>
                <w:rStyle w:val="SpecialBold"/>
              </w:rPr>
              <w:t xml:space="preserve"> plus</w:t>
            </w:r>
          </w:p>
          <w:p w:rsidR="00000000" w:rsidRPr="00EF116C" w:rsidP="00EF116C">
            <w:pPr>
              <w:pStyle w:val="BodyText"/>
            </w:pPr>
            <w:r w:rsidRPr="00EF116C">
              <w:rPr>
                <w:rStyle w:val="SpecialBold"/>
              </w:rPr>
              <w:t xml:space="preserve">5 specialist elective units </w:t>
            </w:r>
            <w:r w:rsidRPr="00EF116C">
              <w:t>from the</w:t>
            </w:r>
            <w:r w:rsidRPr="00EF116C">
              <w:rPr>
                <w:rStyle w:val="SpecialBold"/>
              </w:rPr>
              <w:t xml:space="preserve"> specialist elective units </w:t>
            </w:r>
            <w:r w:rsidRPr="00EF116C">
              <w:t xml:space="preserve">listed below </w:t>
            </w:r>
            <w:r w:rsidRPr="00EF116C">
              <w:rPr>
                <w:rStyle w:val="SpecialBold"/>
              </w:rPr>
              <w:t>plus</w:t>
            </w:r>
          </w:p>
          <w:p w:rsidR="00000000" w:rsidRPr="00EF116C" w:rsidP="00EF116C">
            <w:pPr>
              <w:pStyle w:val="BodyText"/>
            </w:pPr>
            <w:r w:rsidRPr="00EF116C">
              <w:rPr>
                <w:rStyle w:val="SpecialBold"/>
              </w:rPr>
              <w:t>6 general elective</w:t>
            </w:r>
            <w:r w:rsidRPr="00EF116C">
              <w:t xml:space="preserve"> </w:t>
            </w:r>
            <w:r w:rsidRPr="00EF116C">
              <w:rPr>
                <w:rStyle w:val="SpecialBold"/>
              </w:rPr>
              <w:t>units</w:t>
            </w:r>
            <w:r w:rsidRPr="00EF116C">
              <w:t xml:space="preserve"> from the general elective units listed below or the remaining specialist elective un</w:t>
            </w:r>
            <w:r w:rsidRPr="00EF116C">
              <w:t xml:space="preserve">its. Up to </w:t>
            </w:r>
            <w:r w:rsidRPr="00EF116C">
              <w:rPr>
                <w:rStyle w:val="SpecialBold"/>
              </w:rPr>
              <w:t>4 of the general elective units</w:t>
            </w:r>
            <w:r w:rsidRPr="00EF116C">
              <w:t xml:space="preserve"> may be selected from any relevant nationally endorsed Training Package or accredited course. The general elective units must contribute to the vocational outcomes of the qualification.</w:t>
            </w:r>
          </w:p>
          <w:p w:rsidR="00000000" w:rsidP="00EF116C">
            <w:pPr>
              <w:pStyle w:val="BodyText"/>
              <w:rPr>
                <w:lang w:val="en-NZ"/>
              </w:rPr>
            </w:pPr>
            <w:r w:rsidRPr="00EF116C">
              <w:t>Where imported units are sel</w:t>
            </w:r>
            <w:r w:rsidRPr="00EF116C">
              <w:t>ected, care must be taken to ensure that all prerequisite units are complied with.</w:t>
            </w:r>
            <w:r w:rsidRPr="00EF116C">
              <w:rPr>
                <w:rStyle w:val="SpecialBold"/>
              </w:rPr>
              <w:t xml:space="preserve"> </w:t>
            </w:r>
          </w:p>
        </w:tc>
      </w:tr>
      <w:tr w:rsidTr="00CC3E3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rPr>
                <w:rStyle w:val="SpecialBold"/>
              </w:rPr>
              <w:t>Core units</w:t>
            </w:r>
          </w:p>
        </w:tc>
      </w:tr>
      <w:tr w:rsidTr="00CC3E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BSBRSK401</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Identify risk and apply risk management processes</w:t>
            </w:r>
          </w:p>
        </w:tc>
      </w:tr>
      <w:tr w:rsidTr="00CC3E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BSBWOR502</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Lead and manage team effectiveness</w:t>
            </w:r>
          </w:p>
        </w:tc>
      </w:tr>
      <w:tr w:rsidTr="00CC3E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PSPGOV512A</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Use complex workplace communication strategies</w:t>
            </w:r>
          </w:p>
        </w:tc>
      </w:tr>
      <w:tr w:rsidTr="00CC3E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TLIX4028</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Apply knowledge of logistics</w:t>
            </w:r>
          </w:p>
        </w:tc>
      </w:tr>
      <w:tr w:rsidTr="00CC3E3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rPr>
                <w:rStyle w:val="SpecialBold"/>
              </w:rPr>
              <w:t>Specialist elective units</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BSBFIM501</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Manage budgets and financial plans</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PSPPM504A</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Carry out complex project activities</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PSPPCM001</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Carry out basic procurement</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PUAOPE001B</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Supervise response</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TLIL4059</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Implement asset management systems</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TLIL5020</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Develop and maintain operational procedures for transport and logistics enterprises</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TLIL5055</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Manage a supply chain</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TLIL5057</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Maintain, monitor and improve transport opera</w:t>
            </w:r>
            <w:r w:rsidRPr="00EF116C">
              <w:t>tions systems</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TLIO5005</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Plan and manage security procedures for the enterprise</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TLIP5036</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Manage assets</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TLIR5014</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Manage suppliers</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TLIX4032</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Apply a knowledge of technical regulatory framework</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TLIX5006</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Manage verification and validation</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TLIX5015</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Establish supply chains</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TLIX5020</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Develop and review configuration management plans</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TLIX5021</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Manage configuration management processes</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TLIX5025</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Provide specialist configuration management advice</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TLIX5036</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Manage and monitor technical data and information systems</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TLIX5037</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Plan logistics support for deployed operations</w:t>
            </w:r>
          </w:p>
        </w:tc>
      </w:tr>
      <w:tr w:rsidTr="00CC3E3E">
        <w:tblPrEx>
          <w:tblW w:w="0" w:type="auto"/>
          <w:tblCellMar>
            <w:left w:w="62" w:type="dxa"/>
            <w:right w:w="62" w:type="dxa"/>
          </w:tblCellMar>
          <w:tblLook w:val="0000"/>
        </w:tblPrEx>
        <w:trPr>
          <w:trHeight w:val="438"/>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TLIX5038</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Organise deployment and delivery of logistics support</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TLIX5039</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Plan and conduct road convoy</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TLIX5040</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Manage contracted support se</w:t>
            </w:r>
            <w:r w:rsidRPr="00EF116C">
              <w:t xml:space="preserve">rvices </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TLIX5041</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Organise supply support on deployment</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TLIX5042</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Organise road transport operations</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TLIX5043</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Conduct maintenance on deployed operations</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TLIX5044</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Organise health support operations</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TLIX5045</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Manage and monitor catering on deployed operations</w:t>
            </w:r>
          </w:p>
        </w:tc>
      </w:tr>
      <w:tr w:rsidTr="00CC3E3E">
        <w:tblPrEx>
          <w:tblW w:w="0" w:type="auto"/>
          <w:tblCellMar>
            <w:left w:w="62" w:type="dxa"/>
            <w:right w:w="62" w:type="dxa"/>
          </w:tblCellMar>
          <w:tblLook w:val="0000"/>
        </w:tblPrEx>
        <w:trPr>
          <w:trHeight w:val="183"/>
        </w:trPr>
        <w:tc>
          <w:tcPr>
            <w:tcW w:w="0" w:type="auto"/>
            <w:gridSpan w:val="2"/>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rPr>
                <w:rStyle w:val="SpecialBold"/>
              </w:rPr>
              <w:t>General elective units</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BSBCOM501</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Identify and interpret compliance requirements</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BSBCUS501</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Manage quality customer service</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BSBINN502</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Build and sustain an innovative work environment</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BSBMGT502</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Manage people performance</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BSBMGT516</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Facilitate continuous improvement</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BSBMGT517</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Manage operational plan</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BSBWHS501</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Ensure a safe workplace</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BSBPMG522</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 xml:space="preserve">Undertake project work </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BSBSUS501</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Develop workplace policy and procedures for sustainability</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BSBWOR501</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Manage personal work priorities and professional development</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BSBWOR502</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Lead and manage team effectiveness</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PSPGEN045</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Coordinate resource allocation and usage</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PSPGEN048</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Support workplace coaching and mentoring</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PSPGEN053</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Provide leadership</w:t>
            </w:r>
          </w:p>
        </w:tc>
      </w:tr>
      <w:tr w:rsidTr="00CC3E3E">
        <w:tblPrEx>
          <w:tblW w:w="0" w:type="auto"/>
          <w:tblCellMar>
            <w:left w:w="62" w:type="dxa"/>
            <w:right w:w="62" w:type="dxa"/>
          </w:tblCellMar>
          <w:tblLook w:val="0000"/>
        </w:tblPrEx>
        <w:trPr>
          <w:trHeight w:val="43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PSPGEN055</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 xml:space="preserve">Refine complex workplace documents </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PSPGEN057</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Develop and use political nous</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PSPGOV516A</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Develop and use emotional intelligence</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PSPGEN060</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Manage performance</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PSPGEN065</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Interpret data and related statistics</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PSPMGT001</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Manage resources</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PSPMGT013</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Provide strategic direction</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PSPPCY004</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Support policy implementation</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PSPPCM002</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Dispose of assets</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PSPPCM004</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Plan procurement</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PSPPCM005</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Develop and distribute requests for offers</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PSPPCM006</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Select providers and develop contracts</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PSPPCM007</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Manage contract</w:t>
            </w:r>
            <w:r w:rsidRPr="00EF116C">
              <w:t>s</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PSPPCM008</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Manage contract performance</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PSPPCM009</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Finalise contracts</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PSPPCM011</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Plan to manage a contract</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 xml:space="preserve">PUACOM007B </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Liaise with other organisations</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SITEEVT015</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 xml:space="preserve">Develop event transport plans </w:t>
            </w:r>
          </w:p>
        </w:tc>
      </w:tr>
      <w:tr w:rsidTr="00CC3E3E">
        <w:tblPrEx>
          <w:tblW w:w="0" w:type="auto"/>
          <w:tblCellMar>
            <w:left w:w="62" w:type="dxa"/>
            <w:right w:w="62" w:type="dxa"/>
          </w:tblCellMar>
          <w:tblLook w:val="0000"/>
        </w:tblPrEx>
        <w:trPr>
          <w:trHeight w:val="40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SITXFSA001</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Use hygienic practices for food safety</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SITXFSA002</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 xml:space="preserve">Participate in safe food handling practices </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TLIA3023</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Coordinate stocktakes</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TLIA4005</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Check and evaluate records and documentation</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TLIA4028</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Assess and monitor optimum stock levels</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TLIA5058</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Manage facility and inventory requirements</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TLIB2001</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Check and assess operational capabilities of equipment</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TLIE4006</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Collect, analyse and present workplace data and information</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TLIF3063</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Administer the implementation of fatigue management strategies</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TLIG4006</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Facilitate work teams</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TLII5018</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Manage customer service</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TLIL4005</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Apply conflict/grievance resolution strategies</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TLIL4033</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Promote effective workplace practice</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TLIU4001</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Implement and monitor environmental protection policies and procedures</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TLIX4029</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Apply knowledge of integrated logisti</w:t>
            </w:r>
            <w:r w:rsidRPr="00EF116C">
              <w:t>cs support</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TLIX4030</w:t>
            </w:r>
          </w:p>
        </w:tc>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Apply knowledge of materiel sustainment</w:t>
            </w:r>
          </w:p>
        </w:tc>
      </w:tr>
      <w:tr w:rsidTr="00CC3E3E">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EF116C">
            <w:pPr>
              <w:pStyle w:val="BodyText"/>
              <w:rPr>
                <w:lang w:val="en-NZ"/>
              </w:rPr>
            </w:pPr>
            <w:r w:rsidRPr="00EF116C">
              <w:t>TLIX4031</w:t>
            </w:r>
          </w:p>
        </w:tc>
        <w:tc>
          <w:tcPr>
            <w:tcW w:w="0" w:type="auto"/>
            <w:tcBorders>
              <w:top w:val="nil"/>
              <w:left w:val="nil"/>
              <w:bottom w:val="nil"/>
              <w:right w:val="nil"/>
            </w:tcBorders>
            <w:tcMar>
              <w:top w:w="0" w:type="dxa"/>
              <w:left w:w="62" w:type="dxa"/>
              <w:bottom w:w="0" w:type="dxa"/>
              <w:right w:w="62" w:type="dxa"/>
            </w:tcMar>
          </w:tcPr>
          <w:p w:rsidR="00000000" w:rsidRPr="00EF116C" w:rsidP="00EF116C">
            <w:pPr>
              <w:pStyle w:val="BodyText"/>
            </w:pPr>
            <w:r w:rsidRPr="00EF116C">
              <w:t>Apply knowledge of configuration management</w:t>
            </w:r>
          </w:p>
        </w:tc>
      </w:tr>
    </w:tbl>
    <w:p w:rsidR="00000000" w:rsidRPr="00EF116C" w:rsidP="00EF116C">
      <w:pPr>
        <w:pStyle w:val="NoPaddingFontSize1"/>
      </w:pPr>
    </w:p>
    <w:p w:rsidR="00000000" w:rsidRPr="00EF116C" w:rsidP="00EF116C">
      <w:pPr>
        <w:pStyle w:val="AllowPageBreak"/>
      </w:pPr>
    </w:p>
    <w:p w:rsidR="00000000" w:rsidRPr="00EF116C" w:rsidP="00EF116C">
      <w:pPr>
        <w:pStyle w:val="Heading1"/>
      </w:pPr>
      <w:bookmarkStart w:id="5" w:name="O_955250"/>
      <w:bookmarkEnd w:id="5"/>
      <w:r w:rsidRPr="00EF116C">
        <w:t>Qualification Mapping Information</w:t>
      </w:r>
    </w:p>
    <w:tbl>
      <w:tblPr>
        <w:tblW w:w="9497" w:type="dxa"/>
        <w:tblLayout w:type="fixed"/>
        <w:tblCellMar>
          <w:left w:w="62" w:type="dxa"/>
          <w:right w:w="62" w:type="dxa"/>
        </w:tblCellMar>
        <w:tblLook w:val="0000"/>
      </w:tblPr>
      <w:tblGrid>
        <w:gridCol w:w="9497"/>
      </w:tblGrid>
      <w:tr w:rsidTr="00EF11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116C" w:rsidP="00EF116C">
            <w:pPr>
              <w:pStyle w:val="BodyText"/>
            </w:pPr>
            <w:r w:rsidRPr="00EF116C">
              <w:t>This qualification replaces and is equivalent to TLI50510 Diploma of Deployment Logistics.</w:t>
            </w:r>
          </w:p>
        </w:tc>
      </w:tr>
    </w:tbl>
    <w:p w:rsidR="00CC3E3E" w:rsidP="00EF116C">
      <w:pPr>
        <w:pStyle w:val="NoPaddingFontSize1"/>
      </w:pPr>
    </w:p>
    <w:p w:rsidR="00CC3E3E" w:rsidP="00EF116C">
      <w:pPr>
        <w:pStyle w:val="NoPaddingFontSize1"/>
      </w:pPr>
    </w:p>
    <w:p w:rsidR="00000000" w:rsidRPr="00EF116C" w:rsidP="00EF116C">
      <w:pPr>
        <w:pStyle w:val="Heading1"/>
      </w:pPr>
      <w:bookmarkStart w:id="6" w:name="O_955255"/>
      <w:bookmarkEnd w:id="6"/>
      <w:r w:rsidRPr="00EF116C">
        <w:t>Links</w:t>
      </w:r>
    </w:p>
    <w:p w:rsidR="00000000" w:rsidRPr="00EF116C" w:rsidP="00EF116C">
      <w:pPr>
        <w:pStyle w:val="BodyText"/>
      </w:pPr>
      <w:r w:rsidRPr="00EF116C">
        <w:t>Companion Volume implementation guides are found in VETNet - https://vetnet.education.gov.au/Pages/TrainingDocs.aspx?q=df441c6e-213d-43e3-8</w:t>
      </w:r>
      <w:r w:rsidRPr="00EF116C">
        <w:t>74c-0b3f7036d851</w:t>
      </w:r>
    </w:p>
    <w:p w:rsidR="00000000" w:rsidRPr="00EF116C" w:rsidP="00EF116C"/>
    <w:sectPr w:rsidSect="00EF11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1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16C" w:rsidRPr="00CC3E3E" w:rsidP="00CC3E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1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E3E" w:rsidP="00EF11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C3E3E" w:rsidP="00EF116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C3E3E" w:rsidP="00EF11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1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E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116C" w:rsidRPr="00CC3E3E" w:rsidP="00CC3E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1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E3E" w:rsidRPr="002D2AF8" w:rsidP="00EF116C">
    <w:pPr>
      <w:pStyle w:val="Header"/>
      <w:framePr w:wrap="around"/>
    </w:pPr>
    <w:r>
      <w:fldChar w:fldCharType="begin"/>
    </w:r>
    <w:r>
      <w:instrText xml:space="preserve"> TITLE   \* MERGEFORMAT </w:instrText>
    </w:r>
    <w:r>
      <w:fldChar w:fldCharType="separate"/>
    </w:r>
    <w:r>
      <w:t>TLI50515 Diploma of Deployment Logistics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September 2018</w:t>
    </w:r>
    <w:r>
      <w:fldChar w:fldCharType="end"/>
    </w:r>
  </w:p>
  <w:p w:rsidR="00CC3E3E" w:rsidP="00EF11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E429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6C2A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1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116C"/>
    <w:pPr>
      <w:spacing w:before="360" w:after="60"/>
      <w:outlineLvl w:val="0"/>
    </w:pPr>
    <w:rPr>
      <w:sz w:val="32"/>
    </w:rPr>
  </w:style>
  <w:style w:type="paragraph" w:styleId="Heading2">
    <w:name w:val="heading 2"/>
    <w:basedOn w:val="HeadingBase"/>
    <w:next w:val="BodyText"/>
    <w:link w:val="Heading2Char"/>
    <w:qFormat/>
    <w:rsid w:val="00EF116C"/>
    <w:pPr>
      <w:keepLines/>
      <w:spacing w:before="240" w:after="120"/>
      <w:outlineLvl w:val="1"/>
    </w:pPr>
    <w:rPr>
      <w:sz w:val="28"/>
      <w:szCs w:val="40"/>
    </w:rPr>
  </w:style>
  <w:style w:type="paragraph" w:styleId="Heading3">
    <w:name w:val="heading 3"/>
    <w:basedOn w:val="HeadingBase"/>
    <w:next w:val="BodyText"/>
    <w:link w:val="Heading3Char"/>
    <w:qFormat/>
    <w:rsid w:val="00EF116C"/>
    <w:pPr>
      <w:spacing w:before="180" w:after="120"/>
      <w:outlineLvl w:val="2"/>
    </w:pPr>
    <w:rPr>
      <w:spacing w:val="-10"/>
      <w:kern w:val="32"/>
    </w:rPr>
  </w:style>
  <w:style w:type="paragraph" w:styleId="Heading4">
    <w:name w:val="heading 4"/>
    <w:basedOn w:val="HeadingBase"/>
    <w:next w:val="BodyText"/>
    <w:link w:val="Heading4Char"/>
    <w:qFormat/>
    <w:rsid w:val="00EF116C"/>
    <w:pPr>
      <w:spacing w:before="160" w:after="120"/>
      <w:outlineLvl w:val="3"/>
    </w:pPr>
    <w:rPr>
      <w:sz w:val="22"/>
    </w:rPr>
  </w:style>
  <w:style w:type="paragraph" w:styleId="Heading5">
    <w:name w:val="heading 5"/>
    <w:basedOn w:val="HeadingBase"/>
    <w:next w:val="Normal"/>
    <w:link w:val="Heading5Char"/>
    <w:qFormat/>
    <w:rsid w:val="00EF116C"/>
    <w:pPr>
      <w:spacing w:before="80"/>
      <w:outlineLvl w:val="4"/>
    </w:pPr>
    <w:rPr>
      <w:color w:val="918585"/>
      <w:sz w:val="20"/>
    </w:rPr>
  </w:style>
  <w:style w:type="paragraph" w:styleId="Heading6">
    <w:name w:val="heading 6"/>
    <w:basedOn w:val="HeadingBase"/>
    <w:next w:val="Normal"/>
    <w:link w:val="Heading6Char"/>
    <w:qFormat/>
    <w:rsid w:val="00EF116C"/>
    <w:pPr>
      <w:spacing w:before="60"/>
      <w:outlineLvl w:val="5"/>
    </w:pPr>
    <w:rPr>
      <w:color w:val="918585"/>
      <w:sz w:val="20"/>
    </w:rPr>
  </w:style>
  <w:style w:type="paragraph" w:styleId="Heading7">
    <w:name w:val="heading 7"/>
    <w:basedOn w:val="Normal"/>
    <w:next w:val="Normal"/>
    <w:link w:val="Heading7Char"/>
    <w:qFormat/>
    <w:rsid w:val="00EF116C"/>
    <w:pPr>
      <w:ind w:left="720"/>
      <w:outlineLvl w:val="6"/>
    </w:pPr>
    <w:rPr>
      <w:i/>
    </w:rPr>
  </w:style>
  <w:style w:type="paragraph" w:styleId="Heading8">
    <w:name w:val="heading 8"/>
    <w:basedOn w:val="Normal"/>
    <w:next w:val="Normal"/>
    <w:link w:val="Heading8Char"/>
    <w:qFormat/>
    <w:rsid w:val="00EF116C"/>
    <w:pPr>
      <w:ind w:left="720"/>
      <w:outlineLvl w:val="7"/>
    </w:pPr>
    <w:rPr>
      <w:i/>
    </w:rPr>
  </w:style>
  <w:style w:type="paragraph" w:styleId="Heading9">
    <w:name w:val="heading 9"/>
    <w:basedOn w:val="Normal"/>
    <w:next w:val="Normal"/>
    <w:link w:val="Heading9Char"/>
    <w:qFormat/>
    <w:rsid w:val="00EF116C"/>
    <w:pPr>
      <w:ind w:left="720"/>
      <w:outlineLvl w:val="8"/>
    </w:pPr>
    <w:rPr>
      <w:i/>
    </w:rPr>
  </w:style>
  <w:style w:type="character" w:default="1" w:styleId="DefaultParagraphFont">
    <w:name w:val="Default Paragraph Font"/>
    <w:uiPriority w:val="1"/>
    <w:unhideWhenUsed/>
    <w:rsid w:val="00EF11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116C"/>
  </w:style>
  <w:style w:type="character" w:customStyle="1" w:styleId="Heading1Char">
    <w:name w:val="Heading 1 Char"/>
    <w:basedOn w:val="DefaultParagraphFont"/>
    <w:link w:val="Heading1"/>
    <w:rsid w:val="00EF116C"/>
    <w:rPr>
      <w:rFonts w:ascii="Times New Roman" w:eastAsia="Times New Roman" w:hAnsi="Times New Roman" w:cs="Times New Roman"/>
      <w:b/>
      <w:sz w:val="32"/>
      <w:szCs w:val="20"/>
      <w:lang w:eastAsia="en-US"/>
    </w:rPr>
  </w:style>
  <w:style w:type="paragraph" w:styleId="BodyText">
    <w:name w:val="Body Text"/>
    <w:basedOn w:val="Normal"/>
    <w:link w:val="BodyTextChar"/>
    <w:rsid w:val="00EF11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116C"/>
    <w:rPr>
      <w:rFonts w:ascii="Times New Roman" w:eastAsia="Times New Roman" w:hAnsi="Times New Roman" w:cs="Times New Roman"/>
      <w:sz w:val="24"/>
      <w:lang w:eastAsia="en-US"/>
    </w:rPr>
  </w:style>
  <w:style w:type="paragraph" w:styleId="ListBullet">
    <w:name w:val="List Bullet"/>
    <w:basedOn w:val="List"/>
    <w:rsid w:val="00EF116C"/>
    <w:pPr>
      <w:numPr>
        <w:numId w:val="12"/>
      </w:numPr>
      <w:tabs>
        <w:tab w:val="clear" w:pos="340"/>
      </w:tabs>
      <w:spacing w:before="40" w:after="40"/>
    </w:pPr>
  </w:style>
  <w:style w:type="character" w:customStyle="1" w:styleId="SpecialBold">
    <w:name w:val="Special Bold"/>
    <w:basedOn w:val="DefaultParagraphFont"/>
    <w:rsid w:val="00EF116C"/>
    <w:rPr>
      <w:b/>
      <w:spacing w:val="0"/>
    </w:rPr>
  </w:style>
  <w:style w:type="paragraph" w:customStyle="1" w:styleId="SuperHeading">
    <w:name w:val="SuperHeading"/>
    <w:basedOn w:val="Normal"/>
    <w:rsid w:val="00EF116C"/>
    <w:pPr>
      <w:spacing w:before="240" w:after="120"/>
      <w:outlineLvl w:val="0"/>
    </w:pPr>
    <w:rPr>
      <w:rFonts w:ascii="Times New Roman" w:hAnsi="Times New Roman"/>
      <w:b/>
      <w:sz w:val="32"/>
    </w:rPr>
  </w:style>
  <w:style w:type="paragraph" w:customStyle="1" w:styleId="AllowPageBreak">
    <w:name w:val="AllowPageBreak"/>
    <w:rsid w:val="00EF116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F11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11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11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11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11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11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11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116C"/>
    <w:rPr>
      <w:rFonts w:ascii="Courier New" w:eastAsia="Times New Roman" w:hAnsi="Courier New" w:cs="Times New Roman"/>
      <w:i/>
      <w:szCs w:val="20"/>
      <w:lang w:eastAsia="en-US"/>
    </w:rPr>
  </w:style>
  <w:style w:type="paragraph" w:customStyle="1" w:styleId="HeadingBase">
    <w:name w:val="Heading Base"/>
    <w:rsid w:val="00EF11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116C"/>
    <w:pPr>
      <w:tabs>
        <w:tab w:val="right" w:leader="dot" w:pos="9072"/>
      </w:tabs>
      <w:ind w:left="567"/>
    </w:pPr>
    <w:rPr>
      <w:szCs w:val="22"/>
    </w:rPr>
  </w:style>
  <w:style w:type="paragraph" w:customStyle="1" w:styleId="TOCBase">
    <w:name w:val="TOC Base"/>
    <w:rsid w:val="00EF11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116C"/>
    <w:pPr>
      <w:tabs>
        <w:tab w:val="right" w:leader="dot" w:pos="9072"/>
      </w:tabs>
      <w:spacing w:before="40" w:after="40"/>
      <w:ind w:left="284"/>
    </w:pPr>
    <w:rPr>
      <w:rFonts w:ascii="Times New Roman" w:hAnsi="Times New Roman"/>
    </w:rPr>
  </w:style>
  <w:style w:type="paragraph" w:styleId="TOC1">
    <w:name w:val="toc 1"/>
    <w:basedOn w:val="TOCBase"/>
    <w:next w:val="Normal"/>
    <w:rsid w:val="00EF11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11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116C"/>
    <w:rPr>
      <w:rFonts w:ascii="Times New Roman" w:eastAsia="Times New Roman" w:hAnsi="Times New Roman" w:cs="Times New Roman"/>
      <w:sz w:val="16"/>
      <w:lang w:eastAsia="en-US"/>
    </w:rPr>
  </w:style>
  <w:style w:type="paragraph" w:styleId="Title">
    <w:name w:val="Title"/>
    <w:basedOn w:val="HeadingBase"/>
    <w:link w:val="TitleChar"/>
    <w:qFormat/>
    <w:rsid w:val="00EF116C"/>
    <w:pPr>
      <w:spacing w:before="5040"/>
      <w:jc w:val="center"/>
    </w:pPr>
    <w:rPr>
      <w:sz w:val="48"/>
      <w:szCs w:val="72"/>
      <w:lang w:val="en-US"/>
    </w:rPr>
  </w:style>
  <w:style w:type="character" w:customStyle="1" w:styleId="TitleChar">
    <w:name w:val="Title Char"/>
    <w:basedOn w:val="DefaultParagraphFont"/>
    <w:link w:val="Title"/>
    <w:rsid w:val="00EF11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116C"/>
    <w:pPr>
      <w:tabs>
        <w:tab w:val="left" w:pos="3600"/>
        <w:tab w:val="left" w:pos="3958"/>
      </w:tabs>
    </w:pPr>
  </w:style>
  <w:style w:type="paragraph" w:styleId="List">
    <w:name w:val="List"/>
    <w:basedOn w:val="BodyText"/>
    <w:next w:val="BodyText"/>
    <w:rsid w:val="00EF116C"/>
    <w:pPr>
      <w:tabs>
        <w:tab w:val="left" w:pos="340"/>
      </w:tabs>
      <w:spacing w:before="60" w:after="60"/>
      <w:ind w:left="340" w:hanging="340"/>
    </w:pPr>
  </w:style>
  <w:style w:type="paragraph" w:customStyle="1" w:styleId="Note">
    <w:name w:val="Note"/>
    <w:basedOn w:val="BodyText"/>
    <w:rsid w:val="00EF11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116C"/>
    <w:pPr>
      <w:framePr w:wrap="auto" w:hAnchor="text" w:y="6049"/>
    </w:pPr>
    <w:rPr>
      <w:color w:val="000000"/>
      <w:sz w:val="40"/>
    </w:rPr>
  </w:style>
  <w:style w:type="paragraph" w:customStyle="1" w:styleId="TOCTitle">
    <w:name w:val="TOCTitle"/>
    <w:basedOn w:val="Heading1"/>
    <w:rsid w:val="00EF116C"/>
    <w:pPr>
      <w:spacing w:after="240"/>
      <w:jc w:val="center"/>
      <w:outlineLvl w:val="9"/>
    </w:pPr>
    <w:rPr>
      <w:caps/>
    </w:rPr>
  </w:style>
  <w:style w:type="paragraph" w:customStyle="1" w:styleId="Version">
    <w:name w:val="Version"/>
    <w:rsid w:val="00EF11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116C"/>
    <w:pPr>
      <w:numPr>
        <w:numId w:val="13"/>
      </w:numPr>
      <w:tabs>
        <w:tab w:val="clear" w:pos="680"/>
      </w:tabs>
    </w:pPr>
  </w:style>
  <w:style w:type="paragraph" w:styleId="Index1">
    <w:name w:val="index 1"/>
    <w:basedOn w:val="Normal"/>
    <w:next w:val="Normal"/>
    <w:semiHidden/>
    <w:rsid w:val="00EF116C"/>
    <w:pPr>
      <w:keepNext w:val="0"/>
      <w:tabs>
        <w:tab w:val="right" w:pos="4176"/>
      </w:tabs>
      <w:ind w:left="198" w:hanging="198"/>
    </w:pPr>
    <w:rPr>
      <w:rFonts w:ascii="Garamond" w:hAnsi="Garamond"/>
    </w:rPr>
  </w:style>
  <w:style w:type="paragraph" w:styleId="IndexHeading">
    <w:name w:val="index heading"/>
    <w:basedOn w:val="Normal"/>
    <w:next w:val="Index1"/>
    <w:semiHidden/>
    <w:rsid w:val="00EF116C"/>
    <w:pPr>
      <w:spacing w:before="120" w:after="120"/>
    </w:pPr>
    <w:rPr>
      <w:rFonts w:ascii="Arial" w:hAnsi="Arial"/>
      <w:b/>
      <w:color w:val="918585"/>
      <w:sz w:val="24"/>
    </w:rPr>
  </w:style>
  <w:style w:type="paragraph" w:styleId="Header">
    <w:name w:val="header"/>
    <w:basedOn w:val="Normal"/>
    <w:link w:val="HeaderChar"/>
    <w:rsid w:val="00EF11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116C"/>
    <w:rPr>
      <w:rFonts w:ascii="Times New Roman" w:eastAsia="Times New Roman" w:hAnsi="Times New Roman" w:cs="Times New Roman"/>
      <w:sz w:val="16"/>
      <w:szCs w:val="20"/>
      <w:lang w:val="en-GB" w:eastAsia="en-US"/>
    </w:rPr>
  </w:style>
  <w:style w:type="paragraph" w:customStyle="1" w:styleId="Chapter">
    <w:name w:val="Chapter"/>
    <w:basedOn w:val="Normal"/>
    <w:rsid w:val="00EF116C"/>
    <w:pPr>
      <w:spacing w:before="240"/>
    </w:pPr>
    <w:rPr>
      <w:rFonts w:ascii="Times New Roman" w:hAnsi="Times New Roman"/>
      <w:smallCaps/>
      <w:spacing w:val="80"/>
      <w:sz w:val="28"/>
    </w:rPr>
  </w:style>
  <w:style w:type="paragraph" w:customStyle="1" w:styleId="InChapter">
    <w:name w:val="InChapter"/>
    <w:basedOn w:val="Heading3"/>
    <w:rsid w:val="00EF116C"/>
    <w:pPr>
      <w:spacing w:after="240"/>
      <w:outlineLvl w:val="9"/>
    </w:pPr>
    <w:rPr>
      <w:noProof/>
    </w:rPr>
  </w:style>
  <w:style w:type="paragraph" w:styleId="Index2">
    <w:name w:val="index 2"/>
    <w:basedOn w:val="Normal"/>
    <w:next w:val="Normal"/>
    <w:semiHidden/>
    <w:rsid w:val="00EF116C"/>
    <w:pPr>
      <w:tabs>
        <w:tab w:val="right" w:pos="4176"/>
      </w:tabs>
      <w:ind w:left="568" w:hanging="284"/>
    </w:pPr>
    <w:rPr>
      <w:rFonts w:ascii="Garamond" w:hAnsi="Garamond"/>
    </w:rPr>
  </w:style>
  <w:style w:type="paragraph" w:customStyle="1" w:styleId="Byline">
    <w:name w:val="Byline"/>
    <w:rsid w:val="00EF11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116C"/>
    <w:pPr>
      <w:tabs>
        <w:tab w:val="clear" w:pos="3600"/>
        <w:tab w:val="clear" w:pos="3958"/>
      </w:tabs>
      <w:jc w:val="right"/>
    </w:pPr>
  </w:style>
  <w:style w:type="character" w:styleId="Emphasis">
    <w:name w:val="Emphasis"/>
    <w:basedOn w:val="DefaultParagraphFont"/>
    <w:qFormat/>
    <w:rsid w:val="00EF116C"/>
    <w:rPr>
      <w:i/>
    </w:rPr>
  </w:style>
  <w:style w:type="paragraph" w:styleId="Caption">
    <w:name w:val="caption"/>
    <w:basedOn w:val="BodyText"/>
    <w:next w:val="Normal"/>
    <w:qFormat/>
    <w:rsid w:val="00EF116C"/>
    <w:pPr>
      <w:framePr w:w="2268" w:hSpace="181" w:vSpace="181" w:wrap="around" w:vAnchor="text" w:hAnchor="page" w:x="1135" w:y="285" w:anchorLock="1"/>
    </w:pPr>
    <w:rPr>
      <w:i/>
    </w:rPr>
  </w:style>
  <w:style w:type="paragraph" w:customStyle="1" w:styleId="MiniTOCTitle">
    <w:name w:val="MiniTOCTitle"/>
    <w:basedOn w:val="Heading4"/>
    <w:rsid w:val="00EF116C"/>
    <w:pPr>
      <w:spacing w:before="240"/>
      <w:outlineLvl w:val="9"/>
    </w:pPr>
    <w:rPr>
      <w:noProof/>
      <w:sz w:val="24"/>
    </w:rPr>
  </w:style>
  <w:style w:type="paragraph" w:customStyle="1" w:styleId="MiniTOCItem">
    <w:name w:val="MiniTOCItem"/>
    <w:basedOn w:val="ListBullet"/>
    <w:rsid w:val="00EF116C"/>
    <w:pPr>
      <w:numPr>
        <w:numId w:val="0"/>
      </w:numPr>
      <w:tabs>
        <w:tab w:val="right" w:leader="dot" w:pos="6521"/>
      </w:tabs>
      <w:spacing w:before="0" w:after="0"/>
    </w:pPr>
  </w:style>
  <w:style w:type="paragraph" w:customStyle="1" w:styleId="TOFTitle">
    <w:name w:val="TOFTitle"/>
    <w:basedOn w:val="TOCTitle"/>
    <w:rsid w:val="00EF116C"/>
  </w:style>
  <w:style w:type="paragraph" w:styleId="TableofFigures">
    <w:name w:val="table of figures"/>
    <w:basedOn w:val="Normal"/>
    <w:next w:val="Normal"/>
    <w:semiHidden/>
    <w:rsid w:val="00EF116C"/>
    <w:pPr>
      <w:tabs>
        <w:tab w:val="right" w:leader="dot" w:pos="9072"/>
      </w:tabs>
      <w:ind w:left="970" w:hanging="403"/>
    </w:pPr>
    <w:rPr>
      <w:rFonts w:ascii="Times New Roman" w:hAnsi="Times New Roman"/>
      <w:b/>
    </w:rPr>
  </w:style>
  <w:style w:type="paragraph" w:styleId="ListNumber">
    <w:name w:val="List Number"/>
    <w:basedOn w:val="List"/>
    <w:rsid w:val="00EF116C"/>
    <w:pPr>
      <w:numPr>
        <w:numId w:val="10"/>
      </w:numPr>
    </w:pPr>
  </w:style>
  <w:style w:type="character" w:customStyle="1" w:styleId="WingdingSymbols">
    <w:name w:val="Wingding Symbols"/>
    <w:rsid w:val="00EF116C"/>
    <w:rPr>
      <w:rFonts w:ascii="Wingdings" w:hAnsi="Wingdings"/>
    </w:rPr>
  </w:style>
  <w:style w:type="paragraph" w:customStyle="1" w:styleId="TableHeading">
    <w:name w:val="Table Heading"/>
    <w:basedOn w:val="HeadingBase"/>
    <w:rsid w:val="00EF116C"/>
    <w:pPr>
      <w:keepLines/>
      <w:pBdr>
        <w:bottom w:val="single" w:sz="6" w:space="1" w:color="918585"/>
      </w:pBdr>
      <w:spacing w:before="240"/>
    </w:pPr>
  </w:style>
  <w:style w:type="character" w:customStyle="1" w:styleId="HotSpot">
    <w:name w:val="HotSpot"/>
    <w:rsid w:val="00EF116C"/>
    <w:rPr>
      <w:color w:val="0033CC"/>
      <w:u w:val="none"/>
    </w:rPr>
  </w:style>
  <w:style w:type="paragraph" w:customStyle="1" w:styleId="BodyTextRight">
    <w:name w:val="Body Text Right"/>
    <w:basedOn w:val="BodyText"/>
    <w:rsid w:val="00EF116C"/>
    <w:pPr>
      <w:spacing w:before="0" w:after="0"/>
      <w:jc w:val="right"/>
    </w:pPr>
  </w:style>
  <w:style w:type="paragraph" w:styleId="Index3">
    <w:name w:val="index 3"/>
    <w:basedOn w:val="ListNumber2"/>
    <w:next w:val="Normal"/>
    <w:semiHidden/>
    <w:rsid w:val="00EF116C"/>
    <w:pPr>
      <w:numPr>
        <w:numId w:val="0"/>
      </w:numPr>
      <w:tabs>
        <w:tab w:val="right" w:leader="dot" w:pos="4176"/>
      </w:tabs>
    </w:pPr>
  </w:style>
  <w:style w:type="paragraph" w:styleId="ListNumber2">
    <w:name w:val="List Number 2"/>
    <w:basedOn w:val="List2"/>
    <w:rsid w:val="00EF116C"/>
    <w:pPr>
      <w:numPr>
        <w:numId w:val="9"/>
      </w:numPr>
      <w:tabs>
        <w:tab w:val="clear" w:pos="1060"/>
      </w:tabs>
    </w:pPr>
  </w:style>
  <w:style w:type="paragraph" w:customStyle="1" w:styleId="MarginNote">
    <w:name w:val="Margin Note"/>
    <w:basedOn w:val="BodyText"/>
    <w:rsid w:val="00EF11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11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11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116C"/>
    <w:rPr>
      <w:sz w:val="32"/>
    </w:rPr>
  </w:style>
  <w:style w:type="paragraph" w:customStyle="1" w:styleId="HeadingProcedure">
    <w:name w:val="Heading Procedure"/>
    <w:basedOn w:val="HeadingBase"/>
    <w:next w:val="Normal"/>
    <w:rsid w:val="00EF116C"/>
    <w:pPr>
      <w:tabs>
        <w:tab w:val="left" w:pos="0"/>
      </w:tabs>
      <w:spacing w:before="120" w:after="60"/>
    </w:pPr>
    <w:rPr>
      <w:i/>
      <w:color w:val="918585"/>
      <w:sz w:val="22"/>
    </w:rPr>
  </w:style>
  <w:style w:type="paragraph" w:customStyle="1" w:styleId="TableBodyText">
    <w:name w:val="Table Body Text"/>
    <w:basedOn w:val="BodyText"/>
    <w:rsid w:val="00EF116C"/>
    <w:pPr>
      <w:spacing w:before="60" w:after="60"/>
    </w:pPr>
  </w:style>
  <w:style w:type="paragraph" w:styleId="ListContinue">
    <w:name w:val="List Continue"/>
    <w:basedOn w:val="List"/>
    <w:rsid w:val="00EF116C"/>
    <w:pPr>
      <w:ind w:firstLine="0"/>
    </w:pPr>
  </w:style>
  <w:style w:type="paragraph" w:customStyle="1" w:styleId="ListNote">
    <w:name w:val="List Note"/>
    <w:basedOn w:val="List"/>
    <w:rsid w:val="00EF116C"/>
    <w:pPr>
      <w:pBdr>
        <w:top w:val="single" w:sz="6" w:space="2" w:color="918585"/>
        <w:bottom w:val="single" w:sz="6" w:space="2" w:color="918585"/>
      </w:pBdr>
      <w:tabs>
        <w:tab w:val="left" w:pos="1021"/>
      </w:tabs>
      <w:ind w:firstLine="0"/>
    </w:pPr>
  </w:style>
  <w:style w:type="paragraph" w:customStyle="1" w:styleId="Warning">
    <w:name w:val="Warning"/>
    <w:basedOn w:val="BodyText"/>
    <w:rsid w:val="00EF116C"/>
    <w:pPr>
      <w:shd w:val="clear" w:color="auto" w:fill="D9D9D9"/>
      <w:tabs>
        <w:tab w:val="left" w:pos="992"/>
      </w:tabs>
      <w:ind w:left="119" w:right="119"/>
    </w:pPr>
    <w:rPr>
      <w:sz w:val="20"/>
    </w:rPr>
  </w:style>
  <w:style w:type="paragraph" w:customStyle="1" w:styleId="MarginIcons">
    <w:name w:val="Margin Icons"/>
    <w:basedOn w:val="BodyText"/>
    <w:rsid w:val="00EF11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116C"/>
    <w:rPr>
      <w:rFonts w:ascii="Courier New" w:hAnsi="Courier New"/>
    </w:rPr>
  </w:style>
  <w:style w:type="paragraph" w:customStyle="1" w:styleId="NoteBullet">
    <w:name w:val="Note Bullet"/>
    <w:basedOn w:val="Note"/>
    <w:rsid w:val="00EF116C"/>
    <w:pPr>
      <w:tabs>
        <w:tab w:val="clear" w:pos="680"/>
      </w:tabs>
      <w:spacing w:before="60" w:after="60"/>
    </w:pPr>
  </w:style>
  <w:style w:type="paragraph" w:customStyle="1" w:styleId="SubHeading2">
    <w:name w:val="SubHeading2"/>
    <w:basedOn w:val="HeadingBase"/>
    <w:rsid w:val="00EF116C"/>
    <w:pPr>
      <w:spacing w:before="240" w:after="60"/>
    </w:pPr>
    <w:rPr>
      <w:sz w:val="20"/>
    </w:rPr>
  </w:style>
  <w:style w:type="paragraph" w:customStyle="1" w:styleId="SubHeading1">
    <w:name w:val="SubHeading1"/>
    <w:basedOn w:val="HeadingBase"/>
    <w:rsid w:val="00EF116C"/>
    <w:pPr>
      <w:spacing w:before="240" w:after="60"/>
    </w:pPr>
    <w:rPr>
      <w:color w:val="918585"/>
      <w:sz w:val="22"/>
    </w:rPr>
  </w:style>
  <w:style w:type="paragraph" w:customStyle="1" w:styleId="SideHeading">
    <w:name w:val="Side Heading"/>
    <w:basedOn w:val="HeadingBase"/>
    <w:rsid w:val="00EF11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116C"/>
    <w:pPr>
      <w:tabs>
        <w:tab w:val="num" w:pos="360"/>
      </w:tabs>
    </w:pPr>
  </w:style>
  <w:style w:type="paragraph" w:styleId="PlainText">
    <w:name w:val="Plain Text"/>
    <w:basedOn w:val="Normal"/>
    <w:link w:val="PlainTextChar"/>
    <w:rsid w:val="00EF116C"/>
    <w:rPr>
      <w:sz w:val="20"/>
    </w:rPr>
  </w:style>
  <w:style w:type="character" w:customStyle="1" w:styleId="PlainTextChar">
    <w:name w:val="Plain Text Char"/>
    <w:basedOn w:val="DefaultParagraphFont"/>
    <w:link w:val="PlainText"/>
    <w:rsid w:val="00EF116C"/>
    <w:rPr>
      <w:rFonts w:ascii="Courier New" w:eastAsia="Times New Roman" w:hAnsi="Courier New" w:cs="Times New Roman"/>
      <w:sz w:val="20"/>
      <w:szCs w:val="20"/>
      <w:lang w:eastAsia="en-US"/>
    </w:rPr>
  </w:style>
  <w:style w:type="character" w:customStyle="1" w:styleId="MenuOption">
    <w:name w:val="Menu Option"/>
    <w:basedOn w:val="DefaultParagraphFont"/>
    <w:rsid w:val="00EF116C"/>
    <w:rPr>
      <w:b/>
      <w:smallCaps/>
    </w:rPr>
  </w:style>
  <w:style w:type="paragraph" w:customStyle="1" w:styleId="TableListNumber">
    <w:name w:val="Table List Number"/>
    <w:basedOn w:val="ListNumber"/>
    <w:rsid w:val="00EF116C"/>
    <w:pPr>
      <w:numPr>
        <w:numId w:val="0"/>
      </w:numPr>
    </w:pPr>
  </w:style>
  <w:style w:type="paragraph" w:styleId="TOC4">
    <w:name w:val="toc 4"/>
    <w:basedOn w:val="TOCBase"/>
    <w:next w:val="Normal"/>
    <w:semiHidden/>
    <w:rsid w:val="00EF116C"/>
    <w:pPr>
      <w:tabs>
        <w:tab w:val="right" w:leader="dot" w:pos="9071"/>
      </w:tabs>
      <w:ind w:left="1701"/>
    </w:pPr>
  </w:style>
  <w:style w:type="paragraph" w:customStyle="1" w:styleId="ListAlpha">
    <w:name w:val="List Alpha"/>
    <w:basedOn w:val="List"/>
    <w:rsid w:val="00EF116C"/>
    <w:pPr>
      <w:numPr>
        <w:numId w:val="8"/>
      </w:numPr>
    </w:pPr>
  </w:style>
  <w:style w:type="paragraph" w:customStyle="1" w:styleId="ListAlpha2">
    <w:name w:val="List Alpha 2"/>
    <w:basedOn w:val="List2"/>
    <w:rsid w:val="00EF116C"/>
    <w:pPr>
      <w:numPr>
        <w:numId w:val="7"/>
      </w:numPr>
    </w:pPr>
  </w:style>
  <w:style w:type="paragraph" w:styleId="List2">
    <w:name w:val="List 2"/>
    <w:basedOn w:val="BodyText"/>
    <w:rsid w:val="00EF116C"/>
    <w:pPr>
      <w:tabs>
        <w:tab w:val="left" w:pos="680"/>
      </w:tabs>
      <w:spacing w:before="60" w:after="60"/>
      <w:ind w:left="680" w:hanging="340"/>
    </w:pPr>
  </w:style>
  <w:style w:type="paragraph" w:styleId="List3">
    <w:name w:val="List 3"/>
    <w:basedOn w:val="BodyText"/>
    <w:rsid w:val="00EF116C"/>
    <w:pPr>
      <w:tabs>
        <w:tab w:val="left" w:pos="1021"/>
      </w:tabs>
      <w:spacing w:before="60" w:after="60"/>
      <w:ind w:left="1020" w:hanging="340"/>
    </w:pPr>
  </w:style>
  <w:style w:type="paragraph" w:styleId="List4">
    <w:name w:val="List 4"/>
    <w:basedOn w:val="BodyText"/>
    <w:rsid w:val="00EF116C"/>
    <w:pPr>
      <w:tabs>
        <w:tab w:val="left" w:pos="1361"/>
      </w:tabs>
      <w:spacing w:before="60" w:after="60"/>
      <w:ind w:left="1361" w:hanging="340"/>
    </w:pPr>
  </w:style>
  <w:style w:type="paragraph" w:styleId="List5">
    <w:name w:val="List 5"/>
    <w:basedOn w:val="BodyText"/>
    <w:rsid w:val="00EF116C"/>
    <w:pPr>
      <w:tabs>
        <w:tab w:val="left" w:pos="1701"/>
      </w:tabs>
      <w:spacing w:before="60" w:after="60"/>
      <w:ind w:left="1701" w:hanging="340"/>
    </w:pPr>
  </w:style>
  <w:style w:type="paragraph" w:styleId="ListBullet3">
    <w:name w:val="List Bullet 3"/>
    <w:basedOn w:val="List3"/>
    <w:rsid w:val="00EF116C"/>
    <w:pPr>
      <w:numPr>
        <w:numId w:val="14"/>
      </w:numPr>
      <w:tabs>
        <w:tab w:val="clear" w:pos="1021"/>
      </w:tabs>
      <w:ind w:left="1037" w:hanging="357"/>
    </w:pPr>
  </w:style>
  <w:style w:type="paragraph" w:styleId="ListBullet4">
    <w:name w:val="List Bullet 4"/>
    <w:basedOn w:val="List4"/>
    <w:rsid w:val="00EF116C"/>
    <w:pPr>
      <w:numPr>
        <w:numId w:val="2"/>
      </w:numPr>
      <w:tabs>
        <w:tab w:val="clear" w:pos="1361"/>
      </w:tabs>
    </w:pPr>
  </w:style>
  <w:style w:type="paragraph" w:styleId="ListBullet5">
    <w:name w:val="List Bullet 5"/>
    <w:basedOn w:val="List5"/>
    <w:rsid w:val="00EF116C"/>
    <w:pPr>
      <w:numPr>
        <w:numId w:val="3"/>
      </w:numPr>
    </w:pPr>
  </w:style>
  <w:style w:type="paragraph" w:styleId="ListContinue2">
    <w:name w:val="List Continue 2"/>
    <w:basedOn w:val="List2"/>
    <w:rsid w:val="00EF116C"/>
    <w:pPr>
      <w:ind w:firstLine="0"/>
    </w:pPr>
  </w:style>
  <w:style w:type="paragraph" w:styleId="ListContinue3">
    <w:name w:val="List Continue 3"/>
    <w:basedOn w:val="List3"/>
    <w:rsid w:val="00EF116C"/>
    <w:pPr>
      <w:ind w:left="1021" w:firstLine="0"/>
    </w:pPr>
  </w:style>
  <w:style w:type="paragraph" w:styleId="ListContinue4">
    <w:name w:val="List Continue 4"/>
    <w:basedOn w:val="List4"/>
    <w:rsid w:val="00EF116C"/>
    <w:pPr>
      <w:ind w:firstLine="0"/>
    </w:pPr>
  </w:style>
  <w:style w:type="paragraph" w:styleId="ListContinue5">
    <w:name w:val="List Continue 5"/>
    <w:basedOn w:val="List5"/>
    <w:rsid w:val="00EF116C"/>
    <w:pPr>
      <w:ind w:firstLine="0"/>
    </w:pPr>
  </w:style>
  <w:style w:type="paragraph" w:styleId="ListNumber3">
    <w:name w:val="List Number 3"/>
    <w:basedOn w:val="List3"/>
    <w:rsid w:val="00EF116C"/>
    <w:pPr>
      <w:numPr>
        <w:numId w:val="4"/>
      </w:numPr>
    </w:pPr>
  </w:style>
  <w:style w:type="paragraph" w:styleId="ListNumber4">
    <w:name w:val="List Number 4"/>
    <w:basedOn w:val="List4"/>
    <w:rsid w:val="00EF116C"/>
    <w:pPr>
      <w:numPr>
        <w:numId w:val="5"/>
      </w:numPr>
    </w:pPr>
  </w:style>
  <w:style w:type="paragraph" w:styleId="ListNumber5">
    <w:name w:val="List Number 5"/>
    <w:basedOn w:val="List5"/>
    <w:rsid w:val="00EF116C"/>
    <w:pPr>
      <w:numPr>
        <w:numId w:val="6"/>
      </w:numPr>
    </w:pPr>
  </w:style>
  <w:style w:type="paragraph" w:styleId="BlockText">
    <w:name w:val="Block Text"/>
    <w:basedOn w:val="Normal"/>
    <w:rsid w:val="00EF116C"/>
    <w:pPr>
      <w:spacing w:after="120"/>
      <w:ind w:left="1440" w:right="1440"/>
    </w:pPr>
  </w:style>
  <w:style w:type="character" w:customStyle="1" w:styleId="Subscript">
    <w:name w:val="Subscript"/>
    <w:basedOn w:val="DefaultParagraphFont"/>
    <w:rsid w:val="00EF116C"/>
    <w:rPr>
      <w:sz w:val="16"/>
      <w:vertAlign w:val="subscript"/>
    </w:rPr>
  </w:style>
  <w:style w:type="character" w:customStyle="1" w:styleId="Superscript">
    <w:name w:val="Superscript"/>
    <w:basedOn w:val="DefaultParagraphFont"/>
    <w:rsid w:val="00EF116C"/>
    <w:rPr>
      <w:sz w:val="16"/>
      <w:vertAlign w:val="superscript"/>
    </w:rPr>
  </w:style>
  <w:style w:type="character" w:customStyle="1" w:styleId="Symbols">
    <w:name w:val="Symbols"/>
    <w:basedOn w:val="DefaultParagraphFont"/>
    <w:rsid w:val="00EF116C"/>
    <w:rPr>
      <w:rFonts w:ascii="Symbol" w:hAnsi="Symbol"/>
    </w:rPr>
  </w:style>
  <w:style w:type="character" w:customStyle="1" w:styleId="MenuOptions">
    <w:name w:val="Menu Options"/>
    <w:basedOn w:val="DefaultParagraphFont"/>
    <w:rsid w:val="00EF116C"/>
    <w:rPr>
      <w:rFonts w:ascii="Arial Narrow" w:hAnsi="Arial Narrow"/>
      <w:smallCaps/>
    </w:rPr>
  </w:style>
  <w:style w:type="character" w:customStyle="1" w:styleId="Buttons">
    <w:name w:val="Buttons"/>
    <w:basedOn w:val="DefaultParagraphFont"/>
    <w:rsid w:val="00EF116C"/>
    <w:rPr>
      <w:b/>
    </w:rPr>
  </w:style>
  <w:style w:type="character" w:customStyle="1" w:styleId="Underlined">
    <w:name w:val="Underlined"/>
    <w:basedOn w:val="DefaultParagraphFont"/>
    <w:rsid w:val="00EF116C"/>
    <w:rPr>
      <w:u w:val="single"/>
    </w:rPr>
  </w:style>
  <w:style w:type="paragraph" w:customStyle="1" w:styleId="TableBodyTextRight">
    <w:name w:val="Table Body Text Right"/>
    <w:basedOn w:val="TableBodyText"/>
    <w:rsid w:val="00EF116C"/>
    <w:pPr>
      <w:widowControl w:val="0"/>
      <w:autoSpaceDE w:val="0"/>
      <w:autoSpaceDN w:val="0"/>
      <w:adjustRightInd w:val="0"/>
      <w:jc w:val="right"/>
    </w:pPr>
    <w:rPr>
      <w:rFonts w:cs="Arial"/>
      <w:szCs w:val="18"/>
    </w:rPr>
  </w:style>
  <w:style w:type="paragraph" w:customStyle="1" w:styleId="CopyrightText">
    <w:name w:val="Copyright Text"/>
    <w:basedOn w:val="BodyText"/>
    <w:rsid w:val="00EF116C"/>
    <w:rPr>
      <w:sz w:val="18"/>
    </w:rPr>
  </w:style>
  <w:style w:type="paragraph" w:customStyle="1" w:styleId="BodySmallRight">
    <w:name w:val="Body Small Right"/>
    <w:basedOn w:val="BodyTextRight"/>
    <w:rsid w:val="00EF116C"/>
    <w:rPr>
      <w:sz w:val="18"/>
      <w:szCs w:val="18"/>
    </w:rPr>
  </w:style>
  <w:style w:type="paragraph" w:customStyle="1" w:styleId="MarginEdition">
    <w:name w:val="Margin Edition"/>
    <w:basedOn w:val="MarginNote"/>
    <w:rsid w:val="00EF116C"/>
    <w:pPr>
      <w:spacing w:before="0" w:after="0"/>
    </w:pPr>
    <w:rPr>
      <w:rFonts w:ascii="Times New Roman" w:hAnsi="Times New Roman"/>
      <w:color w:val="999999"/>
    </w:rPr>
  </w:style>
  <w:style w:type="paragraph" w:customStyle="1" w:styleId="Spacer">
    <w:name w:val="Spacer"/>
    <w:basedOn w:val="Normal"/>
    <w:rsid w:val="00EF116C"/>
    <w:rPr>
      <w:sz w:val="2"/>
      <w:szCs w:val="2"/>
    </w:rPr>
  </w:style>
  <w:style w:type="character" w:customStyle="1" w:styleId="Small">
    <w:name w:val="Small"/>
    <w:basedOn w:val="DefaultParagraphFont"/>
    <w:rsid w:val="00EF116C"/>
    <w:rPr>
      <w:sz w:val="16"/>
    </w:rPr>
  </w:style>
  <w:style w:type="paragraph" w:customStyle="1" w:styleId="WideTable">
    <w:name w:val="Wide Table"/>
    <w:basedOn w:val="Normal"/>
    <w:rsid w:val="00EF116C"/>
    <w:pPr>
      <w:ind w:left="-1418"/>
    </w:pPr>
    <w:rPr>
      <w:sz w:val="2"/>
      <w:szCs w:val="2"/>
    </w:rPr>
  </w:style>
  <w:style w:type="character" w:styleId="PageNumber">
    <w:name w:val="page number"/>
    <w:basedOn w:val="DefaultParagraphFont"/>
    <w:rsid w:val="00EF116C"/>
  </w:style>
  <w:style w:type="paragraph" w:styleId="Quote">
    <w:name w:val="Quote"/>
    <w:basedOn w:val="Heading1"/>
    <w:link w:val="QuoteChar"/>
    <w:qFormat/>
    <w:rsid w:val="00EF116C"/>
    <w:rPr>
      <w:b w:val="0"/>
      <w:sz w:val="72"/>
      <w:szCs w:val="72"/>
      <w:lang w:val="en-NZ"/>
    </w:rPr>
  </w:style>
  <w:style w:type="character" w:customStyle="1" w:styleId="QuoteChar">
    <w:name w:val="Quote Char"/>
    <w:basedOn w:val="DefaultParagraphFont"/>
    <w:link w:val="Quote"/>
    <w:rsid w:val="00EF11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116C"/>
    <w:pPr>
      <w:pageBreakBefore/>
    </w:pPr>
  </w:style>
  <w:style w:type="paragraph" w:customStyle="1" w:styleId="Border">
    <w:name w:val="Border"/>
    <w:basedOn w:val="Normal"/>
    <w:qFormat/>
    <w:rsid w:val="00EF11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116C"/>
    <w:rPr>
      <w:b/>
      <w:bCs/>
      <w:i/>
      <w:iCs/>
      <w:color w:val="auto"/>
    </w:rPr>
  </w:style>
  <w:style w:type="paragraph" w:styleId="IntenseQuote">
    <w:name w:val="Intense Quote"/>
    <w:basedOn w:val="Normal"/>
    <w:next w:val="Normal"/>
    <w:link w:val="IntenseQuoteChar"/>
    <w:uiPriority w:val="30"/>
    <w:qFormat/>
    <w:rsid w:val="00EF11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11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116C"/>
    <w:rPr>
      <w:smallCaps/>
      <w:color w:val="auto"/>
      <w:u w:val="single"/>
    </w:rPr>
  </w:style>
  <w:style w:type="character" w:styleId="IntenseReference">
    <w:name w:val="Intense Reference"/>
    <w:basedOn w:val="DefaultParagraphFont"/>
    <w:uiPriority w:val="32"/>
    <w:qFormat/>
    <w:rsid w:val="00EF116C"/>
    <w:rPr>
      <w:b/>
      <w:bCs/>
      <w:smallCaps/>
      <w:color w:val="auto"/>
      <w:spacing w:val="5"/>
      <w:u w:val="single"/>
    </w:rPr>
  </w:style>
  <w:style w:type="paragraph" w:customStyle="1" w:styleId="2ColumnHeading">
    <w:name w:val="2Column Heading"/>
    <w:basedOn w:val="BodyText"/>
    <w:qFormat/>
    <w:rsid w:val="00EF116C"/>
    <w:pPr>
      <w:spacing w:after="60"/>
      <w:ind w:left="-2268"/>
    </w:pPr>
    <w:rPr>
      <w:b/>
    </w:rPr>
  </w:style>
  <w:style w:type="paragraph" w:customStyle="1" w:styleId="Heading1TOC">
    <w:name w:val="Heading1 TOC"/>
    <w:basedOn w:val="Normal"/>
    <w:qFormat/>
    <w:rsid w:val="00EF116C"/>
    <w:pPr>
      <w:spacing w:before="240" w:after="120"/>
    </w:pPr>
    <w:rPr>
      <w:rFonts w:ascii="Times New Roman" w:hAnsi="Times New Roman"/>
      <w:b/>
      <w:sz w:val="32"/>
    </w:rPr>
  </w:style>
  <w:style w:type="paragraph" w:customStyle="1" w:styleId="Heading2TOC">
    <w:name w:val="Heading2 TOC"/>
    <w:basedOn w:val="Normal"/>
    <w:qFormat/>
    <w:rsid w:val="00EF116C"/>
    <w:pPr>
      <w:spacing w:before="240" w:after="60"/>
    </w:pPr>
    <w:rPr>
      <w:rFonts w:ascii="Times New Roman" w:hAnsi="Times New Roman"/>
      <w:b/>
      <w:sz w:val="28"/>
    </w:rPr>
  </w:style>
  <w:style w:type="character" w:customStyle="1" w:styleId="Underline">
    <w:name w:val="Underline"/>
    <w:basedOn w:val="DefaultParagraphFont"/>
    <w:qFormat/>
    <w:rsid w:val="00EF116C"/>
    <w:rPr>
      <w:u w:val="single"/>
    </w:rPr>
  </w:style>
  <w:style w:type="character" w:customStyle="1" w:styleId="BoldandItalics">
    <w:name w:val="Bold and Italics"/>
    <w:qFormat/>
    <w:rsid w:val="00EF116C"/>
    <w:rPr>
      <w:b/>
      <w:i/>
      <w:u w:val="none"/>
    </w:rPr>
  </w:style>
  <w:style w:type="paragraph" w:styleId="BalloonText">
    <w:name w:val="Balloon Text"/>
    <w:basedOn w:val="Normal"/>
    <w:link w:val="BalloonTextChar"/>
    <w:rsid w:val="00EF116C"/>
    <w:rPr>
      <w:rFonts w:ascii="Tahoma" w:hAnsi="Tahoma" w:cs="Tahoma"/>
      <w:sz w:val="16"/>
      <w:szCs w:val="16"/>
    </w:rPr>
  </w:style>
  <w:style w:type="character" w:customStyle="1" w:styleId="BalloonTextChar">
    <w:name w:val="Balloon Text Char"/>
    <w:basedOn w:val="DefaultParagraphFont"/>
    <w:link w:val="BalloonText"/>
    <w:rsid w:val="00EF11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11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11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116C"/>
    <w:rPr>
      <w:b/>
      <w:color w:val="660033"/>
      <w:spacing w:val="0"/>
    </w:rPr>
  </w:style>
  <w:style w:type="paragraph" w:customStyle="1" w:styleId="Nameditemlist">
    <w:name w:val="Named item list"/>
    <w:basedOn w:val="BodyText"/>
    <w:qFormat/>
    <w:rsid w:val="00EF116C"/>
    <w:pPr>
      <w:tabs>
        <w:tab w:val="left" w:pos="2835"/>
      </w:tabs>
      <w:ind w:left="2835" w:hanging="2835"/>
    </w:pPr>
  </w:style>
  <w:style w:type="paragraph" w:customStyle="1" w:styleId="BodyTextnopadding">
    <w:name w:val="Body Text no padding"/>
    <w:basedOn w:val="BodyText"/>
    <w:qFormat/>
    <w:rsid w:val="00EF116C"/>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789</Words>
  <Characters>5437</Characters>
  <Application>Microsoft Office Word</Application>
  <DocSecurity>0</DocSecurity>
  <Lines>218</Lines>
  <Paragraphs>190</Paragraphs>
  <ScaleCrop>false</ScaleCrop>
  <Company>Author-it Software Corporation Ltd.</Company>
  <LinksUpToDate>false</LinksUpToDate>
  <CharactersWithSpaces>6047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TLI50515 Diploma of Deployment Logistics</dc:title>
  <dc:subject>Approved</dc:subject>
  <dc:creator>Australian Industry Standards</dc:creator>
  <cp:keywords>Release 2</cp:keywords>
  <dc:description>Review Date: 12 April 2008</dc:description>
  <cp:lastModifiedBy>HSD_TPCMSd.prod</cp:lastModifiedBy>
  <cp:revision>3</cp:revision>
  <dcterms:created xsi:type="dcterms:W3CDTF">2018-09-13T18:00:25Z</dcterms:created>
  <dcterms:modified xsi:type="dcterms:W3CDTF">2018-09-12T07:35:00Z</dcterms:modified>
</cp:coreProperties>
</file>