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666C" w:rsidP="003166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TLI41522 Certificate IV in Materiel Logistics</w:t>
      </w:r>
      <w:r>
        <w:fldChar w:fldCharType="end"/>
      </w:r>
    </w:p>
    <w:p w:rsidR="0031666C" w:rsidP="0031666C">
      <w:pPr>
        <w:pStyle w:val="Version"/>
        <w:sectPr w:rsidSect="00110E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10EC6" w:rsidP="00110EC6">
      <w:pPr>
        <w:pStyle w:val="SuperHeading"/>
      </w:pPr>
      <w:r w:rsidRPr="00110EC6">
        <w:t>TLI41522 Certificate IV in Materiel Logistics</w:t>
      </w:r>
    </w:p>
    <w:p w:rsidR="00000000" w:rsidRPr="00110EC6" w:rsidP="00110EC6">
      <w:pPr>
        <w:pStyle w:val="Heading1"/>
      </w:pPr>
      <w:bookmarkStart w:id="1" w:name="O_1267248"/>
      <w:bookmarkEnd w:id="1"/>
      <w:r w:rsidRPr="00110EC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EC6" w:rsidP="00110EC6">
            <w:pPr>
              <w:pStyle w:val="BodyText"/>
            </w:pPr>
            <w:r w:rsidRPr="00110EC6">
              <w:rPr>
                <w:rStyle w:val="SpecialBold"/>
              </w:rPr>
              <w:t xml:space="preserve">Release 1. </w:t>
            </w:r>
            <w:r w:rsidRPr="00110EC6">
              <w:t>This is the first release of this qualification in the TLI Transport and Logistics Training Package.</w:t>
            </w:r>
          </w:p>
        </w:tc>
      </w:tr>
    </w:tbl>
    <w:p w:rsidR="00000000" w:rsidRPr="00110EC6" w:rsidP="00110EC6">
      <w:pPr>
        <w:pStyle w:val="NoPaddingFontSize1"/>
      </w:pPr>
    </w:p>
    <w:p w:rsidR="00000000" w:rsidRPr="00110EC6" w:rsidP="00110EC6">
      <w:pPr>
        <w:pStyle w:val="AllowPageBreak"/>
      </w:pPr>
    </w:p>
    <w:p w:rsidR="00000000" w:rsidRPr="00110EC6" w:rsidP="00110EC6">
      <w:pPr>
        <w:pStyle w:val="Heading1"/>
      </w:pPr>
      <w:bookmarkStart w:id="2" w:name="O_1267249"/>
      <w:bookmarkEnd w:id="2"/>
      <w:r w:rsidRPr="00110EC6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EC6" w:rsidP="00110EC6">
            <w:pPr>
              <w:pStyle w:val="BodyText"/>
            </w:pPr>
            <w:r w:rsidRPr="00110EC6">
              <w:t xml:space="preserve">This is a qualification for those engaged in a variety of materiel </w:t>
            </w:r>
            <w:r w:rsidRPr="00110EC6">
              <w:t>logistics roles, performed at any stage of the capability life cycle.</w:t>
            </w:r>
          </w:p>
          <w:p w:rsidR="00000000" w:rsidRPr="00110EC6" w:rsidP="00110EC6">
            <w:pPr>
              <w:pStyle w:val="BodyText"/>
            </w:pPr>
            <w:r w:rsidRPr="00110EC6">
              <w:t>Materiel logistics is the through life management of materiel to achieve the stated requirements of defence capability managers. It is a multi-disciplinary approach to the planning and m</w:t>
            </w:r>
            <w:r w:rsidRPr="00110EC6">
              <w:t>anagement of materiel</w:t>
            </w:r>
            <w:r>
              <w:t>’</w:t>
            </w:r>
            <w:r w:rsidRPr="00110EC6">
              <w:t>s logistics elements. It combines the life cycle disciplines of Integrated Logistics Support (ILS) and Supportability Analysis to provide a comprehensive approach to the development of sustainable and supportable mission systems and t</w:t>
            </w:r>
            <w:r w:rsidRPr="00110EC6">
              <w:t xml:space="preserve">heir support systems. </w:t>
            </w:r>
          </w:p>
          <w:p w:rsidR="00000000" w:rsidRPr="00110EC6" w:rsidP="00110EC6">
            <w:pPr>
              <w:pStyle w:val="BodyText"/>
            </w:pPr>
            <w:r w:rsidRPr="00110EC6">
              <w:t>Successful achievement of this qualification requires a person to perform a broad range of logistics skilled applications including requirements to evaluate and analyse current practices, develop new criteria and procedures for perfo</w:t>
            </w:r>
            <w:r w:rsidRPr="00110EC6">
              <w:t>rming current practices, and to provide some leadership and guidance to others.</w:t>
            </w:r>
          </w:p>
          <w:p w:rsidR="00000000" w:rsidRPr="00110EC6" w:rsidP="00110EC6">
            <w:pPr>
              <w:pStyle w:val="BodyText"/>
            </w:pPr>
            <w:r w:rsidRPr="00110EC6">
              <w:t>This qualification is targeted at logistics practitioners with at least twelve months’ experience in disciplines such as inventory management, data management, maintenance syst</w:t>
            </w:r>
            <w:r w:rsidRPr="00110EC6">
              <w:t>em management and integrated logistics support (acquisition and sustainment).</w:t>
            </w:r>
          </w:p>
          <w:p w:rsidR="00000000" w:rsidRPr="00110EC6" w:rsidP="00110EC6">
            <w:pPr>
              <w:pStyle w:val="BodyText"/>
            </w:pPr>
            <w:r w:rsidRPr="00110EC6">
              <w:rPr>
                <w:rStyle w:val="SpecialBold"/>
              </w:rPr>
              <w:t>Job roles</w:t>
            </w:r>
          </w:p>
          <w:p w:rsidR="00000000" w:rsidRPr="00110EC6" w:rsidP="00110EC6">
            <w:pPr>
              <w:pStyle w:val="BodyText"/>
            </w:pPr>
            <w:r w:rsidRPr="00110EC6">
              <w:t>Job roles and titles vary across different sectors. Possible job titles relevant to this qualification include:</w:t>
            </w:r>
          </w:p>
          <w:p w:rsidR="00000000" w:rsidRPr="00110EC6" w:rsidP="00110EC6">
            <w:pPr>
              <w:pStyle w:val="ListBullet"/>
            </w:pPr>
            <w:r w:rsidRPr="00110EC6">
              <w:t>product support officer</w:t>
            </w:r>
          </w:p>
          <w:p w:rsidR="00000000" w:rsidRPr="00110EC6" w:rsidP="00110EC6">
            <w:pPr>
              <w:pStyle w:val="ListBullet"/>
            </w:pPr>
            <w:r w:rsidRPr="00110EC6">
              <w:t>integrated logistics support of</w:t>
            </w:r>
            <w:r w:rsidRPr="00110EC6">
              <w:t>ficer</w:t>
            </w:r>
          </w:p>
          <w:p w:rsidR="00000000" w:rsidRPr="00110EC6" w:rsidP="00110EC6">
            <w:pPr>
              <w:pStyle w:val="ListBullet"/>
            </w:pPr>
            <w:r w:rsidRPr="00110EC6">
              <w:t>inventory controllers</w:t>
            </w:r>
          </w:p>
          <w:p w:rsidR="00000000" w:rsidRPr="00110EC6" w:rsidP="00110EC6">
            <w:pPr>
              <w:pStyle w:val="ListBullet"/>
            </w:pPr>
            <w:r w:rsidRPr="00110EC6">
              <w:t>technical logistics officer</w:t>
            </w:r>
          </w:p>
          <w:p w:rsidR="00000000" w:rsidRPr="00110EC6" w:rsidP="00110EC6">
            <w:pPr>
              <w:pStyle w:val="ListBullet"/>
            </w:pPr>
            <w:r w:rsidRPr="00110EC6">
              <w:t>fleet manager</w:t>
            </w:r>
          </w:p>
          <w:p w:rsidR="00000000" w:rsidRPr="00110EC6" w:rsidP="00110EC6">
            <w:pPr>
              <w:pStyle w:val="ListBullet"/>
            </w:pPr>
            <w:r w:rsidRPr="00110EC6">
              <w:t>support systems officer</w:t>
            </w:r>
          </w:p>
          <w:p w:rsidR="00000000" w:rsidRPr="00110EC6" w:rsidP="00110EC6">
            <w:pPr>
              <w:pStyle w:val="ListBullet"/>
            </w:pPr>
            <w:r w:rsidRPr="00110EC6">
              <w:t>supply chain officer</w:t>
            </w:r>
          </w:p>
          <w:p w:rsidR="00000000" w:rsidRPr="00110EC6" w:rsidP="00110EC6">
            <w:pPr>
              <w:pStyle w:val="ListBullet"/>
            </w:pPr>
            <w:r w:rsidRPr="00110EC6">
              <w:t>logistics engineer or ram engineer</w:t>
            </w:r>
          </w:p>
          <w:p w:rsidR="00000000" w:rsidRPr="00110EC6" w:rsidP="00110EC6">
            <w:pPr>
              <w:pStyle w:val="ListBullet"/>
            </w:pPr>
            <w:r w:rsidRPr="00110EC6">
              <w:t>purchasing/commercial officer</w:t>
            </w:r>
          </w:p>
          <w:p w:rsidR="00000000" w:rsidRPr="00110EC6" w:rsidP="00110EC6">
            <w:pPr>
              <w:pStyle w:val="BodyText"/>
            </w:pPr>
            <w:r w:rsidRPr="00110EC6">
              <w:t xml:space="preserve">No licensing, legislative or certification requirements apply to this qualification at the time of publication. </w:t>
            </w:r>
          </w:p>
        </w:tc>
      </w:tr>
    </w:tbl>
    <w:p w:rsidR="00000000" w:rsidRPr="00110EC6" w:rsidP="00110EC6">
      <w:pPr>
        <w:pStyle w:val="NoPaddingFontSize1"/>
      </w:pPr>
    </w:p>
    <w:p w:rsidR="00000000" w:rsidRPr="00110EC6" w:rsidP="00110EC6">
      <w:pPr>
        <w:pStyle w:val="AllowPageBreak"/>
      </w:pPr>
    </w:p>
    <w:p w:rsidR="00000000" w:rsidRPr="00110EC6" w:rsidP="00110EC6">
      <w:pPr>
        <w:pStyle w:val="Heading1"/>
      </w:pPr>
      <w:bookmarkStart w:id="3" w:name="O_1267250"/>
      <w:bookmarkEnd w:id="3"/>
      <w:r w:rsidRPr="00110EC6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EC6" w:rsidP="00110EC6">
            <w:pPr>
              <w:pStyle w:val="BodyText"/>
            </w:pPr>
            <w:r w:rsidRPr="00110EC6">
              <w:t>There are no entry requirements for this qualification.</w:t>
            </w:r>
          </w:p>
        </w:tc>
      </w:tr>
    </w:tbl>
    <w:p w:rsidR="00000000" w:rsidRPr="00110EC6" w:rsidP="00110EC6">
      <w:pPr>
        <w:pStyle w:val="NoPaddingFontSize1"/>
      </w:pPr>
    </w:p>
    <w:p w:rsidR="00000000" w:rsidRPr="00110EC6" w:rsidP="00110EC6">
      <w:pPr>
        <w:pStyle w:val="AllowPageBreak"/>
      </w:pPr>
    </w:p>
    <w:p w:rsidR="00000000" w:rsidRPr="00110EC6" w:rsidP="00110EC6">
      <w:pPr>
        <w:pStyle w:val="Heading1"/>
      </w:pPr>
      <w:bookmarkStart w:id="4" w:name="O_1267251"/>
      <w:bookmarkEnd w:id="4"/>
      <w:r w:rsidRPr="00110EC6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997"/>
      </w:tblGrid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4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EC6" w:rsidP="00110EC6">
            <w:pPr>
              <w:pStyle w:val="BodyText"/>
            </w:pPr>
            <w:r w:rsidRPr="00110EC6">
              <w:t xml:space="preserve">A total of </w:t>
            </w:r>
            <w:r w:rsidRPr="00110EC6">
              <w:rPr>
                <w:rStyle w:val="SpecialBold"/>
              </w:rPr>
              <w:t>11 units of competency</w:t>
            </w:r>
            <w:r w:rsidRPr="00110EC6">
              <w:t xml:space="preserve"> comprising:</w:t>
            </w:r>
          </w:p>
          <w:p w:rsidR="00000000" w:rsidRPr="00110EC6" w:rsidP="00110EC6">
            <w:pPr>
              <w:pStyle w:val="ListBullet"/>
            </w:pPr>
            <w:r w:rsidRPr="00110EC6">
              <w:rPr>
                <w:rStyle w:val="SpecialBold"/>
              </w:rPr>
              <w:t>4 core units</w:t>
            </w:r>
            <w:r w:rsidRPr="00110EC6">
              <w:t xml:space="preserve"> listed below, </w:t>
            </w:r>
            <w:r w:rsidRPr="00110EC6">
              <w:rPr>
                <w:rStyle w:val="SpecialBold"/>
              </w:rPr>
              <w:t>plus</w:t>
            </w:r>
          </w:p>
          <w:p w:rsidR="00000000" w:rsidRPr="00110EC6" w:rsidP="00110EC6">
            <w:pPr>
              <w:pStyle w:val="ListBullet"/>
            </w:pPr>
            <w:r w:rsidRPr="00110EC6">
              <w:rPr>
                <w:rStyle w:val="SpecialBold"/>
              </w:rPr>
              <w:t>4 technical elective</w:t>
            </w:r>
            <w:r w:rsidRPr="00110EC6">
              <w:t xml:space="preserve"> </w:t>
            </w:r>
            <w:r w:rsidRPr="00110EC6">
              <w:rPr>
                <w:rStyle w:val="SpecialBold"/>
              </w:rPr>
              <w:t>units</w:t>
            </w:r>
            <w:r w:rsidRPr="00110EC6">
              <w:t xml:space="preserve"> from </w:t>
            </w:r>
            <w:r w:rsidRPr="00110EC6">
              <w:rPr>
                <w:rStyle w:val="SpecialBold"/>
              </w:rPr>
              <w:t>Group A</w:t>
            </w:r>
            <w:r w:rsidRPr="00110EC6">
              <w:t xml:space="preserve"> listed below, </w:t>
            </w:r>
            <w:r w:rsidRPr="00110EC6">
              <w:rPr>
                <w:rStyle w:val="SpecialBold"/>
              </w:rPr>
              <w:t>plus</w:t>
            </w:r>
          </w:p>
          <w:p w:rsidR="00000000" w:rsidRPr="00110EC6" w:rsidP="00110EC6">
            <w:pPr>
              <w:pStyle w:val="ListBullet"/>
            </w:pPr>
            <w:r w:rsidRPr="00110EC6">
              <w:rPr>
                <w:rStyle w:val="SpecialBold"/>
              </w:rPr>
              <w:t>3 general elective</w:t>
            </w:r>
            <w:r w:rsidRPr="00110EC6">
              <w:t xml:space="preserve"> </w:t>
            </w:r>
            <w:r w:rsidRPr="00110EC6">
              <w:rPr>
                <w:rStyle w:val="SpecialBold"/>
              </w:rPr>
              <w:t>units</w:t>
            </w:r>
            <w:r w:rsidRPr="00110EC6">
              <w:t xml:space="preserve"> from </w:t>
            </w:r>
            <w:r w:rsidRPr="00110EC6">
              <w:rPr>
                <w:rStyle w:val="SpecialBold"/>
              </w:rPr>
              <w:t xml:space="preserve">Group B </w:t>
            </w:r>
            <w:r w:rsidRPr="00110EC6">
              <w:t>or remaining</w:t>
            </w:r>
            <w:r w:rsidRPr="00110EC6">
              <w:rPr>
                <w:rStyle w:val="SpecialBold"/>
              </w:rPr>
              <w:t xml:space="preserve"> Group A units</w:t>
            </w:r>
            <w:r w:rsidRPr="00110EC6">
              <w:t xml:space="preserve"> listed below. </w:t>
            </w:r>
          </w:p>
          <w:p w:rsidR="00000000" w:rsidRPr="00110EC6" w:rsidP="00110EC6">
            <w:pPr>
              <w:pStyle w:val="BodyText"/>
            </w:pPr>
            <w:r w:rsidRPr="00110EC6">
              <w:t xml:space="preserve">Up to </w:t>
            </w:r>
            <w:r w:rsidRPr="00110EC6">
              <w:rPr>
                <w:rStyle w:val="SpecialBold"/>
              </w:rPr>
              <w:t>2 of the general</w:t>
            </w:r>
            <w:r w:rsidRPr="00110EC6">
              <w:t xml:space="preserve"> </w:t>
            </w:r>
            <w:r w:rsidRPr="00110EC6">
              <w:rPr>
                <w:rStyle w:val="SpecialBold"/>
              </w:rPr>
              <w:t>elective units</w:t>
            </w:r>
            <w:r w:rsidRPr="00110EC6">
              <w:t xml:space="preserve"> </w:t>
            </w:r>
            <w:r w:rsidRPr="00110EC6">
              <w:t>may be selected from any relevant nationally endorsed Training Package or accredited course. The general elective units must contribute to the vocational outcomes of the qualification.</w:t>
            </w:r>
          </w:p>
          <w:p w:rsidR="00000000" w:rsidRPr="00110EC6" w:rsidP="00110EC6">
            <w:pPr>
              <w:pStyle w:val="BodyText"/>
            </w:pPr>
            <w:r w:rsidRPr="00110EC6">
              <w:t>Where imported units are selected, care must be taken to ensure that al</w:t>
            </w:r>
            <w:r w:rsidRPr="00110EC6">
              <w:t>l prerequisite units are complied with.</w:t>
            </w:r>
          </w:p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 xml:space="preserve">Where a prerequisite is attached to a unit it is identified by the symbol </w:t>
            </w:r>
            <w:r w:rsidRPr="00110EC6">
              <w:t>∟</w:t>
            </w:r>
          </w:p>
        </w:tc>
      </w:tr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4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rPr>
                <w:rStyle w:val="SpecialBold"/>
              </w:rPr>
              <w:t>Core units</w:t>
            </w:r>
          </w:p>
        </w:tc>
      </w:tr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4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PSPGEN113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Exercise delegations</w:t>
            </w:r>
          </w:p>
        </w:tc>
      </w:tr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4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TLIX0051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Apply materiel logistics processes and procedures</w:t>
            </w:r>
          </w:p>
        </w:tc>
      </w:tr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4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TLIX0058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Conduct materiel logistics activities</w:t>
            </w:r>
          </w:p>
        </w:tc>
      </w:tr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4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TLIX0064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Implement and monitor materiel logistics plans</w:t>
            </w:r>
          </w:p>
        </w:tc>
      </w:tr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4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rPr>
                <w:rStyle w:val="SpecialBold"/>
              </w:rPr>
              <w:t>Group A Technical Electives</w:t>
            </w:r>
          </w:p>
        </w:tc>
      </w:tr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4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PSPPCM002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Dispose of assets</w:t>
            </w:r>
          </w:p>
        </w:tc>
      </w:tr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4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TLIU4001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Implement and monitor environmental protection policies and procedures</w:t>
            </w:r>
          </w:p>
        </w:tc>
      </w:tr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4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TLIX0048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 xml:space="preserve">Apply codification and cataloguing processes and procedures </w:t>
            </w:r>
          </w:p>
        </w:tc>
      </w:tr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4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TLIX0049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Apply knowledge of materiel logistics</w:t>
            </w:r>
          </w:p>
        </w:tc>
      </w:tr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4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TLIX0050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Apply knowledge of technical regulatory framework</w:t>
            </w:r>
          </w:p>
        </w:tc>
      </w:tr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4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TLIX0052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Apply technical regulatory framework compliance management systems</w:t>
            </w:r>
          </w:p>
        </w:tc>
      </w:tr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4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TLIX0053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 xml:space="preserve">Apply technical risk management systems and techniques </w:t>
            </w:r>
          </w:p>
        </w:tc>
      </w:tr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4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TLIX0054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Assess maintenance spares and manage repairable items</w:t>
            </w:r>
          </w:p>
        </w:tc>
      </w:tr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4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TLIX0055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 xml:space="preserve">Conduct configuration management </w:t>
            </w:r>
          </w:p>
        </w:tc>
      </w:tr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4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TLIX0056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Conduct logistics support analysis activities</w:t>
            </w:r>
          </w:p>
        </w:tc>
      </w:tr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4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TLIX0065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Maintain technical data and information</w:t>
            </w:r>
          </w:p>
        </w:tc>
      </w:tr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4"/>
        </w:trPr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rPr>
                <w:rStyle w:val="SpecialBold"/>
              </w:rPr>
              <w:t>Group B</w:t>
            </w:r>
            <w:r w:rsidRPr="00110EC6">
              <w:t xml:space="preserve"> </w:t>
            </w:r>
            <w:r w:rsidRPr="00110EC6">
              <w:rPr>
                <w:rStyle w:val="SpecialBold"/>
              </w:rPr>
              <w:t>General Electives</w:t>
            </w:r>
          </w:p>
        </w:tc>
      </w:tr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4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BSBLDR414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Lead team effectiveness</w:t>
            </w:r>
          </w:p>
        </w:tc>
      </w:tr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4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BSBPMG430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Undertake project work</w:t>
            </w:r>
          </w:p>
        </w:tc>
      </w:tr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4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BSBSTR402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Implement continuous improvement</w:t>
            </w:r>
          </w:p>
        </w:tc>
      </w:tr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4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PSPGEN141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Compose complex workplace documents</w:t>
            </w:r>
          </w:p>
        </w:tc>
      </w:tr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4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PSPPCM004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Plan procurement</w:t>
            </w:r>
          </w:p>
        </w:tc>
      </w:tr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4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PSPPCM005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Develop and distribute requests for offers</w:t>
            </w:r>
          </w:p>
        </w:tc>
      </w:tr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4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PSPPCM006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Select providers and develop contracts</w:t>
            </w:r>
          </w:p>
        </w:tc>
      </w:tr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4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PSPPCM007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Manage contracts</w:t>
            </w:r>
          </w:p>
        </w:tc>
      </w:tr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4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PSPPCM028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Carry out basic procurement</w:t>
            </w:r>
          </w:p>
        </w:tc>
      </w:tr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4"/>
        </w:trPr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0EC6">
            <w:pPr>
              <w:pStyle w:val="BodyText"/>
              <w:rPr>
                <w:lang w:val="en-NZ"/>
              </w:rPr>
            </w:pPr>
            <w:r w:rsidRPr="00110EC6">
              <w:t>TLIR0003</w:t>
            </w:r>
          </w:p>
        </w:tc>
        <w:tc>
          <w:tcPr>
            <w:tcW w:w="49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EC6" w:rsidP="00110EC6">
            <w:pPr>
              <w:pStyle w:val="BodyText"/>
            </w:pPr>
            <w:r w:rsidRPr="00110EC6">
              <w:t>Monitor supplier performance</w:t>
            </w:r>
          </w:p>
        </w:tc>
      </w:tr>
    </w:tbl>
    <w:p w:rsidR="00000000" w:rsidRPr="00110EC6" w:rsidP="00110EC6">
      <w:pPr>
        <w:pStyle w:val="NoPaddingFontSize1"/>
      </w:pPr>
    </w:p>
    <w:p w:rsidR="00000000" w:rsidRPr="00110EC6" w:rsidP="00110EC6">
      <w:pPr>
        <w:pStyle w:val="AllowPageBreak"/>
      </w:pPr>
    </w:p>
    <w:p w:rsidR="00000000" w:rsidRPr="00110EC6" w:rsidP="00110EC6">
      <w:pPr>
        <w:pStyle w:val="Heading1"/>
      </w:pPr>
      <w:bookmarkStart w:id="5" w:name="O_1267252"/>
      <w:bookmarkEnd w:id="5"/>
      <w:r w:rsidRPr="00110EC6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0EC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0EC6" w:rsidP="00110EC6">
            <w:pPr>
              <w:pStyle w:val="BodyText"/>
            </w:pPr>
            <w:r w:rsidRPr="00110EC6">
              <w:t>This qualification replaces but is not equivalent to TLI41515 Certificate IV in Materiel Logistics.</w:t>
            </w:r>
          </w:p>
        </w:tc>
      </w:tr>
    </w:tbl>
    <w:p w:rsidR="00000000" w:rsidRPr="00110EC6" w:rsidP="00110EC6">
      <w:pPr>
        <w:pStyle w:val="NoPaddingFontSize1"/>
      </w:pPr>
    </w:p>
    <w:p w:rsidR="00000000" w:rsidRPr="00110EC6" w:rsidP="00110EC6">
      <w:pPr>
        <w:pStyle w:val="AllowPageBreak"/>
      </w:pPr>
    </w:p>
    <w:p w:rsidR="00000000" w:rsidRPr="00110EC6" w:rsidP="00110EC6">
      <w:pPr>
        <w:pStyle w:val="Heading1"/>
      </w:pPr>
      <w:bookmarkStart w:id="6" w:name="O_1267254"/>
      <w:bookmarkEnd w:id="6"/>
      <w:r w:rsidRPr="00110EC6">
        <w:t>Links</w:t>
      </w:r>
    </w:p>
    <w:p w:rsidR="00000000" w:rsidRPr="00110EC6" w:rsidP="0031666C">
      <w:pPr>
        <w:pStyle w:val="BodyText"/>
      </w:pPr>
      <w:r w:rsidRPr="00110EC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072C6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10EC6" w:rsidP="00110EC6"/>
    <w:sectPr w:rsidSect="00110EC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E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EC6" w:rsidRPr="0031666C" w:rsidP="003166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E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66C" w:rsidP="00110E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31666C" w:rsidP="00110E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1666C" w:rsidP="00110E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E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6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0EC6" w:rsidRPr="0031666C" w:rsidP="003166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0E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66C" w:rsidRPr="002D2AF8" w:rsidP="00110E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TLI41522 Certificate IV in Materiel Logistics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December 2022</w:t>
    </w:r>
    <w:r>
      <w:fldChar w:fldCharType="end"/>
    </w:r>
  </w:p>
  <w:p w:rsidR="0031666C" w:rsidP="00110E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A8BB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2A97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E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0E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0E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0E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0E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0E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0E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0E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0E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0E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0E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0EC6"/>
  </w:style>
  <w:style w:type="character" w:customStyle="1" w:styleId="Heading1Char">
    <w:name w:val="Heading 1 Char"/>
    <w:basedOn w:val="DefaultParagraphFont"/>
    <w:link w:val="Heading1"/>
    <w:rsid w:val="00110E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0E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0EC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0EC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0EC6"/>
    <w:rPr>
      <w:b/>
      <w:spacing w:val="0"/>
    </w:rPr>
  </w:style>
  <w:style w:type="paragraph" w:customStyle="1" w:styleId="SuperHeading">
    <w:name w:val="SuperHeading"/>
    <w:basedOn w:val="Normal"/>
    <w:rsid w:val="00110E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0E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10E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0E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0E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0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0E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0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0E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0E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0E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0E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0E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0E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0E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0E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0E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0E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0E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0E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0EC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0E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0E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0E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0E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0E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0E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0E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0E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0E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0E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0E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0E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0E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0E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0EC6"/>
    <w:rPr>
      <w:i/>
    </w:rPr>
  </w:style>
  <w:style w:type="paragraph" w:styleId="Caption">
    <w:name w:val="caption"/>
    <w:basedOn w:val="BodyText"/>
    <w:next w:val="Normal"/>
    <w:qFormat/>
    <w:rsid w:val="00110E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0E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0E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0EC6"/>
  </w:style>
  <w:style w:type="paragraph" w:styleId="TableofFigures">
    <w:name w:val="table of figures"/>
    <w:basedOn w:val="Normal"/>
    <w:next w:val="Normal"/>
    <w:semiHidden/>
    <w:rsid w:val="00110E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0EC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0EC6"/>
    <w:rPr>
      <w:rFonts w:ascii="Wingdings" w:hAnsi="Wingdings"/>
    </w:rPr>
  </w:style>
  <w:style w:type="paragraph" w:customStyle="1" w:styleId="TableHeading">
    <w:name w:val="Table Heading"/>
    <w:basedOn w:val="HeadingBase"/>
    <w:rsid w:val="00110E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0EC6"/>
    <w:rPr>
      <w:color w:val="0033CC"/>
      <w:u w:val="none"/>
    </w:rPr>
  </w:style>
  <w:style w:type="paragraph" w:customStyle="1" w:styleId="BodyTextRight">
    <w:name w:val="Body Text Right"/>
    <w:basedOn w:val="BodyText"/>
    <w:rsid w:val="00110E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0E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0EC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0E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0E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0E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0EC6"/>
    <w:rPr>
      <w:sz w:val="32"/>
    </w:rPr>
  </w:style>
  <w:style w:type="paragraph" w:customStyle="1" w:styleId="HeadingProcedure">
    <w:name w:val="Heading Procedure"/>
    <w:basedOn w:val="HeadingBase"/>
    <w:next w:val="Normal"/>
    <w:rsid w:val="00110E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0EC6"/>
    <w:pPr>
      <w:spacing w:before="60" w:after="60"/>
    </w:pPr>
  </w:style>
  <w:style w:type="paragraph" w:styleId="ListContinue">
    <w:name w:val="List Continue"/>
    <w:basedOn w:val="List"/>
    <w:rsid w:val="00110EC6"/>
    <w:pPr>
      <w:ind w:firstLine="0"/>
    </w:pPr>
  </w:style>
  <w:style w:type="paragraph" w:customStyle="1" w:styleId="ListNote">
    <w:name w:val="List Note"/>
    <w:basedOn w:val="List"/>
    <w:rsid w:val="00110E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0E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0E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0EC6"/>
    <w:rPr>
      <w:rFonts w:ascii="Courier New" w:hAnsi="Courier New"/>
    </w:rPr>
  </w:style>
  <w:style w:type="paragraph" w:customStyle="1" w:styleId="NoteBullet">
    <w:name w:val="Note Bullet"/>
    <w:basedOn w:val="Note"/>
    <w:rsid w:val="00110E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0E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0E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0E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0E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0E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0E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0EC6"/>
    <w:rPr>
      <w:b/>
      <w:smallCaps/>
    </w:rPr>
  </w:style>
  <w:style w:type="paragraph" w:customStyle="1" w:styleId="TableListNumber">
    <w:name w:val="Table List Number"/>
    <w:basedOn w:val="ListNumber"/>
    <w:rsid w:val="00110E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0E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0EC6"/>
    <w:pPr>
      <w:numPr>
        <w:numId w:val="8"/>
      </w:numPr>
    </w:pPr>
  </w:style>
  <w:style w:type="paragraph" w:customStyle="1" w:styleId="ListAlpha2">
    <w:name w:val="List Alpha 2"/>
    <w:basedOn w:val="List2"/>
    <w:rsid w:val="00110EC6"/>
    <w:pPr>
      <w:numPr>
        <w:numId w:val="7"/>
      </w:numPr>
    </w:pPr>
  </w:style>
  <w:style w:type="paragraph" w:styleId="List2">
    <w:name w:val="List 2"/>
    <w:basedOn w:val="BodyText"/>
    <w:rsid w:val="00110E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0E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0E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0E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0E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0EC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0EC6"/>
    <w:pPr>
      <w:numPr>
        <w:numId w:val="3"/>
      </w:numPr>
    </w:pPr>
  </w:style>
  <w:style w:type="paragraph" w:styleId="ListContinue2">
    <w:name w:val="List Continue 2"/>
    <w:basedOn w:val="List2"/>
    <w:rsid w:val="00110EC6"/>
    <w:pPr>
      <w:ind w:firstLine="0"/>
    </w:pPr>
  </w:style>
  <w:style w:type="paragraph" w:styleId="ListContinue3">
    <w:name w:val="List Continue 3"/>
    <w:basedOn w:val="List3"/>
    <w:rsid w:val="00110EC6"/>
    <w:pPr>
      <w:ind w:left="1021" w:firstLine="0"/>
    </w:pPr>
  </w:style>
  <w:style w:type="paragraph" w:styleId="ListContinue4">
    <w:name w:val="List Continue 4"/>
    <w:basedOn w:val="List4"/>
    <w:rsid w:val="00110EC6"/>
    <w:pPr>
      <w:ind w:firstLine="0"/>
    </w:pPr>
  </w:style>
  <w:style w:type="paragraph" w:styleId="ListContinue5">
    <w:name w:val="List Continue 5"/>
    <w:basedOn w:val="List5"/>
    <w:rsid w:val="00110EC6"/>
    <w:pPr>
      <w:ind w:firstLine="0"/>
    </w:pPr>
  </w:style>
  <w:style w:type="paragraph" w:styleId="ListNumber3">
    <w:name w:val="List Number 3"/>
    <w:basedOn w:val="List3"/>
    <w:rsid w:val="00110EC6"/>
    <w:pPr>
      <w:numPr>
        <w:numId w:val="4"/>
      </w:numPr>
    </w:pPr>
  </w:style>
  <w:style w:type="paragraph" w:styleId="ListNumber4">
    <w:name w:val="List Number 4"/>
    <w:basedOn w:val="List4"/>
    <w:rsid w:val="00110EC6"/>
    <w:pPr>
      <w:numPr>
        <w:numId w:val="5"/>
      </w:numPr>
    </w:pPr>
  </w:style>
  <w:style w:type="paragraph" w:styleId="ListNumber5">
    <w:name w:val="List Number 5"/>
    <w:basedOn w:val="List5"/>
    <w:rsid w:val="00110EC6"/>
    <w:pPr>
      <w:numPr>
        <w:numId w:val="6"/>
      </w:numPr>
    </w:pPr>
  </w:style>
  <w:style w:type="paragraph" w:styleId="BlockText">
    <w:name w:val="Block Text"/>
    <w:basedOn w:val="Normal"/>
    <w:rsid w:val="00110E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0E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0EC6"/>
    <w:rPr>
      <w:sz w:val="16"/>
      <w:vertAlign w:val="superscript"/>
    </w:rPr>
  </w:style>
  <w:style w:type="character" w:customStyle="1" w:styleId="Symbols">
    <w:name w:val="Symbols"/>
    <w:basedOn w:val="DefaultParagraphFont"/>
    <w:rsid w:val="00110EC6"/>
    <w:rPr>
      <w:rFonts w:ascii="Symbol" w:hAnsi="Symbol"/>
    </w:rPr>
  </w:style>
  <w:style w:type="character" w:customStyle="1" w:styleId="MenuOptions">
    <w:name w:val="Menu Options"/>
    <w:basedOn w:val="DefaultParagraphFont"/>
    <w:rsid w:val="00110E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0EC6"/>
    <w:rPr>
      <w:b/>
    </w:rPr>
  </w:style>
  <w:style w:type="character" w:customStyle="1" w:styleId="Underlined">
    <w:name w:val="Underlined"/>
    <w:basedOn w:val="DefaultParagraphFont"/>
    <w:rsid w:val="00110EC6"/>
    <w:rPr>
      <w:u w:val="single"/>
    </w:rPr>
  </w:style>
  <w:style w:type="paragraph" w:customStyle="1" w:styleId="TableBodyTextRight">
    <w:name w:val="Table Body Text Right"/>
    <w:basedOn w:val="TableBodyText"/>
    <w:rsid w:val="00110E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0EC6"/>
    <w:rPr>
      <w:sz w:val="18"/>
    </w:rPr>
  </w:style>
  <w:style w:type="paragraph" w:customStyle="1" w:styleId="BodySmallRight">
    <w:name w:val="Body Small Right"/>
    <w:basedOn w:val="BodyTextRight"/>
    <w:rsid w:val="00110EC6"/>
    <w:rPr>
      <w:sz w:val="18"/>
      <w:szCs w:val="18"/>
    </w:rPr>
  </w:style>
  <w:style w:type="paragraph" w:customStyle="1" w:styleId="MarginEdition">
    <w:name w:val="Margin Edition"/>
    <w:basedOn w:val="MarginNote"/>
    <w:rsid w:val="00110E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0EC6"/>
    <w:rPr>
      <w:sz w:val="2"/>
      <w:szCs w:val="2"/>
    </w:rPr>
  </w:style>
  <w:style w:type="character" w:customStyle="1" w:styleId="Small">
    <w:name w:val="Small"/>
    <w:basedOn w:val="DefaultParagraphFont"/>
    <w:rsid w:val="00110EC6"/>
    <w:rPr>
      <w:sz w:val="16"/>
    </w:rPr>
  </w:style>
  <w:style w:type="paragraph" w:customStyle="1" w:styleId="WideTable">
    <w:name w:val="Wide Table"/>
    <w:basedOn w:val="Normal"/>
    <w:rsid w:val="00110E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0EC6"/>
  </w:style>
  <w:style w:type="paragraph" w:styleId="Quote">
    <w:name w:val="Quote"/>
    <w:basedOn w:val="Heading1"/>
    <w:link w:val="QuoteChar"/>
    <w:qFormat/>
    <w:rsid w:val="00110E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0E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0EC6"/>
    <w:pPr>
      <w:pageBreakBefore/>
    </w:pPr>
  </w:style>
  <w:style w:type="paragraph" w:customStyle="1" w:styleId="Border">
    <w:name w:val="Border"/>
    <w:basedOn w:val="Normal"/>
    <w:qFormat/>
    <w:rsid w:val="00110E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0E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0E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0E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0E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0E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0E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0E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0E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0EC6"/>
    <w:rPr>
      <w:u w:val="single"/>
    </w:rPr>
  </w:style>
  <w:style w:type="character" w:customStyle="1" w:styleId="BoldandItalics">
    <w:name w:val="Bold and Italics"/>
    <w:qFormat/>
    <w:rsid w:val="00110EC6"/>
    <w:rPr>
      <w:b/>
      <w:i/>
      <w:u w:val="none"/>
    </w:rPr>
  </w:style>
  <w:style w:type="paragraph" w:styleId="BalloonText">
    <w:name w:val="Balloon Text"/>
    <w:basedOn w:val="Normal"/>
    <w:link w:val="BalloonTextChar"/>
    <w:rsid w:val="00110E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0E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0E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0E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0E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0E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0EC6"/>
    <w:pPr>
      <w:spacing w:before="0" w:after="0"/>
    </w:pPr>
  </w:style>
  <w:style w:type="paragraph" w:customStyle="1" w:styleId="BodyTextBold">
    <w:name w:val="Body Text Bold"/>
    <w:basedOn w:val="BodyText"/>
    <w:qFormat/>
    <w:rsid w:val="00110EC6"/>
    <w:rPr>
      <w:b/>
    </w:rPr>
  </w:style>
  <w:style w:type="character" w:styleId="Hyperlink">
    <w:name w:val="Hyperlink"/>
    <w:basedOn w:val="DefaultParagraphFont"/>
    <w:uiPriority w:val="99"/>
    <w:unhideWhenUsed/>
    <w:rsid w:val="003166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579</Words>
  <Characters>3820</Characters>
  <Application>Microsoft Office Word</Application>
  <DocSecurity>0</DocSecurity>
  <Lines>131</Lines>
  <Paragraphs>107</Paragraphs>
  <ScaleCrop>false</ScaleCrop>
  <Company>Author-it Software Corporation Ltd.</Company>
  <LinksUpToDate>false</LinksUpToDate>
  <CharactersWithSpaces>4292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TLI41522 Certificate IV in Materiel Logistics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2022-12-15T17:54:47Z</dcterms:created>
  <dcterms:modified xsi:type="dcterms:W3CDTF">2022-12-15T01:41:00Z</dcterms:modified>
</cp:coreProperties>
</file>