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0DB" w:rsidP="003570DB">
      <w:pPr>
        <w:pStyle w:val="Title"/>
      </w:pPr>
      <w:r>
        <w:fldChar w:fldCharType="begin"/>
      </w:r>
      <w:r>
        <w:instrText xml:space="preserve"> TITLE   \* MERGEFORMAT </w:instrText>
      </w:r>
      <w:r>
        <w:fldChar w:fldCharType="separate"/>
      </w:r>
      <w:r>
        <w:t>TLI40121 Certificate IV in Specialist Driving Operations</w:t>
      </w:r>
      <w:r>
        <w:fldChar w:fldCharType="end"/>
      </w:r>
    </w:p>
    <w:p w:rsidR="003570DB" w:rsidP="003570DB">
      <w:pPr>
        <w:pStyle w:val="Version"/>
        <w:sectPr w:rsidSect="00CD6C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C5E" w:rsidP="00CD6C5E">
      <w:pPr>
        <w:pStyle w:val="SuperHeading"/>
      </w:pPr>
      <w:r w:rsidRPr="00CD6C5E">
        <w:t>TLI40121 Certificate IV in Specialist Driving Operations</w:t>
      </w:r>
    </w:p>
    <w:p w:rsidR="00000000" w:rsidRPr="00CD6C5E" w:rsidP="00CD6C5E">
      <w:pPr>
        <w:pStyle w:val="Heading1"/>
      </w:pPr>
      <w:bookmarkStart w:id="1" w:name="O_1189468"/>
      <w:bookmarkEnd w:id="1"/>
      <w:r w:rsidRPr="00CD6C5E">
        <w:t>Modification History</w:t>
      </w:r>
    </w:p>
    <w:tbl>
      <w:tblPr>
        <w:tblW w:w="9497" w:type="dxa"/>
        <w:tblLayout w:type="fixed"/>
        <w:tblCellMar>
          <w:left w:w="62" w:type="dxa"/>
          <w:right w:w="62" w:type="dxa"/>
        </w:tblCellMar>
        <w:tblLook w:val="0000"/>
      </w:tblPr>
      <w:tblGrid>
        <w:gridCol w:w="9497"/>
      </w:tblGrid>
      <w:tr w:rsidTr="00CD6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6C5E" w:rsidP="00CD6C5E">
            <w:pPr>
              <w:pStyle w:val="BodyText"/>
            </w:pPr>
            <w:r w:rsidRPr="00CD6C5E">
              <w:rPr>
                <w:rStyle w:val="SpecialBold"/>
              </w:rPr>
              <w:t>Release 1.</w:t>
            </w:r>
            <w:r w:rsidRPr="00CD6C5E">
              <w:t xml:space="preserve"> This is the first release of this qualification in the TLI Transport and Logistics Training Package.</w:t>
            </w:r>
          </w:p>
        </w:tc>
      </w:tr>
    </w:tbl>
    <w:p w:rsidR="003570DB" w:rsidP="00CD6C5E">
      <w:pPr>
        <w:pStyle w:val="NoPaddingFontSize1"/>
      </w:pPr>
    </w:p>
    <w:p w:rsidR="003570DB" w:rsidP="00CD6C5E">
      <w:pPr>
        <w:pStyle w:val="NoPaddingFontSize1"/>
      </w:pPr>
    </w:p>
    <w:p w:rsidR="00000000" w:rsidRPr="00CD6C5E" w:rsidP="00CD6C5E">
      <w:pPr>
        <w:pStyle w:val="Heading1"/>
      </w:pPr>
      <w:bookmarkStart w:id="2" w:name="O_1189469"/>
      <w:bookmarkEnd w:id="2"/>
      <w:r w:rsidRPr="00CD6C5E">
        <w:t>Qualification Description</w:t>
      </w:r>
    </w:p>
    <w:tbl>
      <w:tblPr>
        <w:tblW w:w="9497" w:type="dxa"/>
        <w:tblLayout w:type="fixed"/>
        <w:tblCellMar>
          <w:left w:w="62" w:type="dxa"/>
          <w:right w:w="62" w:type="dxa"/>
        </w:tblCellMar>
        <w:tblLook w:val="0000"/>
      </w:tblPr>
      <w:tblGrid>
        <w:gridCol w:w="9497"/>
      </w:tblGrid>
      <w:tr w:rsidTr="00CD6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6C5E" w:rsidP="00CD6C5E">
            <w:pPr>
              <w:pStyle w:val="BodyText"/>
            </w:pPr>
            <w:r w:rsidRPr="00CD6C5E">
              <w:t>This is a qualification for those engaged in specialist d</w:t>
            </w:r>
            <w:r w:rsidRPr="00CD6C5E">
              <w:t xml:space="preserve">riving operation job roles in the transport and logistics industry. </w:t>
            </w:r>
          </w:p>
          <w:p w:rsidR="00000000" w:rsidRPr="00CD6C5E" w:rsidP="00CD6C5E">
            <w:pPr>
              <w:pStyle w:val="BodyText"/>
            </w:pPr>
            <w:r w:rsidRPr="00CD6C5E">
              <w:t>It involves a broad range of technical and skilled application in a specific area, including requirements to evaluate and analyse current practices, and to provide leadership and guidance</w:t>
            </w:r>
            <w:r w:rsidRPr="00CD6C5E">
              <w:t xml:space="preserve"> to others in applying skills. </w:t>
            </w:r>
          </w:p>
          <w:p w:rsidR="00000000" w:rsidRPr="00CD6C5E" w:rsidP="00CD6C5E">
            <w:pPr>
              <w:pStyle w:val="BodyText"/>
            </w:pPr>
            <w:r w:rsidRPr="00CD6C5E">
              <w:rPr>
                <w:rStyle w:val="SpecialBold"/>
              </w:rPr>
              <w:t>Job roles</w:t>
            </w:r>
          </w:p>
          <w:p w:rsidR="00000000" w:rsidRPr="00CD6C5E" w:rsidP="00CD6C5E">
            <w:pPr>
              <w:pStyle w:val="BodyText"/>
            </w:pPr>
            <w:r w:rsidRPr="00CD6C5E">
              <w:t>Job roles and titles vary across different sectors. Possible job titles relevant to this qualification include:</w:t>
            </w:r>
          </w:p>
          <w:p w:rsidR="00000000" w:rsidRPr="00CD6C5E" w:rsidP="00CD6C5E">
            <w:pPr>
              <w:pStyle w:val="ListBullet"/>
            </w:pPr>
            <w:r w:rsidRPr="00CD6C5E">
              <w:t>bitumen tanker driver</w:t>
            </w:r>
          </w:p>
          <w:p w:rsidR="00000000" w:rsidRPr="00CD6C5E" w:rsidP="00CD6C5E">
            <w:pPr>
              <w:pStyle w:val="ListBullet"/>
            </w:pPr>
            <w:r w:rsidRPr="00CD6C5E">
              <w:t>chemical tanker driver</w:t>
            </w:r>
          </w:p>
          <w:p w:rsidR="00000000" w:rsidRPr="00CD6C5E" w:rsidP="00CD6C5E">
            <w:pPr>
              <w:pStyle w:val="ListBullet"/>
            </w:pPr>
            <w:r w:rsidRPr="00CD6C5E">
              <w:t>fuel tanker driver</w:t>
            </w:r>
          </w:p>
          <w:p w:rsidR="00000000" w:rsidRPr="00CD6C5E" w:rsidP="00CD6C5E">
            <w:pPr>
              <w:pStyle w:val="ListBullet"/>
            </w:pPr>
            <w:r w:rsidRPr="00CD6C5E">
              <w:t>heavy vehicle recovery driver</w:t>
            </w:r>
          </w:p>
          <w:p w:rsidR="00000000" w:rsidRPr="00CD6C5E" w:rsidP="00CD6C5E">
            <w:pPr>
              <w:pStyle w:val="ListBullet"/>
            </w:pPr>
            <w:r w:rsidRPr="00CD6C5E">
              <w:t>liquid petroleum gas (LPG) tanker driver</w:t>
            </w:r>
          </w:p>
          <w:p w:rsidR="00000000" w:rsidRPr="00CD6C5E" w:rsidP="00CD6C5E">
            <w:pPr>
              <w:pStyle w:val="ListBullet"/>
            </w:pPr>
            <w:r w:rsidRPr="00CD6C5E">
              <w:t>transport supervisor</w:t>
            </w:r>
          </w:p>
          <w:p w:rsidR="00000000" w:rsidRPr="00CD6C5E" w:rsidP="00CD6C5E">
            <w:pPr>
              <w:pStyle w:val="BodyText"/>
            </w:pPr>
            <w:r w:rsidRPr="00CD6C5E">
              <w:rPr>
                <w:rStyle w:val="Emphasis"/>
              </w:rPr>
              <w:t>Please note: RTO to insert on the testamur, the specialist elective unit group selected from the group choice below.</w:t>
            </w:r>
          </w:p>
          <w:p w:rsidR="00000000" w:rsidRPr="00CD6C5E" w:rsidP="00CD6C5E">
            <w:pPr>
              <w:pStyle w:val="BodyText"/>
            </w:pPr>
            <w:r w:rsidRPr="00CD6C5E">
              <w:t xml:space="preserve">Successful achievement of the licensing unit in the qualification must align </w:t>
            </w:r>
            <w:r w:rsidRPr="00CD6C5E">
              <w:t>with licensing and regulatory requirements applicable to driving and state or territory regulatory requirements.</w:t>
            </w:r>
          </w:p>
        </w:tc>
      </w:tr>
    </w:tbl>
    <w:p w:rsidR="003570DB" w:rsidP="00CD6C5E">
      <w:pPr>
        <w:pStyle w:val="NoPaddingFontSize1"/>
      </w:pPr>
    </w:p>
    <w:p w:rsidR="003570DB" w:rsidP="00CD6C5E">
      <w:pPr>
        <w:pStyle w:val="NoPaddingFontSize1"/>
      </w:pPr>
    </w:p>
    <w:p w:rsidR="00000000" w:rsidRPr="00CD6C5E" w:rsidP="00CD6C5E">
      <w:pPr>
        <w:pStyle w:val="Heading1"/>
      </w:pPr>
      <w:bookmarkStart w:id="3" w:name="O_1189470"/>
      <w:bookmarkEnd w:id="3"/>
      <w:r w:rsidRPr="00CD6C5E">
        <w:t>Entry Requirements</w:t>
      </w:r>
    </w:p>
    <w:tbl>
      <w:tblPr>
        <w:tblW w:w="9497" w:type="dxa"/>
        <w:tblLayout w:type="fixed"/>
        <w:tblCellMar>
          <w:left w:w="62" w:type="dxa"/>
          <w:right w:w="62" w:type="dxa"/>
        </w:tblCellMar>
        <w:tblLook w:val="0000"/>
      </w:tblPr>
      <w:tblGrid>
        <w:gridCol w:w="9497"/>
      </w:tblGrid>
      <w:tr w:rsidTr="00CD6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6C5E" w:rsidP="00CD6C5E">
            <w:pPr>
              <w:pStyle w:val="BodyText"/>
            </w:pPr>
            <w:r w:rsidRPr="00CD6C5E">
              <w:t>There are no entry requirements for this qualification.</w:t>
            </w:r>
          </w:p>
        </w:tc>
      </w:tr>
    </w:tbl>
    <w:p w:rsidR="003570DB" w:rsidP="00CD6C5E">
      <w:pPr>
        <w:pStyle w:val="NoPaddingFontSize1"/>
      </w:pPr>
    </w:p>
    <w:p w:rsidR="003570DB" w:rsidP="00CD6C5E">
      <w:pPr>
        <w:pStyle w:val="NoPaddingFontSize1"/>
      </w:pPr>
    </w:p>
    <w:p w:rsidR="00000000" w:rsidRPr="00CD6C5E" w:rsidP="00CD6C5E">
      <w:pPr>
        <w:pStyle w:val="Heading1"/>
      </w:pPr>
      <w:bookmarkStart w:id="4" w:name="O_1189471"/>
      <w:bookmarkEnd w:id="4"/>
      <w:r w:rsidRPr="00CD6C5E">
        <w:t>Packaging Rules</w:t>
      </w:r>
    </w:p>
    <w:tbl>
      <w:tblPr>
        <w:tblW w:w="9497" w:type="dxa"/>
        <w:tblLayout w:type="fixed"/>
        <w:tblCellMar>
          <w:left w:w="62" w:type="dxa"/>
          <w:right w:w="62" w:type="dxa"/>
        </w:tblCellMar>
        <w:tblLook w:val="0000"/>
      </w:tblPr>
      <w:tblGrid>
        <w:gridCol w:w="2013"/>
        <w:gridCol w:w="7484"/>
      </w:tblGrid>
      <w:tr w:rsidTr="00CD6C5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D6C5E" w:rsidP="00CD6C5E">
            <w:pPr>
              <w:pStyle w:val="BodyText"/>
            </w:pPr>
            <w:r w:rsidRPr="00CD6C5E">
              <w:t xml:space="preserve">A total of </w:t>
            </w:r>
            <w:r w:rsidRPr="00CD6C5E">
              <w:rPr>
                <w:rStyle w:val="SpecialBold"/>
              </w:rPr>
              <w:t xml:space="preserve">12 units </w:t>
            </w:r>
            <w:r w:rsidRPr="00CD6C5E">
              <w:t xml:space="preserve">of competency comprising: </w:t>
            </w:r>
          </w:p>
          <w:p w:rsidR="00000000" w:rsidRPr="00CD6C5E" w:rsidP="00CD6C5E">
            <w:pPr>
              <w:pStyle w:val="ListBullet"/>
            </w:pPr>
            <w:r w:rsidRPr="00CD6C5E">
              <w:rPr>
                <w:rStyle w:val="SpecialBold"/>
              </w:rPr>
              <w:t>5 core units, plus</w:t>
            </w:r>
          </w:p>
          <w:p w:rsidR="00000000" w:rsidRPr="00CD6C5E" w:rsidP="00CD6C5E">
            <w:pPr>
              <w:pStyle w:val="ListBullet"/>
            </w:pPr>
            <w:r w:rsidRPr="00CD6C5E">
              <w:rPr>
                <w:rStyle w:val="SpecialBold"/>
              </w:rPr>
              <w:t>All units in one</w:t>
            </w:r>
            <w:r w:rsidRPr="00CD6C5E">
              <w:t xml:space="preserve"> of the specialist elective groups, </w:t>
            </w:r>
            <w:r w:rsidRPr="00CD6C5E">
              <w:rPr>
                <w:rStyle w:val="SpecialBold"/>
              </w:rPr>
              <w:t>plus</w:t>
            </w:r>
          </w:p>
          <w:p w:rsidR="00000000" w:rsidRPr="00CD6C5E" w:rsidP="00CD6C5E">
            <w:pPr>
              <w:pStyle w:val="ListBullet"/>
            </w:pPr>
            <w:r w:rsidRPr="00CD6C5E">
              <w:rPr>
                <w:rStyle w:val="SpecialBold"/>
              </w:rPr>
              <w:t>5 general elective units</w:t>
            </w:r>
            <w:r w:rsidRPr="00CD6C5E">
              <w:t xml:space="preserve"> if selecting specialist elective Group, A, B, D, </w:t>
            </w:r>
            <w:r w:rsidRPr="00CD6C5E">
              <w:rPr>
                <w:rStyle w:val="SpecialBold"/>
              </w:rPr>
              <w:t>or</w:t>
            </w:r>
          </w:p>
          <w:p w:rsidR="00000000" w:rsidRPr="00CD6C5E" w:rsidP="00CD6C5E">
            <w:pPr>
              <w:pStyle w:val="ListBullet"/>
            </w:pPr>
            <w:r w:rsidRPr="00CD6C5E">
              <w:rPr>
                <w:rStyle w:val="SpecialBold"/>
              </w:rPr>
              <w:t>6 general elective units</w:t>
            </w:r>
            <w:r w:rsidRPr="00CD6C5E">
              <w:t xml:space="preserve"> if selecting specialist electi</w:t>
            </w:r>
            <w:r w:rsidRPr="00CD6C5E">
              <w:t xml:space="preserve">ve Group C. </w:t>
            </w:r>
          </w:p>
          <w:p w:rsidR="00000000" w:rsidRPr="00CD6C5E" w:rsidP="00CD6C5E">
            <w:pPr>
              <w:pStyle w:val="BodyText"/>
            </w:pPr>
            <w:r w:rsidRPr="00CD6C5E">
              <w:rPr>
                <w:rStyle w:val="SpecialBold"/>
              </w:rPr>
              <w:t>Up to 3 of the general elective units</w:t>
            </w:r>
            <w:r w:rsidRPr="00CD6C5E">
              <w:t xml:space="preserve"> may be selected, from any relevant nationally endorsed Training Package or accredited course. The general elective units must contribute to the vocational outcomes of the qualification.</w:t>
            </w:r>
          </w:p>
          <w:p w:rsidR="00000000" w:rsidRPr="00CD6C5E" w:rsidP="00CD6C5E">
            <w:pPr>
              <w:pStyle w:val="BodyText"/>
            </w:pPr>
            <w:r w:rsidRPr="00CD6C5E">
              <w:t>Where imported unit</w:t>
            </w:r>
            <w:r w:rsidRPr="00CD6C5E">
              <w:t>s are selected, care must be taken to ensure that all prerequisite units specified are complied with. Prerequisites attached to any of the units must be obtained and are additional to the number of units required for the qualification.</w:t>
            </w:r>
          </w:p>
          <w:p w:rsidR="00000000" w:rsidP="00CD6C5E">
            <w:pPr>
              <w:pStyle w:val="BodyText"/>
              <w:rPr>
                <w:lang w:val="en-NZ"/>
              </w:rPr>
            </w:pPr>
            <w:r w:rsidRPr="00CD6C5E">
              <w:t>Where a prerequisite</w:t>
            </w:r>
            <w:r w:rsidRPr="00CD6C5E">
              <w:t xml:space="preserve"> is attached to a unit it is identified by the symbol </w:t>
            </w:r>
            <w:r w:rsidRPr="00CD6C5E">
              <w:t>∟</w:t>
            </w:r>
          </w:p>
        </w:tc>
      </w:tr>
      <w:tr w:rsidTr="00CD6C5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rPr>
                <w:rStyle w:val="SpecialBold"/>
              </w:rPr>
              <w:t xml:space="preserve">Core units </w:t>
            </w:r>
          </w:p>
        </w:tc>
      </w:tr>
      <w:tr w:rsidTr="00CD6C5E">
        <w:tblPrEx>
          <w:tblW w:w="9497" w:type="dxa"/>
          <w:tblLayout w:type="fixed"/>
          <w:tblCellMar>
            <w:left w:w="62" w:type="dxa"/>
            <w:right w:w="62" w:type="dxa"/>
          </w:tblCellMar>
          <w:tblLook w:val="0000"/>
        </w:tblPrEx>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TLIB0002</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Carry out vehicle inspection </w:t>
            </w:r>
          </w:p>
        </w:tc>
      </w:tr>
      <w:tr w:rsidTr="00CD6C5E">
        <w:tblPrEx>
          <w:tblW w:w="9497" w:type="dxa"/>
          <w:tblLayout w:type="fixed"/>
          <w:tblCellMar>
            <w:left w:w="62" w:type="dxa"/>
            <w:right w:w="62" w:type="dxa"/>
          </w:tblCellMar>
          <w:tblLook w:val="0000"/>
        </w:tblPrEx>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TLIC1051</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Operate commercial vehicle </w:t>
            </w:r>
          </w:p>
        </w:tc>
      </w:tr>
      <w:tr w:rsidTr="00CD6C5E">
        <w:tblPrEx>
          <w:tblW w:w="9497" w:type="dxa"/>
          <w:tblLayout w:type="fixed"/>
          <w:tblCellMar>
            <w:left w:w="62" w:type="dxa"/>
            <w:right w:w="62" w:type="dxa"/>
          </w:tblCellMar>
          <w:tblLook w:val="0000"/>
        </w:tblPrEx>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TLIC3037</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Apply safe heavy vehicle driving behaviours</w:t>
            </w:r>
          </w:p>
        </w:tc>
      </w:tr>
      <w:tr w:rsidTr="00CD6C5E">
        <w:tblPrEx>
          <w:tblW w:w="9497" w:type="dxa"/>
          <w:tblLayout w:type="fixed"/>
          <w:tblCellMar>
            <w:left w:w="62" w:type="dxa"/>
            <w:right w:w="62" w:type="dxa"/>
          </w:tblCellMar>
          <w:tblLook w:val="0000"/>
        </w:tblPrEx>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TLIF2010</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Apply fatigue management strategies </w:t>
            </w:r>
          </w:p>
        </w:tc>
      </w:tr>
      <w:tr w:rsidTr="00CD6C5E">
        <w:tblPrEx>
          <w:tblW w:w="9497" w:type="dxa"/>
          <w:tblLayout w:type="fixed"/>
          <w:tblCellMar>
            <w:left w:w="62" w:type="dxa"/>
            <w:right w:w="62" w:type="dxa"/>
          </w:tblCellMar>
          <w:tblLook w:val="0000"/>
        </w:tblPrEx>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TLIF4095</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Apply work health and safety requirements for driving operations </w:t>
            </w:r>
          </w:p>
        </w:tc>
      </w:tr>
      <w:tr w:rsidTr="00CD6C5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rPr>
                <w:rStyle w:val="SpecialBold"/>
              </w:rPr>
              <w:t>Specialist elective units</w:t>
            </w:r>
          </w:p>
        </w:tc>
      </w:tr>
      <w:tr w:rsidTr="00CD6C5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D6C5E" w:rsidP="00CD6C5E">
            <w:pPr>
              <w:pStyle w:val="BodyText"/>
            </w:pPr>
            <w:r w:rsidRPr="00CD6C5E">
              <w:t>Select one Group (job role) from the following options:</w:t>
            </w:r>
          </w:p>
          <w:p w:rsidR="00000000" w:rsidRPr="00CD6C5E" w:rsidP="00CD6C5E">
            <w:pPr>
              <w:pStyle w:val="BodyText"/>
            </w:pPr>
            <w:r w:rsidRPr="00CD6C5E">
              <w:t>Group A: Chemical and Fuel Tanker</w:t>
            </w:r>
          </w:p>
          <w:p w:rsidR="00000000" w:rsidRPr="00CD6C5E" w:rsidP="00CD6C5E">
            <w:pPr>
              <w:pStyle w:val="BodyText"/>
            </w:pPr>
            <w:r w:rsidRPr="00CD6C5E">
              <w:t>Group B: LP Gas Tanker</w:t>
            </w:r>
          </w:p>
          <w:p w:rsidR="00000000" w:rsidRPr="00CD6C5E" w:rsidP="00CD6C5E">
            <w:pPr>
              <w:pStyle w:val="BodyText"/>
            </w:pPr>
            <w:r w:rsidRPr="00CD6C5E">
              <w:t>Group C: Heavy Vehicle Recovery</w:t>
            </w:r>
          </w:p>
          <w:p w:rsidR="00000000" w:rsidP="00CD6C5E">
            <w:pPr>
              <w:pStyle w:val="BodyText"/>
              <w:rPr>
                <w:lang w:val="en-NZ"/>
              </w:rPr>
            </w:pPr>
            <w:r w:rsidRPr="00CD6C5E">
              <w:t>Group D: Bitumen Tanker</w:t>
            </w:r>
          </w:p>
        </w:tc>
      </w:tr>
      <w:tr w:rsidTr="00CD6C5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rPr>
                <w:rStyle w:val="SpecialBold"/>
              </w:rPr>
              <w:t xml:space="preserve">Group A: Chemical and Fuel Tanker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TLIC0022</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Operate chemical and fuel tanker</w:t>
            </w:r>
            <w:r w:rsidRPr="00CD6C5E">
              <w:br/>
              <w:t>∟TLILIC0001 Licence to transport dangerous goods by road</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TLILIC0001</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Licence to transport dangerous goods by road </w:t>
            </w:r>
          </w:p>
        </w:tc>
      </w:tr>
      <w:tr w:rsidTr="00CD6C5E">
        <w:tblPrEx>
          <w:tblW w:w="9497" w:type="dxa"/>
          <w:tblLayout w:type="fixed"/>
          <w:tblCellMar>
            <w:left w:w="62" w:type="dxa"/>
            <w:right w:w="62" w:type="dxa"/>
          </w:tblCellMar>
          <w:tblLook w:val="0000"/>
        </w:tblPrEx>
        <w:trPr>
          <w:trHeight w:val="183"/>
        </w:trPr>
        <w:tc>
          <w:tcPr>
            <w:tcW w:w="9497" w:type="dxa"/>
            <w:gridSpan w:val="2"/>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rPr>
                <w:rStyle w:val="SpecialBold"/>
              </w:rPr>
              <w:t xml:space="preserve">Group B: LP Gas Tanker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TLIC0003</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Operate LP gas tanker</w:t>
            </w:r>
            <w:r w:rsidRPr="00CD6C5E">
              <w:br/>
              <w:t>∟TLILIC0001 Licence to transport dangerous goods by road</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TLILIC0001</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Licence to transport dangerous goods by road </w:t>
            </w:r>
          </w:p>
        </w:tc>
      </w:tr>
      <w:tr w:rsidTr="00CD6C5E">
        <w:tblPrEx>
          <w:tblW w:w="9497" w:type="dxa"/>
          <w:tblLayout w:type="fixed"/>
          <w:tblCellMar>
            <w:left w:w="62" w:type="dxa"/>
            <w:right w:w="62" w:type="dxa"/>
          </w:tblCellMar>
          <w:tblLook w:val="0000"/>
        </w:tblPrEx>
        <w:trPr>
          <w:trHeight w:val="183"/>
        </w:trPr>
        <w:tc>
          <w:tcPr>
            <w:tcW w:w="9497" w:type="dxa"/>
            <w:gridSpan w:val="2"/>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rPr>
                <w:rStyle w:val="SpecialBold"/>
              </w:rPr>
              <w:t xml:space="preserve">Group C: Heavy Vehicle Recovery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TLIC0011</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Conduct heavy vehicle recovery operations </w:t>
            </w:r>
          </w:p>
        </w:tc>
      </w:tr>
      <w:tr w:rsidTr="00CD6C5E">
        <w:tblPrEx>
          <w:tblW w:w="9497" w:type="dxa"/>
          <w:tblLayout w:type="fixed"/>
          <w:tblCellMar>
            <w:left w:w="62" w:type="dxa"/>
            <w:right w:w="62" w:type="dxa"/>
          </w:tblCellMar>
          <w:tblLook w:val="0000"/>
        </w:tblPrEx>
        <w:trPr>
          <w:trHeight w:val="183"/>
        </w:trPr>
        <w:tc>
          <w:tcPr>
            <w:tcW w:w="9497" w:type="dxa"/>
            <w:gridSpan w:val="2"/>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rPr>
                <w:rStyle w:val="SpecialBold"/>
              </w:rPr>
              <w:t xml:space="preserve">Group D: Bitumen Tanker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R</w:t>
            </w:r>
            <w:r w:rsidRPr="00CD6C5E">
              <w:t>IICBS312E</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Conduct bitumen tanker operations</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TLILIC0001</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Licence to transport dangerous goods by road </w:t>
            </w:r>
          </w:p>
        </w:tc>
      </w:tr>
      <w:tr w:rsidTr="00CD6C5E">
        <w:tblPrEx>
          <w:tblW w:w="9497" w:type="dxa"/>
          <w:tblLayout w:type="fixed"/>
          <w:tblCellMar>
            <w:left w:w="62" w:type="dxa"/>
            <w:right w:w="62" w:type="dxa"/>
          </w:tblCellMar>
          <w:tblLook w:val="0000"/>
        </w:tblPrEx>
        <w:trPr>
          <w:trHeight w:val="183"/>
        </w:trPr>
        <w:tc>
          <w:tcPr>
            <w:tcW w:w="9497" w:type="dxa"/>
            <w:gridSpan w:val="2"/>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rPr>
                <w:rStyle w:val="SpecialBold"/>
              </w:rPr>
              <w:t>General elective units</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DEFVEH001</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Conduct recovery vehicle operations in a field environment</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DEFVEH002</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Extract disabled equipment using winching techniques in a field environment</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TLIC0003</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Operate LP gas tanker</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TLIC0022</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Operate chemical and fuel tanker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TLIC3003</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Drive medium rigid vehicle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TLIC3004</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Drive heavy rigid vehicle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TLIC3005</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Drive heavy combination vehicle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TLIC4006</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Drive multi-combination vehicle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TLIE0009</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Carry out basic workplace calculations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TLIE4025</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Prepare and process transport documentation for dangerous goods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TLIF0005</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Apply a fatigue risk management system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TLIF0006</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Administer a fatigue risk management system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TLIF0009</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Ensure the safety of transport activities (Chain of Responsibility)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TLIF0012</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Implement and coordinate accident-emergency procedures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TLIF0014</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Monitor the safety of transport activities (Cha</w:t>
            </w:r>
            <w:r w:rsidRPr="00CD6C5E">
              <w:t xml:space="preserve">in of Responsibility)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TLIF2018</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Operate firefighting equipment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TLIF3091</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Apply awareness of dangerous goods and hazardous materials requirements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TLIF3096</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Carry out emergency response to a dangerous goods incident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TLIF4065</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Ensure compliance with Austr</w:t>
            </w:r>
            <w:r w:rsidRPr="00CD6C5E">
              <w:t xml:space="preserve">alian Dangerous Goods Code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TLIF4066</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Implement and supervise transport regulations compliance systems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TLIH0005</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Interpret road maps and navigate pre-determined routes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TLIH0006</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Plan and navigate routes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TLIL0005</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Assess and confirm customer transport requirements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TLILIC0024</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Licence to operate a vehicle loading crane (capacity 10 metre tonnes and above)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TLILIC2015</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Licence to drive a medium rigid vehicle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TLILIC2016</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Licence to drive a heavy rigid vehicle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TLILI</w:t>
            </w:r>
            <w:r w:rsidRPr="00CD6C5E">
              <w:t>C3017</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Licence to drive a heavy combination vehicle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TLILIC3018</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Licence to drive a multi-combination vehicle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TLIU1009</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Monitor plant and equipment in an environmentally sustainable manner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TLIX0022</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Decommission fuel storage and dispensing systems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TLIX0024</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Install, modify and commission fuel storage and dispensing systems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TLIX0025</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Maintain fuel storage and dispensing systems </w:t>
            </w:r>
          </w:p>
        </w:tc>
      </w:tr>
      <w:tr w:rsidTr="00CD6C5E">
        <w:tblPrEx>
          <w:tblW w:w="9497" w:type="dxa"/>
          <w:tblLayout w:type="fixed"/>
          <w:tblCellMar>
            <w:left w:w="62" w:type="dxa"/>
            <w:right w:w="62" w:type="dxa"/>
          </w:tblCellMar>
          <w:tblLook w:val="0000"/>
        </w:tblPrEx>
        <w:trPr>
          <w:trHeight w:val="183"/>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TLIX0026</w:t>
            </w:r>
          </w:p>
        </w:tc>
        <w:tc>
          <w:tcPr>
            <w:tcW w:w="7484"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 xml:space="preserve">Work in compliance with fuel storage and dispensing site requirements </w:t>
            </w:r>
          </w:p>
        </w:tc>
      </w:tr>
      <w:tr w:rsidTr="00CD6C5E">
        <w:tblPrEx>
          <w:tblW w:w="9497" w:type="dxa"/>
          <w:tblLayout w:type="fixed"/>
          <w:tblCellMar>
            <w:left w:w="62" w:type="dxa"/>
            <w:right w:w="62" w:type="dxa"/>
          </w:tblCellMar>
          <w:tblLook w:val="0000"/>
        </w:tblPrEx>
        <w:trPr>
          <w:trHeight w:val="245"/>
        </w:trPr>
        <w:tc>
          <w:tcPr>
            <w:tcW w:w="2013" w:type="dxa"/>
            <w:tcBorders>
              <w:top w:val="nil"/>
              <w:left w:val="nil"/>
              <w:bottom w:val="nil"/>
              <w:right w:val="nil"/>
            </w:tcBorders>
            <w:tcMar>
              <w:top w:w="0" w:type="dxa"/>
              <w:left w:w="62" w:type="dxa"/>
              <w:bottom w:w="0" w:type="dxa"/>
              <w:right w:w="62" w:type="dxa"/>
            </w:tcMar>
          </w:tcPr>
          <w:p w:rsidR="00000000" w:rsidP="00CD6C5E">
            <w:pPr>
              <w:pStyle w:val="BodyText"/>
              <w:rPr>
                <w:lang w:val="en-NZ"/>
              </w:rPr>
            </w:pPr>
            <w:r w:rsidRPr="00CD6C5E">
              <w:t>TLIX0027</w:t>
            </w:r>
          </w:p>
        </w:tc>
        <w:tc>
          <w:tcPr>
            <w:tcW w:w="7484" w:type="dxa"/>
            <w:tcBorders>
              <w:top w:val="nil"/>
              <w:left w:val="nil"/>
              <w:bottom w:val="nil"/>
              <w:right w:val="nil"/>
            </w:tcBorders>
            <w:tcMar>
              <w:top w:w="0" w:type="dxa"/>
              <w:left w:w="62" w:type="dxa"/>
              <w:bottom w:w="0" w:type="dxa"/>
              <w:right w:w="62" w:type="dxa"/>
            </w:tcMar>
          </w:tcPr>
          <w:p w:rsidR="00000000" w:rsidRPr="00CD6C5E" w:rsidP="00CD6C5E">
            <w:pPr>
              <w:pStyle w:val="BodyText"/>
            </w:pPr>
            <w:r w:rsidRPr="00CD6C5E">
              <w:t>Work safely at a fuel storage an</w:t>
            </w:r>
            <w:r w:rsidRPr="00CD6C5E">
              <w:t xml:space="preserve">d dispensing site </w:t>
            </w:r>
          </w:p>
        </w:tc>
      </w:tr>
    </w:tbl>
    <w:p w:rsidR="003570DB" w:rsidP="00CD6C5E">
      <w:pPr>
        <w:pStyle w:val="NoPaddingFontSize1"/>
      </w:pPr>
    </w:p>
    <w:p w:rsidR="003570DB" w:rsidP="00CD6C5E">
      <w:pPr>
        <w:pStyle w:val="NoPaddingFontSize1"/>
      </w:pPr>
    </w:p>
    <w:p w:rsidR="00000000" w:rsidRPr="00CD6C5E" w:rsidP="00CD6C5E">
      <w:pPr>
        <w:pStyle w:val="Heading1"/>
      </w:pPr>
      <w:bookmarkStart w:id="5" w:name="O_1189472"/>
      <w:bookmarkEnd w:id="5"/>
      <w:r w:rsidRPr="00CD6C5E">
        <w:t>Qualification Mapping Information</w:t>
      </w:r>
    </w:p>
    <w:tbl>
      <w:tblPr>
        <w:tblW w:w="9497" w:type="dxa"/>
        <w:tblLayout w:type="fixed"/>
        <w:tblCellMar>
          <w:left w:w="62" w:type="dxa"/>
          <w:right w:w="62" w:type="dxa"/>
        </w:tblCellMar>
        <w:tblLook w:val="0000"/>
      </w:tblPr>
      <w:tblGrid>
        <w:gridCol w:w="9497"/>
      </w:tblGrid>
      <w:tr w:rsidTr="00CD6C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6C5E" w:rsidP="00CD6C5E">
            <w:pPr>
              <w:pStyle w:val="BodyText"/>
            </w:pPr>
            <w:r w:rsidRPr="00CD6C5E">
              <w:t>This qualification replaces and is not equivalent to TLI40119 Certificate IV in Driving Operations.</w:t>
            </w:r>
          </w:p>
        </w:tc>
      </w:tr>
    </w:tbl>
    <w:p w:rsidR="003570DB" w:rsidP="00CD6C5E">
      <w:pPr>
        <w:pStyle w:val="NoPaddingFontSize1"/>
      </w:pPr>
    </w:p>
    <w:p w:rsidR="003570DB" w:rsidP="00CD6C5E">
      <w:pPr>
        <w:pStyle w:val="NoPaddingFontSize1"/>
      </w:pPr>
    </w:p>
    <w:p w:rsidR="00000000" w:rsidRPr="00CD6C5E" w:rsidP="00CD6C5E">
      <w:pPr>
        <w:pStyle w:val="Heading1"/>
      </w:pPr>
      <w:bookmarkStart w:id="6" w:name="O_1189474"/>
      <w:bookmarkEnd w:id="6"/>
      <w:r w:rsidRPr="00CD6C5E">
        <w:t>Links</w:t>
      </w:r>
    </w:p>
    <w:p w:rsidR="00000000" w:rsidRPr="00CD6C5E" w:rsidP="003570DB">
      <w:pPr>
        <w:pStyle w:val="BodyText"/>
      </w:pPr>
      <w:r w:rsidRPr="00CD6C5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26250">
        <w:rPr>
          <w:rStyle w:val="Hyperlink"/>
        </w:rPr>
        <w:t>https://vetnet.gov.au/Pages/TrainingDocs.aspx?q=df441c6e-213d-43e3-874c-0b3f7036d851</w:t>
      </w:r>
      <w:r>
        <w:fldChar w:fldCharType="end"/>
      </w:r>
    </w:p>
    <w:p w:rsidR="00000000" w:rsidRPr="00CD6C5E" w:rsidP="00CD6C5E"/>
    <w:sectPr w:rsidSect="00CD6C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C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C5E" w:rsidRPr="003570DB" w:rsidP="003570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C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0DB" w:rsidP="00CD6C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70DB" w:rsidP="00CD6C5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570DB" w:rsidP="00CD6C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C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0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C5E" w:rsidRPr="003570DB" w:rsidP="003570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C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0DB" w:rsidRPr="002D2AF8" w:rsidP="00CD6C5E">
    <w:pPr>
      <w:pStyle w:val="Header"/>
      <w:framePr w:wrap="around"/>
    </w:pPr>
    <w:r>
      <w:fldChar w:fldCharType="begin"/>
    </w:r>
    <w:r>
      <w:instrText xml:space="preserve"> TITLE   \* MERGEFORMAT </w:instrText>
    </w:r>
    <w:r>
      <w:fldChar w:fldCharType="separate"/>
    </w:r>
    <w:r>
      <w:t>TLI40121 Certificate IV in Specialist Driving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2021</w:t>
    </w:r>
    <w:r>
      <w:fldChar w:fldCharType="end"/>
    </w:r>
  </w:p>
  <w:p w:rsidR="003570DB" w:rsidP="00CD6C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3683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7AFF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C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C5E"/>
    <w:pPr>
      <w:spacing w:before="360" w:after="60"/>
      <w:outlineLvl w:val="0"/>
    </w:pPr>
    <w:rPr>
      <w:sz w:val="32"/>
    </w:rPr>
  </w:style>
  <w:style w:type="paragraph" w:styleId="Heading2">
    <w:name w:val="heading 2"/>
    <w:basedOn w:val="HeadingBase"/>
    <w:next w:val="BodyText"/>
    <w:link w:val="Heading2Char"/>
    <w:qFormat/>
    <w:rsid w:val="00CD6C5E"/>
    <w:pPr>
      <w:keepLines/>
      <w:spacing w:before="240" w:after="120"/>
      <w:outlineLvl w:val="1"/>
    </w:pPr>
    <w:rPr>
      <w:sz w:val="28"/>
      <w:szCs w:val="40"/>
    </w:rPr>
  </w:style>
  <w:style w:type="paragraph" w:styleId="Heading3">
    <w:name w:val="heading 3"/>
    <w:basedOn w:val="HeadingBase"/>
    <w:next w:val="BodyText"/>
    <w:link w:val="Heading3Char"/>
    <w:qFormat/>
    <w:rsid w:val="00CD6C5E"/>
    <w:pPr>
      <w:spacing w:before="180" w:after="120"/>
      <w:outlineLvl w:val="2"/>
    </w:pPr>
    <w:rPr>
      <w:spacing w:val="-10"/>
      <w:kern w:val="32"/>
    </w:rPr>
  </w:style>
  <w:style w:type="paragraph" w:styleId="Heading4">
    <w:name w:val="heading 4"/>
    <w:basedOn w:val="HeadingBase"/>
    <w:next w:val="BodyText"/>
    <w:link w:val="Heading4Char"/>
    <w:qFormat/>
    <w:rsid w:val="00CD6C5E"/>
    <w:pPr>
      <w:spacing w:before="160" w:after="120"/>
      <w:outlineLvl w:val="3"/>
    </w:pPr>
    <w:rPr>
      <w:sz w:val="22"/>
    </w:rPr>
  </w:style>
  <w:style w:type="paragraph" w:styleId="Heading5">
    <w:name w:val="heading 5"/>
    <w:basedOn w:val="HeadingBase"/>
    <w:next w:val="Normal"/>
    <w:link w:val="Heading5Char"/>
    <w:qFormat/>
    <w:rsid w:val="00CD6C5E"/>
    <w:pPr>
      <w:spacing w:before="80"/>
      <w:outlineLvl w:val="4"/>
    </w:pPr>
    <w:rPr>
      <w:color w:val="918585"/>
      <w:sz w:val="20"/>
    </w:rPr>
  </w:style>
  <w:style w:type="paragraph" w:styleId="Heading6">
    <w:name w:val="heading 6"/>
    <w:basedOn w:val="HeadingBase"/>
    <w:next w:val="Normal"/>
    <w:link w:val="Heading6Char"/>
    <w:qFormat/>
    <w:rsid w:val="00CD6C5E"/>
    <w:pPr>
      <w:spacing w:before="60"/>
      <w:outlineLvl w:val="5"/>
    </w:pPr>
    <w:rPr>
      <w:color w:val="918585"/>
      <w:sz w:val="20"/>
    </w:rPr>
  </w:style>
  <w:style w:type="paragraph" w:styleId="Heading7">
    <w:name w:val="heading 7"/>
    <w:basedOn w:val="Normal"/>
    <w:next w:val="Normal"/>
    <w:link w:val="Heading7Char"/>
    <w:qFormat/>
    <w:rsid w:val="00CD6C5E"/>
    <w:pPr>
      <w:ind w:left="720"/>
      <w:outlineLvl w:val="6"/>
    </w:pPr>
    <w:rPr>
      <w:i/>
    </w:rPr>
  </w:style>
  <w:style w:type="paragraph" w:styleId="Heading8">
    <w:name w:val="heading 8"/>
    <w:basedOn w:val="Normal"/>
    <w:next w:val="Normal"/>
    <w:link w:val="Heading8Char"/>
    <w:qFormat/>
    <w:rsid w:val="00CD6C5E"/>
    <w:pPr>
      <w:ind w:left="720"/>
      <w:outlineLvl w:val="7"/>
    </w:pPr>
    <w:rPr>
      <w:i/>
    </w:rPr>
  </w:style>
  <w:style w:type="paragraph" w:styleId="Heading9">
    <w:name w:val="heading 9"/>
    <w:basedOn w:val="Normal"/>
    <w:next w:val="Normal"/>
    <w:link w:val="Heading9Char"/>
    <w:qFormat/>
    <w:rsid w:val="00CD6C5E"/>
    <w:pPr>
      <w:ind w:left="720"/>
      <w:outlineLvl w:val="8"/>
    </w:pPr>
    <w:rPr>
      <w:i/>
    </w:rPr>
  </w:style>
  <w:style w:type="character" w:default="1" w:styleId="DefaultParagraphFont">
    <w:name w:val="Default Paragraph Font"/>
    <w:uiPriority w:val="1"/>
    <w:unhideWhenUsed/>
    <w:rsid w:val="00CD6C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C5E"/>
  </w:style>
  <w:style w:type="character" w:customStyle="1" w:styleId="Heading1Char">
    <w:name w:val="Heading 1 Char"/>
    <w:basedOn w:val="DefaultParagraphFont"/>
    <w:link w:val="Heading1"/>
    <w:rsid w:val="00CD6C5E"/>
    <w:rPr>
      <w:rFonts w:ascii="Times New Roman" w:eastAsia="Times New Roman" w:hAnsi="Times New Roman" w:cs="Times New Roman"/>
      <w:b/>
      <w:sz w:val="32"/>
      <w:szCs w:val="20"/>
      <w:lang w:eastAsia="en-US"/>
    </w:rPr>
  </w:style>
  <w:style w:type="paragraph" w:styleId="BodyText">
    <w:name w:val="Body Text"/>
    <w:basedOn w:val="Normal"/>
    <w:link w:val="BodyTextChar"/>
    <w:rsid w:val="00CD6C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C5E"/>
    <w:rPr>
      <w:rFonts w:ascii="Times New Roman" w:eastAsia="Times New Roman" w:hAnsi="Times New Roman" w:cs="Times New Roman"/>
      <w:sz w:val="24"/>
      <w:lang w:eastAsia="en-US"/>
    </w:rPr>
  </w:style>
  <w:style w:type="paragraph" w:styleId="ListBullet">
    <w:name w:val="List Bullet"/>
    <w:basedOn w:val="List"/>
    <w:rsid w:val="00CD6C5E"/>
    <w:pPr>
      <w:numPr>
        <w:numId w:val="11"/>
      </w:numPr>
      <w:tabs>
        <w:tab w:val="clear" w:pos="340"/>
      </w:tabs>
      <w:spacing w:before="40" w:after="40"/>
    </w:pPr>
  </w:style>
  <w:style w:type="character" w:customStyle="1" w:styleId="SpecialBold">
    <w:name w:val="Special Bold"/>
    <w:basedOn w:val="DefaultParagraphFont"/>
    <w:rsid w:val="00CD6C5E"/>
    <w:rPr>
      <w:b/>
      <w:spacing w:val="0"/>
    </w:rPr>
  </w:style>
  <w:style w:type="character" w:styleId="Emphasis">
    <w:name w:val="Emphasis"/>
    <w:basedOn w:val="DefaultParagraphFont"/>
    <w:qFormat/>
    <w:rsid w:val="00CD6C5E"/>
    <w:rPr>
      <w:i/>
    </w:rPr>
  </w:style>
  <w:style w:type="paragraph" w:customStyle="1" w:styleId="SuperHeading">
    <w:name w:val="SuperHeading"/>
    <w:basedOn w:val="Normal"/>
    <w:rsid w:val="00CD6C5E"/>
    <w:pPr>
      <w:spacing w:before="240" w:after="120"/>
      <w:outlineLvl w:val="0"/>
    </w:pPr>
    <w:rPr>
      <w:rFonts w:ascii="Times New Roman" w:hAnsi="Times New Roman"/>
      <w:b/>
      <w:sz w:val="32"/>
    </w:rPr>
  </w:style>
  <w:style w:type="paragraph" w:customStyle="1" w:styleId="AllowPageBreak">
    <w:name w:val="AllowPageBreak"/>
    <w:rsid w:val="00CD6C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6C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C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C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C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C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C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C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C5E"/>
    <w:rPr>
      <w:rFonts w:ascii="Courier New" w:eastAsia="Times New Roman" w:hAnsi="Courier New" w:cs="Times New Roman"/>
      <w:i/>
      <w:szCs w:val="20"/>
      <w:lang w:eastAsia="en-US"/>
    </w:rPr>
  </w:style>
  <w:style w:type="paragraph" w:customStyle="1" w:styleId="HeadingBase">
    <w:name w:val="Heading Base"/>
    <w:rsid w:val="00CD6C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C5E"/>
    <w:pPr>
      <w:tabs>
        <w:tab w:val="right" w:leader="dot" w:pos="9072"/>
      </w:tabs>
      <w:ind w:left="567"/>
    </w:pPr>
    <w:rPr>
      <w:szCs w:val="22"/>
    </w:rPr>
  </w:style>
  <w:style w:type="paragraph" w:customStyle="1" w:styleId="TOCBase">
    <w:name w:val="TOC Base"/>
    <w:rsid w:val="00CD6C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C5E"/>
    <w:pPr>
      <w:tabs>
        <w:tab w:val="right" w:leader="dot" w:pos="9072"/>
      </w:tabs>
      <w:spacing w:before="40" w:after="40"/>
      <w:ind w:left="284"/>
    </w:pPr>
    <w:rPr>
      <w:rFonts w:ascii="Times New Roman" w:hAnsi="Times New Roman"/>
    </w:rPr>
  </w:style>
  <w:style w:type="paragraph" w:styleId="TOC1">
    <w:name w:val="toc 1"/>
    <w:basedOn w:val="TOCBase"/>
    <w:next w:val="Normal"/>
    <w:rsid w:val="00CD6C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C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C5E"/>
    <w:rPr>
      <w:rFonts w:ascii="Times New Roman" w:eastAsia="Times New Roman" w:hAnsi="Times New Roman" w:cs="Times New Roman"/>
      <w:sz w:val="16"/>
      <w:lang w:eastAsia="en-US"/>
    </w:rPr>
  </w:style>
  <w:style w:type="paragraph" w:styleId="Title">
    <w:name w:val="Title"/>
    <w:basedOn w:val="HeadingBase"/>
    <w:link w:val="TitleChar"/>
    <w:qFormat/>
    <w:rsid w:val="00CD6C5E"/>
    <w:pPr>
      <w:spacing w:before="5040"/>
      <w:jc w:val="center"/>
    </w:pPr>
    <w:rPr>
      <w:sz w:val="48"/>
      <w:szCs w:val="72"/>
      <w:lang w:val="en-US"/>
    </w:rPr>
  </w:style>
  <w:style w:type="character" w:customStyle="1" w:styleId="TitleChar">
    <w:name w:val="Title Char"/>
    <w:basedOn w:val="DefaultParagraphFont"/>
    <w:link w:val="Title"/>
    <w:rsid w:val="00CD6C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C5E"/>
    <w:pPr>
      <w:tabs>
        <w:tab w:val="left" w:pos="3600"/>
        <w:tab w:val="left" w:pos="3958"/>
      </w:tabs>
    </w:pPr>
  </w:style>
  <w:style w:type="paragraph" w:styleId="List">
    <w:name w:val="List"/>
    <w:basedOn w:val="BodyText"/>
    <w:next w:val="BodyText"/>
    <w:rsid w:val="00CD6C5E"/>
    <w:pPr>
      <w:tabs>
        <w:tab w:val="left" w:pos="340"/>
      </w:tabs>
      <w:spacing w:before="60" w:after="60"/>
      <w:ind w:left="340" w:hanging="340"/>
    </w:pPr>
  </w:style>
  <w:style w:type="paragraph" w:customStyle="1" w:styleId="Note">
    <w:name w:val="Note"/>
    <w:basedOn w:val="BodyText"/>
    <w:rsid w:val="00CD6C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6C5E"/>
    <w:pPr>
      <w:framePr w:wrap="auto" w:hAnchor="text" w:y="6049"/>
    </w:pPr>
    <w:rPr>
      <w:color w:val="000000"/>
      <w:sz w:val="40"/>
    </w:rPr>
  </w:style>
  <w:style w:type="paragraph" w:customStyle="1" w:styleId="TOCTitle">
    <w:name w:val="TOCTitle"/>
    <w:basedOn w:val="Heading1"/>
    <w:rsid w:val="00CD6C5E"/>
    <w:pPr>
      <w:spacing w:after="240"/>
      <w:jc w:val="center"/>
      <w:outlineLvl w:val="9"/>
    </w:pPr>
    <w:rPr>
      <w:caps/>
    </w:rPr>
  </w:style>
  <w:style w:type="paragraph" w:customStyle="1" w:styleId="Version">
    <w:name w:val="Version"/>
    <w:rsid w:val="00CD6C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6C5E"/>
    <w:pPr>
      <w:numPr>
        <w:numId w:val="12"/>
      </w:numPr>
      <w:tabs>
        <w:tab w:val="clear" w:pos="680"/>
      </w:tabs>
    </w:pPr>
  </w:style>
  <w:style w:type="paragraph" w:styleId="Index1">
    <w:name w:val="index 1"/>
    <w:basedOn w:val="Normal"/>
    <w:next w:val="Normal"/>
    <w:semiHidden/>
    <w:rsid w:val="00CD6C5E"/>
    <w:pPr>
      <w:keepNext w:val="0"/>
      <w:tabs>
        <w:tab w:val="right" w:pos="4176"/>
      </w:tabs>
      <w:ind w:left="198" w:hanging="198"/>
    </w:pPr>
    <w:rPr>
      <w:rFonts w:ascii="Garamond" w:hAnsi="Garamond"/>
    </w:rPr>
  </w:style>
  <w:style w:type="paragraph" w:styleId="IndexHeading">
    <w:name w:val="index heading"/>
    <w:basedOn w:val="Normal"/>
    <w:next w:val="Index1"/>
    <w:semiHidden/>
    <w:rsid w:val="00CD6C5E"/>
    <w:pPr>
      <w:spacing w:before="120" w:after="120"/>
    </w:pPr>
    <w:rPr>
      <w:rFonts w:ascii="Arial" w:hAnsi="Arial"/>
      <w:b/>
      <w:color w:val="918585"/>
      <w:sz w:val="24"/>
    </w:rPr>
  </w:style>
  <w:style w:type="paragraph" w:styleId="Header">
    <w:name w:val="header"/>
    <w:basedOn w:val="Normal"/>
    <w:link w:val="HeaderChar"/>
    <w:rsid w:val="00CD6C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C5E"/>
    <w:rPr>
      <w:rFonts w:ascii="Times New Roman" w:eastAsia="Times New Roman" w:hAnsi="Times New Roman" w:cs="Times New Roman"/>
      <w:sz w:val="16"/>
      <w:szCs w:val="20"/>
      <w:lang w:val="en-GB" w:eastAsia="en-US"/>
    </w:rPr>
  </w:style>
  <w:style w:type="paragraph" w:customStyle="1" w:styleId="Chapter">
    <w:name w:val="Chapter"/>
    <w:basedOn w:val="Normal"/>
    <w:rsid w:val="00CD6C5E"/>
    <w:pPr>
      <w:spacing w:before="240"/>
    </w:pPr>
    <w:rPr>
      <w:rFonts w:ascii="Times New Roman" w:hAnsi="Times New Roman"/>
      <w:smallCaps/>
      <w:spacing w:val="80"/>
      <w:sz w:val="28"/>
    </w:rPr>
  </w:style>
  <w:style w:type="paragraph" w:customStyle="1" w:styleId="InChapter">
    <w:name w:val="InChapter"/>
    <w:basedOn w:val="Heading3"/>
    <w:rsid w:val="00CD6C5E"/>
    <w:pPr>
      <w:spacing w:after="240"/>
      <w:outlineLvl w:val="9"/>
    </w:pPr>
    <w:rPr>
      <w:noProof/>
    </w:rPr>
  </w:style>
  <w:style w:type="paragraph" w:styleId="Index2">
    <w:name w:val="index 2"/>
    <w:basedOn w:val="Normal"/>
    <w:next w:val="Normal"/>
    <w:semiHidden/>
    <w:rsid w:val="00CD6C5E"/>
    <w:pPr>
      <w:tabs>
        <w:tab w:val="right" w:pos="4176"/>
      </w:tabs>
      <w:ind w:left="568" w:hanging="284"/>
    </w:pPr>
    <w:rPr>
      <w:rFonts w:ascii="Garamond" w:hAnsi="Garamond"/>
    </w:rPr>
  </w:style>
  <w:style w:type="paragraph" w:customStyle="1" w:styleId="Byline">
    <w:name w:val="Byline"/>
    <w:rsid w:val="00CD6C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C5E"/>
    <w:pPr>
      <w:tabs>
        <w:tab w:val="clear" w:pos="3600"/>
        <w:tab w:val="clear" w:pos="3958"/>
      </w:tabs>
      <w:jc w:val="right"/>
    </w:pPr>
  </w:style>
  <w:style w:type="paragraph" w:styleId="Caption">
    <w:name w:val="caption"/>
    <w:basedOn w:val="BodyText"/>
    <w:next w:val="Normal"/>
    <w:qFormat/>
    <w:rsid w:val="00CD6C5E"/>
    <w:pPr>
      <w:framePr w:w="2268" w:hSpace="181" w:vSpace="181" w:wrap="around" w:vAnchor="text" w:hAnchor="page" w:x="1135" w:y="285" w:anchorLock="1"/>
    </w:pPr>
    <w:rPr>
      <w:i/>
    </w:rPr>
  </w:style>
  <w:style w:type="paragraph" w:customStyle="1" w:styleId="MiniTOCTitle">
    <w:name w:val="MiniTOCTitle"/>
    <w:basedOn w:val="Heading4"/>
    <w:rsid w:val="00CD6C5E"/>
    <w:pPr>
      <w:spacing w:before="240"/>
      <w:outlineLvl w:val="9"/>
    </w:pPr>
    <w:rPr>
      <w:noProof/>
      <w:sz w:val="24"/>
    </w:rPr>
  </w:style>
  <w:style w:type="paragraph" w:customStyle="1" w:styleId="MiniTOCItem">
    <w:name w:val="MiniTOCItem"/>
    <w:basedOn w:val="ListBullet"/>
    <w:rsid w:val="00CD6C5E"/>
    <w:pPr>
      <w:numPr>
        <w:numId w:val="0"/>
      </w:numPr>
      <w:tabs>
        <w:tab w:val="right" w:leader="dot" w:pos="6521"/>
      </w:tabs>
      <w:spacing w:before="0" w:after="0"/>
    </w:pPr>
  </w:style>
  <w:style w:type="paragraph" w:customStyle="1" w:styleId="TOFTitle">
    <w:name w:val="TOFTitle"/>
    <w:basedOn w:val="TOCTitle"/>
    <w:rsid w:val="00CD6C5E"/>
  </w:style>
  <w:style w:type="paragraph" w:styleId="TableofFigures">
    <w:name w:val="table of figures"/>
    <w:basedOn w:val="Normal"/>
    <w:next w:val="Normal"/>
    <w:semiHidden/>
    <w:rsid w:val="00CD6C5E"/>
    <w:pPr>
      <w:tabs>
        <w:tab w:val="right" w:leader="dot" w:pos="9072"/>
      </w:tabs>
      <w:ind w:left="970" w:hanging="403"/>
    </w:pPr>
    <w:rPr>
      <w:rFonts w:ascii="Times New Roman" w:hAnsi="Times New Roman"/>
      <w:b/>
    </w:rPr>
  </w:style>
  <w:style w:type="paragraph" w:styleId="ListNumber">
    <w:name w:val="List Number"/>
    <w:basedOn w:val="List"/>
    <w:rsid w:val="00CD6C5E"/>
    <w:pPr>
      <w:numPr>
        <w:numId w:val="14"/>
      </w:numPr>
      <w:tabs>
        <w:tab w:val="clear" w:pos="340"/>
      </w:tabs>
    </w:pPr>
  </w:style>
  <w:style w:type="character" w:customStyle="1" w:styleId="WingdingSymbols">
    <w:name w:val="Wingding Symbols"/>
    <w:rsid w:val="00CD6C5E"/>
    <w:rPr>
      <w:rFonts w:ascii="Wingdings" w:hAnsi="Wingdings"/>
    </w:rPr>
  </w:style>
  <w:style w:type="paragraph" w:customStyle="1" w:styleId="TableHeading">
    <w:name w:val="Table Heading"/>
    <w:basedOn w:val="HeadingBase"/>
    <w:rsid w:val="00CD6C5E"/>
    <w:pPr>
      <w:keepLines/>
      <w:pBdr>
        <w:bottom w:val="single" w:sz="6" w:space="1" w:color="918585"/>
      </w:pBdr>
      <w:spacing w:before="240"/>
    </w:pPr>
  </w:style>
  <w:style w:type="character" w:customStyle="1" w:styleId="HotSpot">
    <w:name w:val="HotSpot"/>
    <w:rsid w:val="00CD6C5E"/>
    <w:rPr>
      <w:color w:val="0033CC"/>
      <w:u w:val="none"/>
    </w:rPr>
  </w:style>
  <w:style w:type="paragraph" w:customStyle="1" w:styleId="BodyTextRight">
    <w:name w:val="Body Text Right"/>
    <w:basedOn w:val="BodyText"/>
    <w:rsid w:val="00CD6C5E"/>
    <w:pPr>
      <w:spacing w:before="0" w:after="0"/>
      <w:jc w:val="right"/>
    </w:pPr>
  </w:style>
  <w:style w:type="paragraph" w:styleId="Index3">
    <w:name w:val="index 3"/>
    <w:basedOn w:val="ListNumber2"/>
    <w:next w:val="Normal"/>
    <w:semiHidden/>
    <w:rsid w:val="00CD6C5E"/>
    <w:pPr>
      <w:numPr>
        <w:numId w:val="0"/>
      </w:numPr>
      <w:tabs>
        <w:tab w:val="right" w:leader="dot" w:pos="4176"/>
      </w:tabs>
    </w:pPr>
  </w:style>
  <w:style w:type="paragraph" w:styleId="ListNumber2">
    <w:name w:val="List Number 2"/>
    <w:basedOn w:val="List2"/>
    <w:rsid w:val="00CD6C5E"/>
    <w:pPr>
      <w:numPr>
        <w:numId w:val="9"/>
      </w:numPr>
      <w:tabs>
        <w:tab w:val="clear" w:pos="1060"/>
      </w:tabs>
    </w:pPr>
  </w:style>
  <w:style w:type="paragraph" w:customStyle="1" w:styleId="MarginNote">
    <w:name w:val="Margin Note"/>
    <w:basedOn w:val="BodyText"/>
    <w:rsid w:val="00CD6C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C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C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C5E"/>
    <w:rPr>
      <w:sz w:val="32"/>
    </w:rPr>
  </w:style>
  <w:style w:type="paragraph" w:customStyle="1" w:styleId="HeadingProcedure">
    <w:name w:val="Heading Procedure"/>
    <w:basedOn w:val="HeadingBase"/>
    <w:next w:val="Normal"/>
    <w:rsid w:val="00CD6C5E"/>
    <w:pPr>
      <w:tabs>
        <w:tab w:val="left" w:pos="0"/>
      </w:tabs>
      <w:spacing w:before="120" w:after="60"/>
    </w:pPr>
    <w:rPr>
      <w:i/>
      <w:color w:val="918585"/>
      <w:sz w:val="22"/>
    </w:rPr>
  </w:style>
  <w:style w:type="paragraph" w:customStyle="1" w:styleId="TableBodyText">
    <w:name w:val="Table Body Text"/>
    <w:basedOn w:val="BodyText"/>
    <w:rsid w:val="00CD6C5E"/>
    <w:pPr>
      <w:spacing w:before="60" w:after="60"/>
    </w:pPr>
  </w:style>
  <w:style w:type="paragraph" w:styleId="ListContinue">
    <w:name w:val="List Continue"/>
    <w:basedOn w:val="List"/>
    <w:rsid w:val="00CD6C5E"/>
    <w:pPr>
      <w:ind w:firstLine="0"/>
    </w:pPr>
  </w:style>
  <w:style w:type="paragraph" w:customStyle="1" w:styleId="ListNote">
    <w:name w:val="List Note"/>
    <w:basedOn w:val="List"/>
    <w:rsid w:val="00CD6C5E"/>
    <w:pPr>
      <w:pBdr>
        <w:top w:val="single" w:sz="6" w:space="2" w:color="918585"/>
        <w:bottom w:val="single" w:sz="6" w:space="2" w:color="918585"/>
      </w:pBdr>
      <w:tabs>
        <w:tab w:val="left" w:pos="1021"/>
      </w:tabs>
      <w:ind w:firstLine="0"/>
    </w:pPr>
  </w:style>
  <w:style w:type="paragraph" w:customStyle="1" w:styleId="Warning">
    <w:name w:val="Warning"/>
    <w:basedOn w:val="BodyText"/>
    <w:rsid w:val="00CD6C5E"/>
    <w:pPr>
      <w:shd w:val="clear" w:color="auto" w:fill="D9D9D9"/>
      <w:tabs>
        <w:tab w:val="left" w:pos="992"/>
      </w:tabs>
      <w:ind w:left="119" w:right="119"/>
    </w:pPr>
    <w:rPr>
      <w:sz w:val="20"/>
    </w:rPr>
  </w:style>
  <w:style w:type="paragraph" w:customStyle="1" w:styleId="MarginIcons">
    <w:name w:val="Margin Icons"/>
    <w:basedOn w:val="BodyText"/>
    <w:rsid w:val="00CD6C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C5E"/>
    <w:rPr>
      <w:rFonts w:ascii="Courier New" w:hAnsi="Courier New"/>
    </w:rPr>
  </w:style>
  <w:style w:type="paragraph" w:customStyle="1" w:styleId="NoteBullet">
    <w:name w:val="Note Bullet"/>
    <w:basedOn w:val="Note"/>
    <w:rsid w:val="00CD6C5E"/>
    <w:pPr>
      <w:tabs>
        <w:tab w:val="clear" w:pos="680"/>
      </w:tabs>
      <w:spacing w:before="60" w:after="60"/>
    </w:pPr>
  </w:style>
  <w:style w:type="paragraph" w:customStyle="1" w:styleId="SubHeading2">
    <w:name w:val="SubHeading2"/>
    <w:basedOn w:val="HeadingBase"/>
    <w:rsid w:val="00CD6C5E"/>
    <w:pPr>
      <w:spacing w:before="240" w:after="60"/>
    </w:pPr>
    <w:rPr>
      <w:sz w:val="20"/>
    </w:rPr>
  </w:style>
  <w:style w:type="paragraph" w:customStyle="1" w:styleId="SubHeading1">
    <w:name w:val="SubHeading1"/>
    <w:basedOn w:val="HeadingBase"/>
    <w:rsid w:val="00CD6C5E"/>
    <w:pPr>
      <w:spacing w:before="240" w:after="60"/>
    </w:pPr>
    <w:rPr>
      <w:color w:val="918585"/>
      <w:sz w:val="22"/>
    </w:rPr>
  </w:style>
  <w:style w:type="paragraph" w:customStyle="1" w:styleId="SideHeading">
    <w:name w:val="Side Heading"/>
    <w:basedOn w:val="HeadingBase"/>
    <w:rsid w:val="00CD6C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C5E"/>
    <w:pPr>
      <w:numPr>
        <w:numId w:val="10"/>
      </w:numPr>
    </w:pPr>
  </w:style>
  <w:style w:type="paragraph" w:styleId="PlainText">
    <w:name w:val="Plain Text"/>
    <w:basedOn w:val="Normal"/>
    <w:link w:val="PlainTextChar"/>
    <w:rsid w:val="00CD6C5E"/>
    <w:rPr>
      <w:sz w:val="20"/>
    </w:rPr>
  </w:style>
  <w:style w:type="character" w:customStyle="1" w:styleId="PlainTextChar">
    <w:name w:val="Plain Text Char"/>
    <w:basedOn w:val="DefaultParagraphFont"/>
    <w:link w:val="PlainText"/>
    <w:rsid w:val="00CD6C5E"/>
    <w:rPr>
      <w:rFonts w:ascii="Courier New" w:eastAsia="Times New Roman" w:hAnsi="Courier New" w:cs="Times New Roman"/>
      <w:sz w:val="20"/>
      <w:szCs w:val="20"/>
      <w:lang w:eastAsia="en-US"/>
    </w:rPr>
  </w:style>
  <w:style w:type="character" w:customStyle="1" w:styleId="MenuOption">
    <w:name w:val="Menu Option"/>
    <w:basedOn w:val="DefaultParagraphFont"/>
    <w:rsid w:val="00CD6C5E"/>
    <w:rPr>
      <w:b/>
      <w:smallCaps/>
    </w:rPr>
  </w:style>
  <w:style w:type="paragraph" w:customStyle="1" w:styleId="TableListNumber">
    <w:name w:val="Table List Number"/>
    <w:basedOn w:val="ListNumber"/>
    <w:rsid w:val="00CD6C5E"/>
    <w:pPr>
      <w:numPr>
        <w:numId w:val="0"/>
      </w:numPr>
    </w:pPr>
  </w:style>
  <w:style w:type="paragraph" w:styleId="TOC4">
    <w:name w:val="toc 4"/>
    <w:basedOn w:val="TOCBase"/>
    <w:next w:val="Normal"/>
    <w:semiHidden/>
    <w:rsid w:val="00CD6C5E"/>
    <w:pPr>
      <w:tabs>
        <w:tab w:val="right" w:leader="dot" w:pos="9071"/>
      </w:tabs>
      <w:ind w:left="1701"/>
    </w:pPr>
  </w:style>
  <w:style w:type="paragraph" w:customStyle="1" w:styleId="ListAlpha">
    <w:name w:val="List Alpha"/>
    <w:basedOn w:val="List"/>
    <w:rsid w:val="00CD6C5E"/>
    <w:pPr>
      <w:numPr>
        <w:numId w:val="8"/>
      </w:numPr>
    </w:pPr>
  </w:style>
  <w:style w:type="paragraph" w:customStyle="1" w:styleId="ListAlpha2">
    <w:name w:val="List Alpha 2"/>
    <w:basedOn w:val="List2"/>
    <w:rsid w:val="00CD6C5E"/>
    <w:pPr>
      <w:numPr>
        <w:numId w:val="7"/>
      </w:numPr>
    </w:pPr>
  </w:style>
  <w:style w:type="paragraph" w:styleId="List2">
    <w:name w:val="List 2"/>
    <w:basedOn w:val="BodyText"/>
    <w:rsid w:val="00CD6C5E"/>
    <w:pPr>
      <w:tabs>
        <w:tab w:val="left" w:pos="680"/>
      </w:tabs>
      <w:spacing w:before="60" w:after="60"/>
      <w:ind w:left="680" w:hanging="340"/>
    </w:pPr>
  </w:style>
  <w:style w:type="paragraph" w:styleId="List3">
    <w:name w:val="List 3"/>
    <w:basedOn w:val="BodyText"/>
    <w:rsid w:val="00CD6C5E"/>
    <w:pPr>
      <w:tabs>
        <w:tab w:val="left" w:pos="1021"/>
      </w:tabs>
      <w:spacing w:before="60" w:after="60"/>
      <w:ind w:left="1020" w:hanging="340"/>
    </w:pPr>
  </w:style>
  <w:style w:type="paragraph" w:styleId="List4">
    <w:name w:val="List 4"/>
    <w:basedOn w:val="BodyText"/>
    <w:rsid w:val="00CD6C5E"/>
    <w:pPr>
      <w:tabs>
        <w:tab w:val="left" w:pos="1361"/>
      </w:tabs>
      <w:spacing w:before="60" w:after="60"/>
      <w:ind w:left="1361" w:hanging="340"/>
    </w:pPr>
  </w:style>
  <w:style w:type="paragraph" w:styleId="List5">
    <w:name w:val="List 5"/>
    <w:basedOn w:val="BodyText"/>
    <w:rsid w:val="00CD6C5E"/>
    <w:pPr>
      <w:tabs>
        <w:tab w:val="left" w:pos="1701"/>
      </w:tabs>
      <w:spacing w:before="60" w:after="60"/>
      <w:ind w:left="1701" w:hanging="340"/>
    </w:pPr>
  </w:style>
  <w:style w:type="paragraph" w:styleId="ListBullet3">
    <w:name w:val="List Bullet 3"/>
    <w:basedOn w:val="List3"/>
    <w:rsid w:val="00CD6C5E"/>
    <w:pPr>
      <w:numPr>
        <w:numId w:val="13"/>
      </w:numPr>
      <w:tabs>
        <w:tab w:val="clear" w:pos="1021"/>
      </w:tabs>
      <w:ind w:left="1037" w:hanging="357"/>
    </w:pPr>
  </w:style>
  <w:style w:type="paragraph" w:styleId="ListBullet4">
    <w:name w:val="List Bullet 4"/>
    <w:basedOn w:val="List4"/>
    <w:rsid w:val="00CD6C5E"/>
    <w:pPr>
      <w:numPr>
        <w:numId w:val="2"/>
      </w:numPr>
      <w:tabs>
        <w:tab w:val="clear" w:pos="1361"/>
      </w:tabs>
    </w:pPr>
  </w:style>
  <w:style w:type="paragraph" w:styleId="ListBullet5">
    <w:name w:val="List Bullet 5"/>
    <w:basedOn w:val="List5"/>
    <w:rsid w:val="00CD6C5E"/>
    <w:pPr>
      <w:numPr>
        <w:numId w:val="3"/>
      </w:numPr>
    </w:pPr>
  </w:style>
  <w:style w:type="paragraph" w:styleId="ListContinue2">
    <w:name w:val="List Continue 2"/>
    <w:basedOn w:val="List2"/>
    <w:rsid w:val="00CD6C5E"/>
    <w:pPr>
      <w:ind w:firstLine="0"/>
    </w:pPr>
  </w:style>
  <w:style w:type="paragraph" w:styleId="ListContinue3">
    <w:name w:val="List Continue 3"/>
    <w:basedOn w:val="List3"/>
    <w:rsid w:val="00CD6C5E"/>
    <w:pPr>
      <w:ind w:left="1021" w:firstLine="0"/>
    </w:pPr>
  </w:style>
  <w:style w:type="paragraph" w:styleId="ListContinue4">
    <w:name w:val="List Continue 4"/>
    <w:basedOn w:val="List4"/>
    <w:rsid w:val="00CD6C5E"/>
    <w:pPr>
      <w:ind w:firstLine="0"/>
    </w:pPr>
  </w:style>
  <w:style w:type="paragraph" w:styleId="ListContinue5">
    <w:name w:val="List Continue 5"/>
    <w:basedOn w:val="List5"/>
    <w:rsid w:val="00CD6C5E"/>
    <w:pPr>
      <w:ind w:firstLine="0"/>
    </w:pPr>
  </w:style>
  <w:style w:type="paragraph" w:styleId="ListNumber3">
    <w:name w:val="List Number 3"/>
    <w:basedOn w:val="List3"/>
    <w:rsid w:val="00CD6C5E"/>
    <w:pPr>
      <w:numPr>
        <w:numId w:val="4"/>
      </w:numPr>
    </w:pPr>
  </w:style>
  <w:style w:type="paragraph" w:styleId="ListNumber4">
    <w:name w:val="List Number 4"/>
    <w:basedOn w:val="List4"/>
    <w:rsid w:val="00CD6C5E"/>
    <w:pPr>
      <w:numPr>
        <w:numId w:val="5"/>
      </w:numPr>
    </w:pPr>
  </w:style>
  <w:style w:type="paragraph" w:styleId="ListNumber5">
    <w:name w:val="List Number 5"/>
    <w:basedOn w:val="List5"/>
    <w:rsid w:val="00CD6C5E"/>
    <w:pPr>
      <w:numPr>
        <w:numId w:val="6"/>
      </w:numPr>
    </w:pPr>
  </w:style>
  <w:style w:type="paragraph" w:styleId="BlockText">
    <w:name w:val="Block Text"/>
    <w:basedOn w:val="Normal"/>
    <w:rsid w:val="00CD6C5E"/>
    <w:pPr>
      <w:spacing w:after="120"/>
      <w:ind w:left="1440" w:right="1440"/>
    </w:pPr>
  </w:style>
  <w:style w:type="character" w:customStyle="1" w:styleId="Subscript">
    <w:name w:val="Subscript"/>
    <w:basedOn w:val="DefaultParagraphFont"/>
    <w:rsid w:val="00CD6C5E"/>
    <w:rPr>
      <w:sz w:val="16"/>
      <w:vertAlign w:val="subscript"/>
    </w:rPr>
  </w:style>
  <w:style w:type="character" w:customStyle="1" w:styleId="Superscript">
    <w:name w:val="Superscript"/>
    <w:basedOn w:val="DefaultParagraphFont"/>
    <w:rsid w:val="00CD6C5E"/>
    <w:rPr>
      <w:sz w:val="16"/>
      <w:vertAlign w:val="superscript"/>
    </w:rPr>
  </w:style>
  <w:style w:type="character" w:customStyle="1" w:styleId="Symbols">
    <w:name w:val="Symbols"/>
    <w:basedOn w:val="DefaultParagraphFont"/>
    <w:rsid w:val="00CD6C5E"/>
    <w:rPr>
      <w:rFonts w:ascii="Symbol" w:hAnsi="Symbol"/>
    </w:rPr>
  </w:style>
  <w:style w:type="character" w:customStyle="1" w:styleId="MenuOptions">
    <w:name w:val="Menu Options"/>
    <w:basedOn w:val="DefaultParagraphFont"/>
    <w:rsid w:val="00CD6C5E"/>
    <w:rPr>
      <w:rFonts w:ascii="Arial Narrow" w:hAnsi="Arial Narrow"/>
      <w:smallCaps/>
    </w:rPr>
  </w:style>
  <w:style w:type="character" w:customStyle="1" w:styleId="Buttons">
    <w:name w:val="Buttons"/>
    <w:basedOn w:val="DefaultParagraphFont"/>
    <w:rsid w:val="00CD6C5E"/>
    <w:rPr>
      <w:b/>
    </w:rPr>
  </w:style>
  <w:style w:type="character" w:customStyle="1" w:styleId="Underlined">
    <w:name w:val="Underlined"/>
    <w:basedOn w:val="DefaultParagraphFont"/>
    <w:rsid w:val="00CD6C5E"/>
    <w:rPr>
      <w:u w:val="single"/>
    </w:rPr>
  </w:style>
  <w:style w:type="paragraph" w:customStyle="1" w:styleId="TableBodyTextRight">
    <w:name w:val="Table Body Text Right"/>
    <w:basedOn w:val="TableBodyText"/>
    <w:rsid w:val="00CD6C5E"/>
    <w:pPr>
      <w:widowControl w:val="0"/>
      <w:autoSpaceDE w:val="0"/>
      <w:autoSpaceDN w:val="0"/>
      <w:adjustRightInd w:val="0"/>
      <w:jc w:val="right"/>
    </w:pPr>
    <w:rPr>
      <w:rFonts w:cs="Arial"/>
      <w:szCs w:val="18"/>
    </w:rPr>
  </w:style>
  <w:style w:type="paragraph" w:customStyle="1" w:styleId="CopyrightText">
    <w:name w:val="Copyright Text"/>
    <w:basedOn w:val="BodyText"/>
    <w:rsid w:val="00CD6C5E"/>
    <w:rPr>
      <w:sz w:val="18"/>
    </w:rPr>
  </w:style>
  <w:style w:type="paragraph" w:customStyle="1" w:styleId="BodySmallRight">
    <w:name w:val="Body Small Right"/>
    <w:basedOn w:val="BodyTextRight"/>
    <w:rsid w:val="00CD6C5E"/>
    <w:rPr>
      <w:sz w:val="18"/>
      <w:szCs w:val="18"/>
    </w:rPr>
  </w:style>
  <w:style w:type="paragraph" w:customStyle="1" w:styleId="MarginEdition">
    <w:name w:val="Margin Edition"/>
    <w:basedOn w:val="MarginNote"/>
    <w:rsid w:val="00CD6C5E"/>
    <w:pPr>
      <w:spacing w:before="0" w:after="0"/>
    </w:pPr>
    <w:rPr>
      <w:rFonts w:ascii="Times New Roman" w:hAnsi="Times New Roman"/>
      <w:color w:val="999999"/>
    </w:rPr>
  </w:style>
  <w:style w:type="paragraph" w:customStyle="1" w:styleId="Spacer">
    <w:name w:val="Spacer"/>
    <w:basedOn w:val="Normal"/>
    <w:rsid w:val="00CD6C5E"/>
    <w:rPr>
      <w:sz w:val="2"/>
      <w:szCs w:val="2"/>
    </w:rPr>
  </w:style>
  <w:style w:type="character" w:customStyle="1" w:styleId="Small">
    <w:name w:val="Small"/>
    <w:basedOn w:val="DefaultParagraphFont"/>
    <w:rsid w:val="00CD6C5E"/>
    <w:rPr>
      <w:sz w:val="16"/>
    </w:rPr>
  </w:style>
  <w:style w:type="paragraph" w:customStyle="1" w:styleId="WideTable">
    <w:name w:val="Wide Table"/>
    <w:basedOn w:val="Normal"/>
    <w:rsid w:val="00CD6C5E"/>
    <w:pPr>
      <w:ind w:left="-1418"/>
    </w:pPr>
    <w:rPr>
      <w:sz w:val="2"/>
      <w:szCs w:val="2"/>
    </w:rPr>
  </w:style>
  <w:style w:type="character" w:styleId="PageNumber">
    <w:name w:val="page number"/>
    <w:basedOn w:val="DefaultParagraphFont"/>
    <w:rsid w:val="00CD6C5E"/>
  </w:style>
  <w:style w:type="paragraph" w:styleId="Quote">
    <w:name w:val="Quote"/>
    <w:basedOn w:val="Heading1"/>
    <w:link w:val="QuoteChar"/>
    <w:qFormat/>
    <w:rsid w:val="00CD6C5E"/>
    <w:rPr>
      <w:b w:val="0"/>
      <w:sz w:val="72"/>
      <w:szCs w:val="72"/>
      <w:lang w:val="en-NZ"/>
    </w:rPr>
  </w:style>
  <w:style w:type="character" w:customStyle="1" w:styleId="QuoteChar">
    <w:name w:val="Quote Char"/>
    <w:basedOn w:val="DefaultParagraphFont"/>
    <w:link w:val="Quote"/>
    <w:rsid w:val="00CD6C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C5E"/>
    <w:pPr>
      <w:pageBreakBefore/>
    </w:pPr>
  </w:style>
  <w:style w:type="paragraph" w:customStyle="1" w:styleId="Border">
    <w:name w:val="Border"/>
    <w:basedOn w:val="Normal"/>
    <w:qFormat/>
    <w:rsid w:val="00CD6C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C5E"/>
    <w:rPr>
      <w:b/>
      <w:bCs/>
      <w:i/>
      <w:iCs/>
      <w:color w:val="auto"/>
    </w:rPr>
  </w:style>
  <w:style w:type="paragraph" w:styleId="IntenseQuote">
    <w:name w:val="Intense Quote"/>
    <w:basedOn w:val="Normal"/>
    <w:next w:val="Normal"/>
    <w:link w:val="IntenseQuoteChar"/>
    <w:uiPriority w:val="30"/>
    <w:qFormat/>
    <w:rsid w:val="00CD6C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C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C5E"/>
    <w:rPr>
      <w:smallCaps/>
      <w:color w:val="auto"/>
      <w:u w:val="single"/>
    </w:rPr>
  </w:style>
  <w:style w:type="character" w:styleId="IntenseReference">
    <w:name w:val="Intense Reference"/>
    <w:basedOn w:val="DefaultParagraphFont"/>
    <w:uiPriority w:val="32"/>
    <w:qFormat/>
    <w:rsid w:val="00CD6C5E"/>
    <w:rPr>
      <w:b/>
      <w:bCs/>
      <w:smallCaps/>
      <w:color w:val="auto"/>
      <w:spacing w:val="5"/>
      <w:u w:val="single"/>
    </w:rPr>
  </w:style>
  <w:style w:type="paragraph" w:customStyle="1" w:styleId="2ColumnHeading">
    <w:name w:val="2Column Heading"/>
    <w:basedOn w:val="BodyText"/>
    <w:qFormat/>
    <w:rsid w:val="00CD6C5E"/>
    <w:pPr>
      <w:spacing w:after="60"/>
      <w:ind w:left="-2268"/>
    </w:pPr>
    <w:rPr>
      <w:b/>
    </w:rPr>
  </w:style>
  <w:style w:type="paragraph" w:customStyle="1" w:styleId="Heading1TOC">
    <w:name w:val="Heading1 TOC"/>
    <w:basedOn w:val="Normal"/>
    <w:qFormat/>
    <w:rsid w:val="00CD6C5E"/>
    <w:pPr>
      <w:spacing w:before="240" w:after="120"/>
    </w:pPr>
    <w:rPr>
      <w:rFonts w:ascii="Times New Roman" w:hAnsi="Times New Roman"/>
      <w:b/>
      <w:sz w:val="32"/>
    </w:rPr>
  </w:style>
  <w:style w:type="paragraph" w:customStyle="1" w:styleId="Heading2TOC">
    <w:name w:val="Heading2 TOC"/>
    <w:basedOn w:val="Normal"/>
    <w:qFormat/>
    <w:rsid w:val="00CD6C5E"/>
    <w:pPr>
      <w:spacing w:before="240" w:after="60"/>
    </w:pPr>
    <w:rPr>
      <w:rFonts w:ascii="Times New Roman" w:hAnsi="Times New Roman"/>
      <w:b/>
      <w:sz w:val="28"/>
    </w:rPr>
  </w:style>
  <w:style w:type="character" w:customStyle="1" w:styleId="Underline">
    <w:name w:val="Underline"/>
    <w:basedOn w:val="DefaultParagraphFont"/>
    <w:qFormat/>
    <w:rsid w:val="00CD6C5E"/>
    <w:rPr>
      <w:u w:val="single"/>
    </w:rPr>
  </w:style>
  <w:style w:type="character" w:customStyle="1" w:styleId="BoldandItalics">
    <w:name w:val="Bold and Italics"/>
    <w:qFormat/>
    <w:rsid w:val="00CD6C5E"/>
    <w:rPr>
      <w:b/>
      <w:i/>
      <w:u w:val="none"/>
    </w:rPr>
  </w:style>
  <w:style w:type="paragraph" w:styleId="BalloonText">
    <w:name w:val="Balloon Text"/>
    <w:basedOn w:val="Normal"/>
    <w:link w:val="BalloonTextChar"/>
    <w:rsid w:val="00CD6C5E"/>
    <w:rPr>
      <w:rFonts w:ascii="Tahoma" w:hAnsi="Tahoma" w:cs="Tahoma"/>
      <w:sz w:val="16"/>
      <w:szCs w:val="16"/>
    </w:rPr>
  </w:style>
  <w:style w:type="character" w:customStyle="1" w:styleId="BalloonTextChar">
    <w:name w:val="Balloon Text Char"/>
    <w:basedOn w:val="DefaultParagraphFont"/>
    <w:link w:val="BalloonText"/>
    <w:rsid w:val="00CD6C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C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C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C5E"/>
    <w:rPr>
      <w:b/>
      <w:color w:val="660033"/>
      <w:spacing w:val="0"/>
    </w:rPr>
  </w:style>
  <w:style w:type="paragraph" w:customStyle="1" w:styleId="Nameditemlist">
    <w:name w:val="Named item list"/>
    <w:basedOn w:val="BodyText"/>
    <w:qFormat/>
    <w:rsid w:val="00CD6C5E"/>
    <w:pPr>
      <w:tabs>
        <w:tab w:val="left" w:pos="2835"/>
      </w:tabs>
      <w:ind w:left="2835" w:hanging="2835"/>
    </w:pPr>
  </w:style>
  <w:style w:type="paragraph" w:customStyle="1" w:styleId="BodyTextnopadding">
    <w:name w:val="Body Text no padding"/>
    <w:basedOn w:val="BodyText"/>
    <w:qFormat/>
    <w:rsid w:val="00CD6C5E"/>
    <w:pPr>
      <w:spacing w:before="0" w:after="0"/>
    </w:pPr>
  </w:style>
  <w:style w:type="paragraph" w:customStyle="1" w:styleId="BodyTextBold">
    <w:name w:val="Body Text Bold"/>
    <w:basedOn w:val="BodyText"/>
    <w:qFormat/>
    <w:rsid w:val="00CD6C5E"/>
    <w:rPr>
      <w:b/>
    </w:rPr>
  </w:style>
  <w:style w:type="character" w:styleId="Hyperlink">
    <w:name w:val="Hyperlink"/>
    <w:basedOn w:val="DefaultParagraphFont"/>
    <w:uiPriority w:val="99"/>
    <w:unhideWhenUsed/>
    <w:rsid w:val="003570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800</Words>
  <Characters>4951</Characters>
  <Application>Microsoft Office Word</Application>
  <DocSecurity>0</DocSecurity>
  <Lines>176</Lines>
  <Paragraphs>164</Paragraphs>
  <ScaleCrop>false</ScaleCrop>
  <Company>Author-it Software Corporation Ltd.</Company>
  <LinksUpToDate>false</LinksUpToDate>
  <CharactersWithSpaces>5587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TLI40121 Certificate IV in Specialist Driving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2021-11-22T12:35:38Z</dcterms:created>
  <dcterms:modified xsi:type="dcterms:W3CDTF">2021-11-18T05:40:00Z</dcterms:modified>
</cp:coreProperties>
</file>