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D72" w:rsidP="00611D72">
      <w:pPr>
        <w:pStyle w:val="Title"/>
      </w:pPr>
      <w:r>
        <w:fldChar w:fldCharType="begin"/>
      </w:r>
      <w:r>
        <w:instrText xml:space="preserve"> TITLE   \* MERGEFORMAT </w:instrText>
      </w:r>
      <w:r>
        <w:fldChar w:fldCharType="separate"/>
      </w:r>
      <w:r>
        <w:t>TLI32115 Certificate III in Rail Structures</w:t>
      </w:r>
      <w:r>
        <w:fldChar w:fldCharType="end"/>
      </w:r>
    </w:p>
    <w:p w:rsidR="00611D72" w:rsidP="00611D72">
      <w:pPr>
        <w:pStyle w:val="Version"/>
        <w:sectPr w:rsidSect="00C62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2C2D" w:rsidP="00C62C2D">
      <w:pPr>
        <w:pStyle w:val="SuperHeading"/>
      </w:pPr>
      <w:r w:rsidRPr="00C62C2D">
        <w:t>TLI32115 Certificate III in Rail Structures</w:t>
      </w:r>
    </w:p>
    <w:p w:rsidR="00000000" w:rsidRPr="00C62C2D" w:rsidP="00C62C2D">
      <w:pPr>
        <w:pStyle w:val="Heading1"/>
      </w:pPr>
      <w:bookmarkStart w:id="1" w:name="O_1117406"/>
      <w:bookmarkEnd w:id="1"/>
      <w:r w:rsidRPr="00C62C2D">
        <w:t>Modification History</w:t>
      </w:r>
    </w:p>
    <w:tbl>
      <w:tblPr>
        <w:tblW w:w="9497" w:type="dxa"/>
        <w:tblLayout w:type="fixed"/>
        <w:tblCellMar>
          <w:left w:w="62" w:type="dxa"/>
          <w:right w:w="62" w:type="dxa"/>
        </w:tblCellMar>
        <w:tblLook w:val="0000"/>
      </w:tblPr>
      <w:tblGrid>
        <w:gridCol w:w="9497"/>
      </w:tblGrid>
      <w:tr w:rsidTr="00C62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Release 3. This is the third release of this qualification in the TLI Transport and Logistics Training Package. The following modifications have been made:</w:t>
            </w:r>
          </w:p>
          <w:p w:rsidR="00000000" w:rsidP="00C62C2D">
            <w:pPr>
              <w:pStyle w:val="ListBullet"/>
              <w:rPr>
                <w:lang w:val="en-NZ"/>
              </w:rPr>
            </w:pPr>
            <w:r w:rsidRPr="00C62C2D">
              <w:t>TLIF0015 Recognise the impact of human capabilities/limitations on hu</w:t>
            </w:r>
            <w:r w:rsidRPr="00C62C2D">
              <w:t>man performance in a rail environment, added to the general elective units.</w:t>
            </w:r>
          </w:p>
        </w:tc>
      </w:tr>
      <w:tr w:rsidTr="00C62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Release 2. This is the second release of this qualification in the TLI Transport and Logistics Training Package. The following modifications have been made:</w:t>
            </w:r>
          </w:p>
          <w:p w:rsidR="00000000" w:rsidRPr="00C62C2D" w:rsidP="00C62C2D">
            <w:pPr>
              <w:pStyle w:val="ListBullet"/>
            </w:pPr>
            <w:r w:rsidRPr="00C62C2D">
              <w:t>TLIE0002 Process work</w:t>
            </w:r>
            <w:r w:rsidRPr="00C62C2D">
              <w:t>place documentation has an updated code</w:t>
            </w:r>
          </w:p>
          <w:p w:rsidR="00000000" w:rsidP="00C62C2D">
            <w:pPr>
              <w:pStyle w:val="ListBullet"/>
              <w:rPr>
                <w:lang w:val="en-NZ"/>
              </w:rPr>
            </w:pPr>
            <w:r w:rsidRPr="00C62C2D">
              <w:t>TLIF0008 Apply safety critical communications in the rail environment added to the general elective units.</w:t>
            </w:r>
          </w:p>
        </w:tc>
      </w:tr>
      <w:tr w:rsidTr="00C62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Release 1. This is the first release of this qualification in the TLI Transport and Logistics Training Packa</w:t>
            </w:r>
            <w:r w:rsidRPr="00C62C2D">
              <w:t>ge.</w:t>
            </w:r>
          </w:p>
        </w:tc>
      </w:tr>
    </w:tbl>
    <w:p w:rsidR="00000000" w:rsidRPr="00C62C2D" w:rsidP="00C62C2D">
      <w:pPr>
        <w:pStyle w:val="NoPaddingFontSize1"/>
      </w:pPr>
    </w:p>
    <w:p w:rsidR="00000000" w:rsidRPr="00C62C2D" w:rsidP="00C62C2D">
      <w:pPr>
        <w:pStyle w:val="AllowPageBreak"/>
      </w:pPr>
    </w:p>
    <w:p w:rsidR="00000000" w:rsidRPr="00C62C2D" w:rsidP="00C62C2D">
      <w:pPr>
        <w:pStyle w:val="Heading1"/>
      </w:pPr>
      <w:bookmarkStart w:id="2" w:name="O_1117405"/>
      <w:bookmarkEnd w:id="2"/>
      <w:r w:rsidRPr="00C62C2D">
        <w:t>Qualification Description</w:t>
      </w:r>
    </w:p>
    <w:tbl>
      <w:tblPr>
        <w:tblW w:w="9497" w:type="dxa"/>
        <w:tblLayout w:type="fixed"/>
        <w:tblCellMar>
          <w:left w:w="62" w:type="dxa"/>
          <w:right w:w="62" w:type="dxa"/>
        </w:tblCellMar>
        <w:tblLook w:val="0000"/>
      </w:tblPr>
      <w:tblGrid>
        <w:gridCol w:w="9497"/>
      </w:tblGrid>
      <w:tr w:rsidTr="00C62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This is a general qualification for a person engaged in the rail infrastructure environment who performs tasks involving checking and repairing structures through a broad range of skilled applications in a</w:t>
            </w:r>
            <w:r w:rsidRPr="00C62C2D">
              <w:t xml:space="preserve"> wide variety of contexts. It may involve application of some discretion and judgement in selecting equipment, services or contingency measures. It may also include responsibility for coordinating the work of others.</w:t>
            </w:r>
          </w:p>
          <w:p w:rsidR="00000000" w:rsidRPr="00C62C2D" w:rsidP="00C62C2D">
            <w:pPr>
              <w:pStyle w:val="BodyText"/>
            </w:pPr>
            <w:r w:rsidRPr="00C62C2D">
              <w:rPr>
                <w:rStyle w:val="SpecialBold"/>
              </w:rPr>
              <w:t>Job roles</w:t>
            </w:r>
          </w:p>
          <w:p w:rsidR="00000000" w:rsidRPr="00C62C2D" w:rsidP="00C62C2D">
            <w:pPr>
              <w:pStyle w:val="BodyText"/>
            </w:pPr>
            <w:r w:rsidRPr="00C62C2D">
              <w:t>Job roles and titles</w:t>
            </w:r>
            <w:r w:rsidRPr="00C62C2D">
              <w:t xml:space="preserve"> vary across different sectors. Possible job titles relevant to the job role groups listed below include:</w:t>
            </w:r>
          </w:p>
          <w:p w:rsidR="00000000" w:rsidRPr="00C62C2D" w:rsidP="00C62C2D">
            <w:pPr>
              <w:pStyle w:val="BodyText"/>
            </w:pPr>
            <w:r w:rsidRPr="00C62C2D">
              <w:rPr>
                <w:rStyle w:val="SpecialBold"/>
              </w:rPr>
              <w:t>Steel/Concrete/Masonry Structures Maintenance</w:t>
            </w:r>
          </w:p>
          <w:p w:rsidR="00000000" w:rsidRPr="00C62C2D" w:rsidP="00C62C2D">
            <w:pPr>
              <w:pStyle w:val="ListBullet"/>
            </w:pPr>
            <w:r w:rsidRPr="00C62C2D">
              <w:t>senior structures maintainer</w:t>
            </w:r>
          </w:p>
          <w:p w:rsidR="00000000" w:rsidRPr="00C62C2D" w:rsidP="00C62C2D">
            <w:pPr>
              <w:pStyle w:val="BodyText"/>
            </w:pPr>
            <w:r w:rsidRPr="00C62C2D">
              <w:rPr>
                <w:rStyle w:val="SpecialBold"/>
              </w:rPr>
              <w:t>Timber Structures Maintenance</w:t>
            </w:r>
          </w:p>
          <w:p w:rsidR="00000000" w:rsidRPr="00C62C2D" w:rsidP="00C62C2D">
            <w:pPr>
              <w:pStyle w:val="ListBullet"/>
            </w:pPr>
            <w:r w:rsidRPr="00C62C2D">
              <w:t>senior structures maintainer.</w:t>
            </w:r>
          </w:p>
          <w:p w:rsidR="00000000" w:rsidRPr="00C62C2D" w:rsidP="00C62C2D">
            <w:pPr>
              <w:pStyle w:val="BodyText"/>
            </w:pPr>
            <w:r w:rsidRPr="00C62C2D">
              <w:rPr>
                <w:rStyle w:val="SpecialBold"/>
              </w:rPr>
              <w:t xml:space="preserve">Please note: </w:t>
            </w:r>
            <w:r w:rsidRPr="00C62C2D">
              <w:rPr>
                <w:rStyle w:val="SpecialBold"/>
              </w:rPr>
              <w:t>RTO to insert on the testamur, the specialist elective group selected from the group choice below.</w:t>
            </w:r>
          </w:p>
          <w:p w:rsidR="00000000" w:rsidRPr="00C62C2D" w:rsidP="00C62C2D">
            <w:pPr>
              <w:pStyle w:val="BodyText"/>
            </w:pPr>
            <w:r w:rsidRPr="00C62C2D">
              <w:t>No licensing, legislative or certification requirements apply to this qualification at the time of publication.</w:t>
            </w:r>
          </w:p>
        </w:tc>
      </w:tr>
    </w:tbl>
    <w:p w:rsidR="00000000" w:rsidRPr="00C62C2D" w:rsidP="00C62C2D">
      <w:pPr>
        <w:pStyle w:val="NoPaddingFontSize1"/>
      </w:pPr>
    </w:p>
    <w:p w:rsidR="00000000" w:rsidRPr="00C62C2D" w:rsidP="00C62C2D">
      <w:pPr>
        <w:pStyle w:val="AllowPageBreak"/>
      </w:pPr>
    </w:p>
    <w:p w:rsidR="00000000" w:rsidRPr="00C62C2D" w:rsidP="00C62C2D">
      <w:pPr>
        <w:pStyle w:val="Heading1"/>
      </w:pPr>
      <w:bookmarkStart w:id="3" w:name="O_1117404"/>
      <w:bookmarkEnd w:id="3"/>
      <w:r w:rsidRPr="00C62C2D">
        <w:t>Entry Requirements</w:t>
      </w:r>
    </w:p>
    <w:tbl>
      <w:tblPr>
        <w:tblW w:w="9497" w:type="dxa"/>
        <w:tblLayout w:type="fixed"/>
        <w:tblCellMar>
          <w:left w:w="62" w:type="dxa"/>
          <w:right w:w="62" w:type="dxa"/>
        </w:tblCellMar>
        <w:tblLook w:val="0000"/>
      </w:tblPr>
      <w:tblGrid>
        <w:gridCol w:w="9497"/>
      </w:tblGrid>
      <w:tr w:rsidTr="00C62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The e</w:t>
            </w:r>
            <w:r w:rsidRPr="00C62C2D">
              <w:t xml:space="preserve">ntry requirement for this qualification is TLI27120 Certificate II in Rail Infrastructure (Structures) or relevant industry experience gained by working in the rail infrastructure </w:t>
            </w:r>
            <w:r w:rsidRPr="00C62C2D">
              <w:t>(structures) environment.</w:t>
            </w:r>
          </w:p>
        </w:tc>
      </w:tr>
    </w:tbl>
    <w:p w:rsidR="00000000" w:rsidRPr="00C62C2D" w:rsidP="00C62C2D">
      <w:pPr>
        <w:pStyle w:val="NoPaddingFontSize1"/>
      </w:pPr>
    </w:p>
    <w:p w:rsidR="00000000" w:rsidRPr="00C62C2D" w:rsidP="00C62C2D">
      <w:pPr>
        <w:pStyle w:val="AllowPageBreak"/>
      </w:pPr>
    </w:p>
    <w:p w:rsidR="00000000" w:rsidRPr="00C62C2D" w:rsidP="00C62C2D">
      <w:pPr>
        <w:pStyle w:val="Heading1"/>
      </w:pPr>
      <w:bookmarkStart w:id="4" w:name="O_1117403"/>
      <w:bookmarkEnd w:id="4"/>
      <w:r w:rsidRPr="00C62C2D">
        <w:t>Packaging Rules</w:t>
      </w:r>
    </w:p>
    <w:tbl>
      <w:tblPr>
        <w:tblW w:w="9540" w:type="dxa"/>
        <w:tblLayout w:type="fixed"/>
        <w:tblCellMar>
          <w:left w:w="62" w:type="dxa"/>
          <w:right w:w="62" w:type="dxa"/>
        </w:tblCellMar>
        <w:tblLook w:val="0000"/>
      </w:tblPr>
      <w:tblGrid>
        <w:gridCol w:w="1931"/>
        <w:gridCol w:w="7609"/>
      </w:tblGrid>
      <w:tr w:rsidTr="00C62C2D">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 xml:space="preserve">A total of </w:t>
            </w:r>
            <w:r w:rsidRPr="00C62C2D">
              <w:rPr>
                <w:rStyle w:val="SpecialBold"/>
              </w:rPr>
              <w:t>11 units of competency</w:t>
            </w:r>
            <w:r w:rsidRPr="00C62C2D">
              <w:t xml:space="preserve"> comprising:</w:t>
            </w:r>
          </w:p>
          <w:p w:rsidR="00000000" w:rsidRPr="00C62C2D" w:rsidP="00C62C2D">
            <w:pPr>
              <w:pStyle w:val="BodyText"/>
            </w:pPr>
            <w:r w:rsidRPr="00C62C2D">
              <w:rPr>
                <w:rStyle w:val="SpecialBold"/>
              </w:rPr>
              <w:t>6 core units</w:t>
            </w:r>
            <w:r w:rsidRPr="00C62C2D">
              <w:t xml:space="preserve"> listed below, </w:t>
            </w:r>
            <w:r w:rsidRPr="00C62C2D">
              <w:rPr>
                <w:rStyle w:val="SpecialBold"/>
              </w:rPr>
              <w:t>plus</w:t>
            </w:r>
          </w:p>
          <w:p w:rsidR="00000000" w:rsidRPr="00C62C2D" w:rsidP="00C62C2D">
            <w:pPr>
              <w:pStyle w:val="BodyText"/>
            </w:pPr>
            <w:r w:rsidRPr="00C62C2D">
              <w:rPr>
                <w:rStyle w:val="SpecialBold"/>
              </w:rPr>
              <w:t xml:space="preserve">All units </w:t>
            </w:r>
            <w:r w:rsidRPr="00C62C2D">
              <w:t>within one of the</w:t>
            </w:r>
            <w:r w:rsidRPr="00C62C2D">
              <w:rPr>
                <w:rStyle w:val="SpecialBold"/>
              </w:rPr>
              <w:t xml:space="preserve"> specialist elective unit groups</w:t>
            </w:r>
            <w:r w:rsidRPr="00C62C2D">
              <w:t xml:space="preserve"> from Group A or Group B listed below, </w:t>
            </w:r>
            <w:r w:rsidRPr="00C62C2D">
              <w:rPr>
                <w:rStyle w:val="SpecialBold"/>
              </w:rPr>
              <w:t>plus</w:t>
            </w:r>
          </w:p>
          <w:p w:rsidR="00000000" w:rsidRPr="00C62C2D" w:rsidP="00C62C2D">
            <w:pPr>
              <w:pStyle w:val="BodyText"/>
            </w:pPr>
            <w:r w:rsidRPr="00C62C2D">
              <w:rPr>
                <w:rStyle w:val="SpecialBold"/>
              </w:rPr>
              <w:t>2 general elective units</w:t>
            </w:r>
            <w:r w:rsidRPr="00C62C2D">
              <w:t xml:space="preserve"> from the Group C units listed below if selecting Group A,</w:t>
            </w:r>
            <w:r w:rsidRPr="00C62C2D">
              <w:rPr>
                <w:rStyle w:val="SpecialBold"/>
              </w:rPr>
              <w:t xml:space="preserve"> or</w:t>
            </w:r>
            <w:r w:rsidRPr="00C62C2D">
              <w:br/>
            </w:r>
            <w:r w:rsidRPr="00C62C2D">
              <w:rPr>
                <w:rStyle w:val="SpecialBold"/>
              </w:rPr>
              <w:t xml:space="preserve">3 general elective units </w:t>
            </w:r>
            <w:r w:rsidRPr="00C62C2D">
              <w:t>from the Group C units listed below if selecting Group B.</w:t>
            </w:r>
          </w:p>
          <w:p w:rsidR="00000000" w:rsidRPr="00C62C2D" w:rsidP="00C62C2D">
            <w:pPr>
              <w:pStyle w:val="BodyText"/>
            </w:pPr>
            <w:r w:rsidRPr="00C62C2D">
              <w:t>Up to</w:t>
            </w:r>
            <w:r w:rsidRPr="00C62C2D">
              <w:rPr>
                <w:rStyle w:val="SpecialBold"/>
              </w:rPr>
              <w:t xml:space="preserve"> 2</w:t>
            </w:r>
            <w:r w:rsidRPr="00C62C2D">
              <w:t xml:space="preserve"> </w:t>
            </w:r>
            <w:r w:rsidRPr="00C62C2D">
              <w:rPr>
                <w:rStyle w:val="SpecialBold"/>
              </w:rPr>
              <w:t>of the general elective units</w:t>
            </w:r>
            <w:r w:rsidRPr="00C62C2D">
              <w:t xml:space="preserve"> may be selected from any relevant nationally endorsed Training Package. The general elective units must contribute to the vocational ou</w:t>
            </w:r>
            <w:r w:rsidRPr="00C62C2D">
              <w:t>tcomes of the qualification.</w:t>
            </w:r>
          </w:p>
          <w:p w:rsidR="00000000" w:rsidRPr="00C62C2D" w:rsidP="00C62C2D">
            <w:pPr>
              <w:pStyle w:val="BodyText"/>
            </w:pPr>
            <w:r w:rsidRPr="00C62C2D">
              <w:t>Where imported units are selected, care must be taken to ensure that all prerequisite units specified are complied with.</w:t>
            </w:r>
          </w:p>
          <w:p w:rsidR="00000000" w:rsidRPr="00C62C2D" w:rsidP="00C62C2D">
            <w:pPr>
              <w:pStyle w:val="BodyText"/>
            </w:pPr>
            <w:r w:rsidRPr="00C62C2D">
              <w:t>The following imported units have a prerequisite unit:</w:t>
            </w:r>
          </w:p>
          <w:p w:rsidR="00000000" w:rsidRPr="00C62C2D" w:rsidP="00C62C2D">
            <w:pPr>
              <w:pStyle w:val="ListBullet2"/>
            </w:pPr>
            <w:r w:rsidRPr="00C62C2D">
              <w:t>MEM24001B Perform basic penetrant testing</w:t>
            </w:r>
            <w:r w:rsidRPr="00C62C2D">
              <w:br/>
              <w:t>└ MEM180</w:t>
            </w:r>
            <w:r w:rsidRPr="00C62C2D">
              <w:t>01C Use hand tools</w:t>
            </w:r>
          </w:p>
          <w:p w:rsidR="00000000" w:rsidRPr="00C62C2D" w:rsidP="00C62C2D">
            <w:pPr>
              <w:pStyle w:val="ListBullet2"/>
            </w:pPr>
            <w:r w:rsidRPr="00C62C2D">
              <w:t>MEM24003B Perform basic magnetic particle testing</w:t>
            </w:r>
            <w:r w:rsidRPr="00C62C2D">
              <w:br/>
            </w:r>
            <w:r w:rsidRPr="00C62C2D">
              <w:t>└</w:t>
            </w:r>
            <w:r w:rsidRPr="00C62C2D">
              <w:t xml:space="preserve"> MEM18001C Use hand tools.</w:t>
            </w:r>
          </w:p>
          <w:p w:rsidR="00000000">
            <w:pPr>
              <w:pStyle w:val="BodyText"/>
              <w:keepLines w:val="0"/>
              <w:rPr>
                <w:rFonts w:ascii="Tahoma" w:hAnsi="Tahoma"/>
                <w:color w:val="000000"/>
                <w:sz w:val="20"/>
                <w:lang w:val="en-NZ"/>
              </w:rPr>
            </w:pPr>
          </w:p>
        </w:tc>
      </w:tr>
      <w:tr w:rsidTr="00C62C2D">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Core units</w:t>
            </w:r>
          </w:p>
        </w:tc>
      </w:tr>
      <w:tr w:rsidTr="00C62C2D">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TLIE2007</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Use communications systems</w:t>
            </w:r>
          </w:p>
        </w:tc>
      </w:tr>
      <w:tr w:rsidTr="00C62C2D">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TLIE2029</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Conduct workplace information briefings</w:t>
            </w:r>
          </w:p>
        </w:tc>
      </w:tr>
      <w:tr w:rsidTr="00C62C2D">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TLIF3003</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Implement and monitor work health and safety procedures</w:t>
            </w:r>
          </w:p>
        </w:tc>
      </w:tr>
      <w:tr w:rsidTr="00C62C2D">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TLIJ3002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Apply quality systems</w:t>
            </w:r>
          </w:p>
        </w:tc>
      </w:tr>
      <w:tr w:rsidTr="00C62C2D">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TLIS2013</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minor structures</w:t>
            </w:r>
          </w:p>
        </w:tc>
      </w:tr>
      <w:tr w:rsidTr="00C62C2D">
        <w:tblPrEx>
          <w:tblW w:w="954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TLIS3029</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Implement structures maintenance and installation of minor structures</w:t>
            </w:r>
          </w:p>
        </w:tc>
      </w:tr>
      <w:tr w:rsidTr="00C62C2D">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Specialist elective units</w:t>
            </w:r>
          </w:p>
        </w:tc>
      </w:tr>
      <w:tr w:rsidTr="00C62C2D">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Select all units from one of the following specialist elective groups:</w:t>
            </w:r>
          </w:p>
          <w:p w:rsidR="00000000" w:rsidRPr="00C62C2D" w:rsidP="00C62C2D">
            <w:pPr>
              <w:pStyle w:val="ListBullet"/>
            </w:pPr>
            <w:r w:rsidRPr="00C62C2D">
              <w:t>Group A: Steel/Concrete/Masonry Structures Maintenance</w:t>
            </w:r>
          </w:p>
          <w:p w:rsidR="00000000" w:rsidP="00C62C2D">
            <w:pPr>
              <w:pStyle w:val="ListBullet"/>
              <w:rPr>
                <w:lang w:val="en-NZ"/>
              </w:rPr>
            </w:pPr>
            <w:r w:rsidRPr="00C62C2D">
              <w:t>Group B: Timber Structures Maintenance.</w:t>
            </w:r>
          </w:p>
        </w:tc>
      </w:tr>
      <w:tr w:rsidTr="00C62C2D">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Specialist elective groups</w:t>
            </w:r>
          </w:p>
        </w:tc>
      </w:tr>
      <w:tr w:rsidTr="00C62C2D">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Group A: Steel/Concrete/Masonry Structures Maintenance</w:t>
            </w:r>
          </w:p>
        </w:tc>
      </w:tr>
      <w:tr w:rsidTr="00C62C2D">
        <w:tblPrEx>
          <w:tblW w:w="9540" w:type="dxa"/>
          <w:tblLayout w:type="fixed"/>
          <w:tblCellMar>
            <w:left w:w="62" w:type="dxa"/>
            <w:right w:w="62" w:type="dxa"/>
          </w:tblCellMar>
          <w:tblLook w:val="0000"/>
        </w:tblPrEx>
        <w:trPr>
          <w:trHeight w:val="43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TLIB2082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Repair steel structures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TLIB2083</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Maintain bridge bearings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TLIB2096</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Repair concrete/masonry structures</w:t>
            </w:r>
          </w:p>
        </w:tc>
      </w:tr>
      <w:tr w:rsidTr="00C62C2D">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Group B: Timber Structures Maintenance</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TLIB2081</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Repair timber structures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TLIS2028</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replace transoms</w:t>
            </w:r>
          </w:p>
        </w:tc>
      </w:tr>
      <w:tr w:rsidTr="00C62C2D">
        <w:tblPrEx>
          <w:tblW w:w="9540" w:type="dxa"/>
          <w:tblLayout w:type="fixed"/>
          <w:tblCellMar>
            <w:left w:w="62" w:type="dxa"/>
            <w:right w:w="62" w:type="dxa"/>
          </w:tblCellMar>
          <w:tblLook w:val="0000"/>
        </w:tblPrEx>
        <w:trPr>
          <w:trHeight w:val="376"/>
        </w:trPr>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General elective units</w:t>
            </w:r>
          </w:p>
        </w:tc>
      </w:tr>
      <w:tr w:rsidTr="00C62C2D">
        <w:tblPrEx>
          <w:tblW w:w="9540" w:type="dxa"/>
          <w:tblLayout w:type="fixed"/>
          <w:tblCellMar>
            <w:left w:w="62" w:type="dxa"/>
            <w:right w:w="62" w:type="dxa"/>
          </w:tblCellMar>
          <w:tblLook w:val="0000"/>
        </w:tblPrEx>
        <w:trPr>
          <w:trHeight w:val="376"/>
        </w:trPr>
        <w:tc>
          <w:tcPr>
            <w:tcW w:w="9540" w:type="dxa"/>
            <w:gridSpan w:val="2"/>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rPr>
                <w:rStyle w:val="SpecialBold"/>
              </w:rPr>
              <w:t>Group C: General elective units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MEM18001</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Use hand tools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MEM24001B</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Perform basic penetrant testing</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MEM24003B</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Perform basic magnetic particle testing</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TLIB2092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Operate minor mechanical equipment</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TLIB2097</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maintain guard rails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TLIE0002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Process workplace documentation</w:t>
            </w:r>
          </w:p>
        </w:tc>
      </w:tr>
      <w:tr w:rsidTr="00C62C2D">
        <w:tblPrEx>
          <w:tblW w:w="9540" w:type="dxa"/>
          <w:tblLayout w:type="fixed"/>
          <w:tblCellMar>
            <w:left w:w="62" w:type="dxa"/>
            <w:right w:w="62" w:type="dxa"/>
          </w:tblCellMar>
          <w:tblLook w:val="0000"/>
        </w:tblPrEx>
        <w:trPr>
          <w:trHeight w:val="418"/>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 xml:space="preserve">TLIF0008 </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Apply safety critical communications in the rail environment</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TLIF0015</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Recognise the impact of human capabilities/limitations on human performance in a rail environment</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TLIF2006</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Apply accident-emergency procedure</w:t>
            </w:r>
            <w:r w:rsidRPr="00C62C2D">
              <w:t>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TLIF3058</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Apply safeworking rules and regulations to rail functions</w:t>
            </w:r>
          </w:p>
        </w:tc>
      </w:tr>
      <w:tr w:rsidTr="00C62C2D">
        <w:tblPrEx>
          <w:tblW w:w="9540" w:type="dxa"/>
          <w:tblLayout w:type="fixed"/>
          <w:tblCellMar>
            <w:left w:w="62" w:type="dxa"/>
            <w:right w:w="62" w:type="dxa"/>
          </w:tblCellMar>
          <w:tblLook w:val="0000"/>
        </w:tblPrEx>
        <w:trPr>
          <w:trHeight w:val="481"/>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TLIF3089</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Implement fatigue management policies and procedures for rail infrastructure</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TLIG1001</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Work effectively with others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TLII1002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Apply customer service skills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TLIS2012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service rail lubrication equipment</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TLIS0002</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maintain surface track drainage</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TLIS2028</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replace transoms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TLIS2033</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repair temporary track supports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TLIS2034</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repair rail fastening systems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TLIS2035</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repair fences and gates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TLIS3037</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Install and repair rail earthworks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TLIU4001</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Implement and monitor environmental protection policies and procedures</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TLIW0006</w:t>
            </w:r>
          </w:p>
        </w:tc>
        <w:tc>
          <w:tcPr>
            <w:tcW w:w="7609"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Heat and cut materials using oxy-LPG equipment for the rail industry</w:t>
            </w:r>
          </w:p>
        </w:tc>
      </w:tr>
      <w:tr w:rsidTr="00C62C2D">
        <w:tblPrEx>
          <w:tblW w:w="9540" w:type="dxa"/>
          <w:tblLayout w:type="fixed"/>
          <w:tblCellMar>
            <w:left w:w="62" w:type="dxa"/>
            <w:right w:w="62" w:type="dxa"/>
          </w:tblCellMar>
          <w:tblLook w:val="0000"/>
        </w:tblPrEx>
        <w:trPr>
          <w:trHeight w:val="183"/>
        </w:trPr>
        <w:tc>
          <w:tcPr>
            <w:tcW w:w="1931" w:type="dxa"/>
            <w:tcBorders>
              <w:top w:val="nil"/>
              <w:left w:val="nil"/>
              <w:bottom w:val="nil"/>
              <w:right w:val="nil"/>
            </w:tcBorders>
            <w:tcMar>
              <w:top w:w="0" w:type="dxa"/>
              <w:left w:w="62" w:type="dxa"/>
              <w:bottom w:w="0" w:type="dxa"/>
              <w:right w:w="62" w:type="dxa"/>
            </w:tcMar>
          </w:tcPr>
          <w:p w:rsidR="00000000" w:rsidP="00C62C2D">
            <w:pPr>
              <w:pStyle w:val="BodyText"/>
              <w:rPr>
                <w:lang w:val="en-NZ"/>
              </w:rPr>
            </w:pPr>
            <w:r w:rsidRPr="00C62C2D">
              <w:t>TLIW3034</w:t>
            </w:r>
          </w:p>
        </w:tc>
        <w:tc>
          <w:tcPr>
            <w:tcW w:w="7609"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Apply protective coating systems to structures</w:t>
            </w:r>
          </w:p>
        </w:tc>
      </w:tr>
    </w:tbl>
    <w:p w:rsidR="00000000" w:rsidRPr="00C62C2D" w:rsidP="00C62C2D">
      <w:pPr>
        <w:pStyle w:val="NoPaddingFontSize1"/>
      </w:pPr>
    </w:p>
    <w:p w:rsidR="00000000" w:rsidRPr="00C62C2D" w:rsidP="00C62C2D">
      <w:pPr>
        <w:pStyle w:val="AllowPageBreak"/>
      </w:pPr>
    </w:p>
    <w:p w:rsidR="00000000" w:rsidRPr="00C62C2D" w:rsidP="00C62C2D">
      <w:pPr>
        <w:pStyle w:val="Heading1"/>
      </w:pPr>
      <w:bookmarkStart w:id="5" w:name="O_1117402"/>
      <w:bookmarkEnd w:id="5"/>
      <w:r w:rsidRPr="00C62C2D">
        <w:t>Qualification Mapping Information</w:t>
      </w:r>
    </w:p>
    <w:tbl>
      <w:tblPr>
        <w:tblW w:w="9497" w:type="dxa"/>
        <w:tblLayout w:type="fixed"/>
        <w:tblCellMar>
          <w:left w:w="62" w:type="dxa"/>
          <w:right w:w="62" w:type="dxa"/>
        </w:tblCellMar>
        <w:tblLook w:val="0000"/>
      </w:tblPr>
      <w:tblGrid>
        <w:gridCol w:w="9497"/>
      </w:tblGrid>
      <w:tr w:rsidTr="00C62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C2D" w:rsidP="00C62C2D">
            <w:pPr>
              <w:pStyle w:val="BodyText"/>
            </w:pPr>
            <w:r w:rsidRPr="00C62C2D">
              <w:t>This qualification replaces and is equivalent to TLI32111 Certificate III in Rail Structures.</w:t>
            </w:r>
          </w:p>
        </w:tc>
      </w:tr>
    </w:tbl>
    <w:p w:rsidR="00000000" w:rsidRPr="00C62C2D" w:rsidP="00C62C2D">
      <w:pPr>
        <w:pStyle w:val="NoPaddingFontSize1"/>
      </w:pPr>
    </w:p>
    <w:p w:rsidR="00000000" w:rsidRPr="00C62C2D" w:rsidP="00C62C2D">
      <w:pPr>
        <w:pStyle w:val="AllowPageBreak"/>
      </w:pPr>
    </w:p>
    <w:p w:rsidR="00000000" w:rsidRPr="00C62C2D" w:rsidP="00C62C2D">
      <w:pPr>
        <w:pStyle w:val="Heading1"/>
      </w:pPr>
      <w:bookmarkStart w:id="6" w:name="O_1117407"/>
      <w:bookmarkEnd w:id="6"/>
      <w:r w:rsidRPr="00C62C2D">
        <w:t>Links</w:t>
      </w:r>
    </w:p>
    <w:p w:rsidR="00000000" w:rsidRPr="00C62C2D" w:rsidP="00611D72">
      <w:pPr>
        <w:pStyle w:val="BodyText"/>
      </w:pPr>
      <w:r w:rsidRPr="00C62C2D">
        <w:t>Companion Volume Implementation G</w:t>
      </w:r>
      <w:r w:rsidRPr="00C62C2D">
        <w:t xml:space="preserve">uides are found in VETNet - </w:t>
      </w:r>
      <w:r>
        <w:fldChar w:fldCharType="begin"/>
      </w:r>
      <w:r>
        <w:instrText xml:space="preserve"> HYPERLINK "https://vetnet.gov.au/Pages/TrainingDocs.aspx?q=df441c6e-213d-43e3-874c-0b3f7036d851" </w:instrText>
      </w:r>
      <w:r>
        <w:fldChar w:fldCharType="separate"/>
      </w:r>
      <w:r w:rsidRPr="00694965">
        <w:rPr>
          <w:rStyle w:val="Hyperlink"/>
        </w:rPr>
        <w:t>https://vetnet.gov.au/Pages/TrainingDocs.aspx?q=df441c6e-213d-43e3-874c-0b3f7036d851</w:t>
      </w:r>
      <w:r>
        <w:fldChar w:fldCharType="end"/>
      </w:r>
    </w:p>
    <w:p w:rsidR="00000000" w:rsidRPr="00C62C2D" w:rsidP="00C62C2D"/>
    <w:sectPr w:rsidSect="00C62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2D" w:rsidRPr="00611D72" w:rsidP="00611D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72" w:rsidP="00C62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1D72" w:rsidP="00C62C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1D72" w:rsidP="00C62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C2D" w:rsidRPr="00611D72" w:rsidP="00611D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72" w:rsidRPr="002D2AF8" w:rsidP="00C62C2D">
    <w:pPr>
      <w:pStyle w:val="Header"/>
      <w:framePr w:wrap="around"/>
    </w:pPr>
    <w:r>
      <w:fldChar w:fldCharType="begin"/>
    </w:r>
    <w:r>
      <w:instrText xml:space="preserve"> TITLE   \* MERGEFORMAT </w:instrText>
    </w:r>
    <w:r>
      <w:fldChar w:fldCharType="separate"/>
    </w:r>
    <w:r>
      <w:t>TLI32115 Certificate III in Rail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611D72" w:rsidP="00C62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C9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EE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02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C2D"/>
    <w:pPr>
      <w:spacing w:before="360" w:after="60"/>
      <w:outlineLvl w:val="0"/>
    </w:pPr>
    <w:rPr>
      <w:sz w:val="32"/>
    </w:rPr>
  </w:style>
  <w:style w:type="paragraph" w:styleId="Heading2">
    <w:name w:val="heading 2"/>
    <w:basedOn w:val="HeadingBase"/>
    <w:next w:val="BodyText"/>
    <w:link w:val="Heading2Char"/>
    <w:qFormat/>
    <w:rsid w:val="00C62C2D"/>
    <w:pPr>
      <w:keepLines/>
      <w:spacing w:before="240" w:after="120"/>
      <w:outlineLvl w:val="1"/>
    </w:pPr>
    <w:rPr>
      <w:sz w:val="28"/>
      <w:szCs w:val="40"/>
    </w:rPr>
  </w:style>
  <w:style w:type="paragraph" w:styleId="Heading3">
    <w:name w:val="heading 3"/>
    <w:basedOn w:val="HeadingBase"/>
    <w:next w:val="BodyText"/>
    <w:link w:val="Heading3Char"/>
    <w:qFormat/>
    <w:rsid w:val="00C62C2D"/>
    <w:pPr>
      <w:spacing w:before="180" w:after="120"/>
      <w:outlineLvl w:val="2"/>
    </w:pPr>
    <w:rPr>
      <w:spacing w:val="-10"/>
      <w:kern w:val="32"/>
    </w:rPr>
  </w:style>
  <w:style w:type="paragraph" w:styleId="Heading4">
    <w:name w:val="heading 4"/>
    <w:basedOn w:val="HeadingBase"/>
    <w:next w:val="BodyText"/>
    <w:link w:val="Heading4Char"/>
    <w:qFormat/>
    <w:rsid w:val="00C62C2D"/>
    <w:pPr>
      <w:spacing w:before="160" w:after="120"/>
      <w:outlineLvl w:val="3"/>
    </w:pPr>
    <w:rPr>
      <w:sz w:val="22"/>
    </w:rPr>
  </w:style>
  <w:style w:type="paragraph" w:styleId="Heading5">
    <w:name w:val="heading 5"/>
    <w:basedOn w:val="HeadingBase"/>
    <w:next w:val="Normal"/>
    <w:link w:val="Heading5Char"/>
    <w:qFormat/>
    <w:rsid w:val="00C62C2D"/>
    <w:pPr>
      <w:spacing w:before="80"/>
      <w:outlineLvl w:val="4"/>
    </w:pPr>
    <w:rPr>
      <w:color w:val="918585"/>
      <w:sz w:val="20"/>
    </w:rPr>
  </w:style>
  <w:style w:type="paragraph" w:styleId="Heading6">
    <w:name w:val="heading 6"/>
    <w:basedOn w:val="HeadingBase"/>
    <w:next w:val="Normal"/>
    <w:link w:val="Heading6Char"/>
    <w:qFormat/>
    <w:rsid w:val="00C62C2D"/>
    <w:pPr>
      <w:spacing w:before="60"/>
      <w:outlineLvl w:val="5"/>
    </w:pPr>
    <w:rPr>
      <w:color w:val="918585"/>
      <w:sz w:val="20"/>
    </w:rPr>
  </w:style>
  <w:style w:type="paragraph" w:styleId="Heading7">
    <w:name w:val="heading 7"/>
    <w:basedOn w:val="Normal"/>
    <w:next w:val="Normal"/>
    <w:link w:val="Heading7Char"/>
    <w:qFormat/>
    <w:rsid w:val="00C62C2D"/>
    <w:pPr>
      <w:ind w:left="720"/>
      <w:outlineLvl w:val="6"/>
    </w:pPr>
    <w:rPr>
      <w:i/>
    </w:rPr>
  </w:style>
  <w:style w:type="paragraph" w:styleId="Heading8">
    <w:name w:val="heading 8"/>
    <w:basedOn w:val="Normal"/>
    <w:next w:val="Normal"/>
    <w:link w:val="Heading8Char"/>
    <w:qFormat/>
    <w:rsid w:val="00C62C2D"/>
    <w:pPr>
      <w:ind w:left="720"/>
      <w:outlineLvl w:val="7"/>
    </w:pPr>
    <w:rPr>
      <w:i/>
    </w:rPr>
  </w:style>
  <w:style w:type="paragraph" w:styleId="Heading9">
    <w:name w:val="heading 9"/>
    <w:basedOn w:val="Normal"/>
    <w:next w:val="Normal"/>
    <w:link w:val="Heading9Char"/>
    <w:qFormat/>
    <w:rsid w:val="00C62C2D"/>
    <w:pPr>
      <w:ind w:left="720"/>
      <w:outlineLvl w:val="8"/>
    </w:pPr>
    <w:rPr>
      <w:i/>
    </w:rPr>
  </w:style>
  <w:style w:type="character" w:default="1" w:styleId="DefaultParagraphFont">
    <w:name w:val="Default Paragraph Font"/>
    <w:uiPriority w:val="1"/>
    <w:unhideWhenUsed/>
    <w:rsid w:val="00C62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C2D"/>
  </w:style>
  <w:style w:type="character" w:customStyle="1" w:styleId="Heading1Char">
    <w:name w:val="Heading 1 Char"/>
    <w:basedOn w:val="DefaultParagraphFont"/>
    <w:link w:val="Heading1"/>
    <w:rsid w:val="00C62C2D"/>
    <w:rPr>
      <w:rFonts w:ascii="Times New Roman" w:eastAsia="Times New Roman" w:hAnsi="Times New Roman" w:cs="Times New Roman"/>
      <w:b/>
      <w:sz w:val="32"/>
      <w:szCs w:val="20"/>
      <w:lang w:eastAsia="en-US"/>
    </w:rPr>
  </w:style>
  <w:style w:type="paragraph" w:styleId="BodyText">
    <w:name w:val="Body Text"/>
    <w:basedOn w:val="Normal"/>
    <w:link w:val="BodyTextChar"/>
    <w:rsid w:val="00C62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C2D"/>
    <w:rPr>
      <w:rFonts w:ascii="Times New Roman" w:eastAsia="Times New Roman" w:hAnsi="Times New Roman" w:cs="Times New Roman"/>
      <w:sz w:val="24"/>
      <w:lang w:eastAsia="en-US"/>
    </w:rPr>
  </w:style>
  <w:style w:type="paragraph" w:styleId="ListBullet">
    <w:name w:val="List Bullet"/>
    <w:basedOn w:val="List"/>
    <w:rsid w:val="00C62C2D"/>
    <w:pPr>
      <w:numPr>
        <w:numId w:val="12"/>
      </w:numPr>
      <w:tabs>
        <w:tab w:val="clear" w:pos="340"/>
      </w:tabs>
      <w:spacing w:before="40" w:after="40"/>
    </w:pPr>
  </w:style>
  <w:style w:type="character" w:customStyle="1" w:styleId="SpecialBold">
    <w:name w:val="Special Bold"/>
    <w:basedOn w:val="DefaultParagraphFont"/>
    <w:rsid w:val="00C62C2D"/>
    <w:rPr>
      <w:b/>
      <w:spacing w:val="0"/>
    </w:rPr>
  </w:style>
  <w:style w:type="paragraph" w:styleId="ListBullet2">
    <w:name w:val="List Bullet 2"/>
    <w:basedOn w:val="List2"/>
    <w:rsid w:val="00C62C2D"/>
    <w:pPr>
      <w:numPr>
        <w:numId w:val="13"/>
      </w:numPr>
      <w:tabs>
        <w:tab w:val="clear" w:pos="680"/>
      </w:tabs>
    </w:pPr>
  </w:style>
  <w:style w:type="paragraph" w:customStyle="1" w:styleId="SuperHeading">
    <w:name w:val="SuperHeading"/>
    <w:basedOn w:val="Normal"/>
    <w:rsid w:val="00C62C2D"/>
    <w:pPr>
      <w:spacing w:before="240" w:after="120"/>
      <w:outlineLvl w:val="0"/>
    </w:pPr>
    <w:rPr>
      <w:rFonts w:ascii="Times New Roman" w:hAnsi="Times New Roman"/>
      <w:b/>
      <w:sz w:val="32"/>
    </w:rPr>
  </w:style>
  <w:style w:type="paragraph" w:customStyle="1" w:styleId="AllowPageBreak">
    <w:name w:val="AllowPageBreak"/>
    <w:rsid w:val="00C62C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2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C2D"/>
    <w:rPr>
      <w:rFonts w:ascii="Courier New" w:eastAsia="Times New Roman" w:hAnsi="Courier New" w:cs="Times New Roman"/>
      <w:i/>
      <w:szCs w:val="20"/>
      <w:lang w:eastAsia="en-US"/>
    </w:rPr>
  </w:style>
  <w:style w:type="paragraph" w:customStyle="1" w:styleId="HeadingBase">
    <w:name w:val="Heading Base"/>
    <w:rsid w:val="00C62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C2D"/>
    <w:pPr>
      <w:tabs>
        <w:tab w:val="right" w:leader="dot" w:pos="9072"/>
      </w:tabs>
      <w:ind w:left="567"/>
    </w:pPr>
    <w:rPr>
      <w:szCs w:val="22"/>
    </w:rPr>
  </w:style>
  <w:style w:type="paragraph" w:customStyle="1" w:styleId="TOCBase">
    <w:name w:val="TOC Base"/>
    <w:rsid w:val="00C62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C2D"/>
    <w:pPr>
      <w:tabs>
        <w:tab w:val="right" w:leader="dot" w:pos="9072"/>
      </w:tabs>
      <w:spacing w:before="40" w:after="40"/>
      <w:ind w:left="284"/>
    </w:pPr>
    <w:rPr>
      <w:rFonts w:ascii="Times New Roman" w:hAnsi="Times New Roman"/>
    </w:rPr>
  </w:style>
  <w:style w:type="paragraph" w:styleId="TOC1">
    <w:name w:val="toc 1"/>
    <w:basedOn w:val="TOCBase"/>
    <w:next w:val="Normal"/>
    <w:rsid w:val="00C62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C2D"/>
    <w:rPr>
      <w:rFonts w:ascii="Times New Roman" w:eastAsia="Times New Roman" w:hAnsi="Times New Roman" w:cs="Times New Roman"/>
      <w:sz w:val="16"/>
      <w:lang w:eastAsia="en-US"/>
    </w:rPr>
  </w:style>
  <w:style w:type="paragraph" w:styleId="Title">
    <w:name w:val="Title"/>
    <w:basedOn w:val="HeadingBase"/>
    <w:link w:val="TitleChar"/>
    <w:qFormat/>
    <w:rsid w:val="00C62C2D"/>
    <w:pPr>
      <w:spacing w:before="5040"/>
      <w:jc w:val="center"/>
    </w:pPr>
    <w:rPr>
      <w:sz w:val="48"/>
      <w:szCs w:val="72"/>
      <w:lang w:val="en-US"/>
    </w:rPr>
  </w:style>
  <w:style w:type="character" w:customStyle="1" w:styleId="TitleChar">
    <w:name w:val="Title Char"/>
    <w:basedOn w:val="DefaultParagraphFont"/>
    <w:link w:val="Title"/>
    <w:rsid w:val="00C62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C2D"/>
    <w:pPr>
      <w:tabs>
        <w:tab w:val="left" w:pos="3600"/>
        <w:tab w:val="left" w:pos="3958"/>
      </w:tabs>
    </w:pPr>
  </w:style>
  <w:style w:type="paragraph" w:styleId="List">
    <w:name w:val="List"/>
    <w:basedOn w:val="BodyText"/>
    <w:next w:val="BodyText"/>
    <w:rsid w:val="00C62C2D"/>
    <w:pPr>
      <w:tabs>
        <w:tab w:val="left" w:pos="340"/>
      </w:tabs>
      <w:spacing w:before="60" w:after="60"/>
      <w:ind w:left="340" w:hanging="340"/>
    </w:pPr>
  </w:style>
  <w:style w:type="paragraph" w:customStyle="1" w:styleId="Note">
    <w:name w:val="Note"/>
    <w:basedOn w:val="BodyText"/>
    <w:rsid w:val="00C62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C2D"/>
    <w:pPr>
      <w:framePr w:wrap="auto" w:hAnchor="text" w:y="6049"/>
    </w:pPr>
    <w:rPr>
      <w:color w:val="000000"/>
      <w:sz w:val="40"/>
    </w:rPr>
  </w:style>
  <w:style w:type="paragraph" w:customStyle="1" w:styleId="TOCTitle">
    <w:name w:val="TOCTitle"/>
    <w:basedOn w:val="Heading1"/>
    <w:rsid w:val="00C62C2D"/>
    <w:pPr>
      <w:spacing w:after="240"/>
      <w:jc w:val="center"/>
      <w:outlineLvl w:val="9"/>
    </w:pPr>
    <w:rPr>
      <w:caps/>
    </w:rPr>
  </w:style>
  <w:style w:type="paragraph" w:customStyle="1" w:styleId="Version">
    <w:name w:val="Version"/>
    <w:rsid w:val="00C62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C2D"/>
    <w:pPr>
      <w:keepNext w:val="0"/>
      <w:tabs>
        <w:tab w:val="right" w:pos="4176"/>
      </w:tabs>
      <w:ind w:left="198" w:hanging="198"/>
    </w:pPr>
    <w:rPr>
      <w:rFonts w:ascii="Garamond" w:hAnsi="Garamond"/>
    </w:rPr>
  </w:style>
  <w:style w:type="paragraph" w:styleId="IndexHeading">
    <w:name w:val="index heading"/>
    <w:basedOn w:val="Normal"/>
    <w:next w:val="Index1"/>
    <w:semiHidden/>
    <w:rsid w:val="00C62C2D"/>
    <w:pPr>
      <w:spacing w:before="120" w:after="120"/>
    </w:pPr>
    <w:rPr>
      <w:rFonts w:ascii="Arial" w:hAnsi="Arial"/>
      <w:b/>
      <w:color w:val="918585"/>
      <w:sz w:val="24"/>
    </w:rPr>
  </w:style>
  <w:style w:type="paragraph" w:styleId="Header">
    <w:name w:val="header"/>
    <w:basedOn w:val="Normal"/>
    <w:link w:val="HeaderChar"/>
    <w:rsid w:val="00C62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C2D"/>
    <w:rPr>
      <w:rFonts w:ascii="Times New Roman" w:eastAsia="Times New Roman" w:hAnsi="Times New Roman" w:cs="Times New Roman"/>
      <w:sz w:val="16"/>
      <w:szCs w:val="20"/>
      <w:lang w:val="en-GB" w:eastAsia="en-US"/>
    </w:rPr>
  </w:style>
  <w:style w:type="paragraph" w:customStyle="1" w:styleId="Chapter">
    <w:name w:val="Chapter"/>
    <w:basedOn w:val="Normal"/>
    <w:rsid w:val="00C62C2D"/>
    <w:pPr>
      <w:spacing w:before="240"/>
    </w:pPr>
    <w:rPr>
      <w:rFonts w:ascii="Times New Roman" w:hAnsi="Times New Roman"/>
      <w:smallCaps/>
      <w:spacing w:val="80"/>
      <w:sz w:val="28"/>
    </w:rPr>
  </w:style>
  <w:style w:type="paragraph" w:customStyle="1" w:styleId="InChapter">
    <w:name w:val="InChapter"/>
    <w:basedOn w:val="Heading3"/>
    <w:rsid w:val="00C62C2D"/>
    <w:pPr>
      <w:spacing w:after="240"/>
      <w:outlineLvl w:val="9"/>
    </w:pPr>
    <w:rPr>
      <w:noProof/>
    </w:rPr>
  </w:style>
  <w:style w:type="paragraph" w:styleId="Index2">
    <w:name w:val="index 2"/>
    <w:basedOn w:val="Normal"/>
    <w:next w:val="Normal"/>
    <w:semiHidden/>
    <w:rsid w:val="00C62C2D"/>
    <w:pPr>
      <w:tabs>
        <w:tab w:val="right" w:pos="4176"/>
      </w:tabs>
      <w:ind w:left="568" w:hanging="284"/>
    </w:pPr>
    <w:rPr>
      <w:rFonts w:ascii="Garamond" w:hAnsi="Garamond"/>
    </w:rPr>
  </w:style>
  <w:style w:type="paragraph" w:customStyle="1" w:styleId="Byline">
    <w:name w:val="Byline"/>
    <w:rsid w:val="00C62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C2D"/>
    <w:pPr>
      <w:tabs>
        <w:tab w:val="clear" w:pos="3600"/>
        <w:tab w:val="clear" w:pos="3958"/>
      </w:tabs>
      <w:jc w:val="right"/>
    </w:pPr>
  </w:style>
  <w:style w:type="character" w:styleId="Emphasis">
    <w:name w:val="Emphasis"/>
    <w:basedOn w:val="DefaultParagraphFont"/>
    <w:qFormat/>
    <w:rsid w:val="00C62C2D"/>
    <w:rPr>
      <w:i/>
    </w:rPr>
  </w:style>
  <w:style w:type="paragraph" w:styleId="Caption">
    <w:name w:val="caption"/>
    <w:basedOn w:val="BodyText"/>
    <w:next w:val="Normal"/>
    <w:qFormat/>
    <w:rsid w:val="00C62C2D"/>
    <w:pPr>
      <w:framePr w:w="2268" w:hSpace="181" w:vSpace="181" w:wrap="around" w:vAnchor="text" w:hAnchor="page" w:x="1135" w:y="285" w:anchorLock="1"/>
    </w:pPr>
    <w:rPr>
      <w:i/>
    </w:rPr>
  </w:style>
  <w:style w:type="paragraph" w:customStyle="1" w:styleId="MiniTOCTitle">
    <w:name w:val="MiniTOCTitle"/>
    <w:basedOn w:val="Heading4"/>
    <w:rsid w:val="00C62C2D"/>
    <w:pPr>
      <w:spacing w:before="240"/>
      <w:outlineLvl w:val="9"/>
    </w:pPr>
    <w:rPr>
      <w:noProof/>
      <w:sz w:val="24"/>
    </w:rPr>
  </w:style>
  <w:style w:type="paragraph" w:customStyle="1" w:styleId="MiniTOCItem">
    <w:name w:val="MiniTOCItem"/>
    <w:basedOn w:val="ListBullet"/>
    <w:rsid w:val="00C62C2D"/>
    <w:pPr>
      <w:numPr>
        <w:numId w:val="0"/>
      </w:numPr>
      <w:tabs>
        <w:tab w:val="right" w:leader="dot" w:pos="6521"/>
      </w:tabs>
      <w:spacing w:before="0" w:after="0"/>
    </w:pPr>
  </w:style>
  <w:style w:type="paragraph" w:customStyle="1" w:styleId="TOFTitle">
    <w:name w:val="TOFTitle"/>
    <w:basedOn w:val="TOCTitle"/>
    <w:rsid w:val="00C62C2D"/>
  </w:style>
  <w:style w:type="paragraph" w:styleId="TableofFigures">
    <w:name w:val="table of figures"/>
    <w:basedOn w:val="Normal"/>
    <w:next w:val="Normal"/>
    <w:semiHidden/>
    <w:rsid w:val="00C62C2D"/>
    <w:pPr>
      <w:tabs>
        <w:tab w:val="right" w:leader="dot" w:pos="9072"/>
      </w:tabs>
      <w:ind w:left="970" w:hanging="403"/>
    </w:pPr>
    <w:rPr>
      <w:rFonts w:ascii="Times New Roman" w:hAnsi="Times New Roman"/>
      <w:b/>
    </w:rPr>
  </w:style>
  <w:style w:type="paragraph" w:styleId="ListNumber">
    <w:name w:val="List Number"/>
    <w:basedOn w:val="List"/>
    <w:rsid w:val="00C62C2D"/>
    <w:pPr>
      <w:numPr>
        <w:numId w:val="15"/>
      </w:numPr>
      <w:tabs>
        <w:tab w:val="clear" w:pos="340"/>
      </w:tabs>
    </w:pPr>
  </w:style>
  <w:style w:type="character" w:customStyle="1" w:styleId="WingdingSymbols">
    <w:name w:val="Wingding Symbols"/>
    <w:rsid w:val="00C62C2D"/>
    <w:rPr>
      <w:rFonts w:ascii="Wingdings" w:hAnsi="Wingdings"/>
    </w:rPr>
  </w:style>
  <w:style w:type="paragraph" w:customStyle="1" w:styleId="TableHeading">
    <w:name w:val="Table Heading"/>
    <w:basedOn w:val="HeadingBase"/>
    <w:rsid w:val="00C62C2D"/>
    <w:pPr>
      <w:keepLines/>
      <w:pBdr>
        <w:bottom w:val="single" w:sz="6" w:space="1" w:color="918585"/>
      </w:pBdr>
      <w:spacing w:before="240"/>
    </w:pPr>
  </w:style>
  <w:style w:type="character" w:customStyle="1" w:styleId="HotSpot">
    <w:name w:val="HotSpot"/>
    <w:rsid w:val="00C62C2D"/>
    <w:rPr>
      <w:color w:val="0033CC"/>
      <w:u w:val="none"/>
    </w:rPr>
  </w:style>
  <w:style w:type="paragraph" w:customStyle="1" w:styleId="BodyTextRight">
    <w:name w:val="Body Text Right"/>
    <w:basedOn w:val="BodyText"/>
    <w:rsid w:val="00C62C2D"/>
    <w:pPr>
      <w:spacing w:before="0" w:after="0"/>
      <w:jc w:val="right"/>
    </w:pPr>
  </w:style>
  <w:style w:type="paragraph" w:styleId="Index3">
    <w:name w:val="index 3"/>
    <w:basedOn w:val="ListNumber2"/>
    <w:next w:val="Normal"/>
    <w:semiHidden/>
    <w:rsid w:val="00C62C2D"/>
    <w:pPr>
      <w:numPr>
        <w:numId w:val="0"/>
      </w:numPr>
      <w:tabs>
        <w:tab w:val="right" w:leader="dot" w:pos="4176"/>
      </w:tabs>
    </w:pPr>
  </w:style>
  <w:style w:type="paragraph" w:styleId="ListNumber2">
    <w:name w:val="List Number 2"/>
    <w:basedOn w:val="List2"/>
    <w:rsid w:val="00C62C2D"/>
    <w:pPr>
      <w:numPr>
        <w:numId w:val="10"/>
      </w:numPr>
      <w:tabs>
        <w:tab w:val="clear" w:pos="1060"/>
      </w:tabs>
    </w:pPr>
  </w:style>
  <w:style w:type="paragraph" w:customStyle="1" w:styleId="MarginNote">
    <w:name w:val="Margin Note"/>
    <w:basedOn w:val="BodyText"/>
    <w:rsid w:val="00C62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C2D"/>
    <w:rPr>
      <w:sz w:val="32"/>
    </w:rPr>
  </w:style>
  <w:style w:type="paragraph" w:customStyle="1" w:styleId="HeadingProcedure">
    <w:name w:val="Heading Procedure"/>
    <w:basedOn w:val="HeadingBase"/>
    <w:next w:val="Normal"/>
    <w:rsid w:val="00C62C2D"/>
    <w:pPr>
      <w:tabs>
        <w:tab w:val="left" w:pos="0"/>
      </w:tabs>
      <w:spacing w:before="120" w:after="60"/>
    </w:pPr>
    <w:rPr>
      <w:i/>
      <w:color w:val="918585"/>
      <w:sz w:val="22"/>
    </w:rPr>
  </w:style>
  <w:style w:type="paragraph" w:customStyle="1" w:styleId="TableBodyText">
    <w:name w:val="Table Body Text"/>
    <w:basedOn w:val="BodyText"/>
    <w:rsid w:val="00C62C2D"/>
    <w:pPr>
      <w:spacing w:before="60" w:after="60"/>
    </w:pPr>
  </w:style>
  <w:style w:type="paragraph" w:styleId="ListContinue">
    <w:name w:val="List Continue"/>
    <w:basedOn w:val="List"/>
    <w:rsid w:val="00C62C2D"/>
    <w:pPr>
      <w:ind w:firstLine="0"/>
    </w:pPr>
  </w:style>
  <w:style w:type="paragraph" w:customStyle="1" w:styleId="ListNote">
    <w:name w:val="List Note"/>
    <w:basedOn w:val="List"/>
    <w:rsid w:val="00C62C2D"/>
    <w:pPr>
      <w:pBdr>
        <w:top w:val="single" w:sz="6" w:space="2" w:color="918585"/>
        <w:bottom w:val="single" w:sz="6" w:space="2" w:color="918585"/>
      </w:pBdr>
      <w:tabs>
        <w:tab w:val="left" w:pos="1021"/>
      </w:tabs>
      <w:ind w:firstLine="0"/>
    </w:pPr>
  </w:style>
  <w:style w:type="paragraph" w:customStyle="1" w:styleId="Warning">
    <w:name w:val="Warning"/>
    <w:basedOn w:val="BodyText"/>
    <w:rsid w:val="00C62C2D"/>
    <w:pPr>
      <w:shd w:val="clear" w:color="auto" w:fill="D9D9D9"/>
      <w:tabs>
        <w:tab w:val="left" w:pos="992"/>
      </w:tabs>
      <w:ind w:left="119" w:right="119"/>
    </w:pPr>
    <w:rPr>
      <w:sz w:val="20"/>
    </w:rPr>
  </w:style>
  <w:style w:type="paragraph" w:customStyle="1" w:styleId="MarginIcons">
    <w:name w:val="Margin Icons"/>
    <w:basedOn w:val="BodyText"/>
    <w:rsid w:val="00C62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C2D"/>
    <w:rPr>
      <w:rFonts w:ascii="Courier New" w:hAnsi="Courier New"/>
    </w:rPr>
  </w:style>
  <w:style w:type="paragraph" w:customStyle="1" w:styleId="NoteBullet">
    <w:name w:val="Note Bullet"/>
    <w:basedOn w:val="Note"/>
    <w:rsid w:val="00C62C2D"/>
    <w:pPr>
      <w:tabs>
        <w:tab w:val="clear" w:pos="680"/>
      </w:tabs>
      <w:spacing w:before="60" w:after="60"/>
    </w:pPr>
  </w:style>
  <w:style w:type="paragraph" w:customStyle="1" w:styleId="SubHeading2">
    <w:name w:val="SubHeading2"/>
    <w:basedOn w:val="HeadingBase"/>
    <w:rsid w:val="00C62C2D"/>
    <w:pPr>
      <w:spacing w:before="240" w:after="60"/>
    </w:pPr>
    <w:rPr>
      <w:sz w:val="20"/>
    </w:rPr>
  </w:style>
  <w:style w:type="paragraph" w:customStyle="1" w:styleId="SubHeading1">
    <w:name w:val="SubHeading1"/>
    <w:basedOn w:val="HeadingBase"/>
    <w:rsid w:val="00C62C2D"/>
    <w:pPr>
      <w:spacing w:before="240" w:after="60"/>
    </w:pPr>
    <w:rPr>
      <w:color w:val="918585"/>
      <w:sz w:val="22"/>
    </w:rPr>
  </w:style>
  <w:style w:type="paragraph" w:customStyle="1" w:styleId="SideHeading">
    <w:name w:val="Side Heading"/>
    <w:basedOn w:val="HeadingBase"/>
    <w:rsid w:val="00C62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C2D"/>
    <w:pPr>
      <w:tabs>
        <w:tab w:val="num" w:pos="360"/>
      </w:tabs>
    </w:pPr>
  </w:style>
  <w:style w:type="paragraph" w:styleId="PlainText">
    <w:name w:val="Plain Text"/>
    <w:basedOn w:val="Normal"/>
    <w:link w:val="PlainTextChar"/>
    <w:rsid w:val="00C62C2D"/>
    <w:rPr>
      <w:sz w:val="20"/>
    </w:rPr>
  </w:style>
  <w:style w:type="character" w:customStyle="1" w:styleId="PlainTextChar">
    <w:name w:val="Plain Text Char"/>
    <w:basedOn w:val="DefaultParagraphFont"/>
    <w:link w:val="PlainText"/>
    <w:rsid w:val="00C62C2D"/>
    <w:rPr>
      <w:rFonts w:ascii="Courier New" w:eastAsia="Times New Roman" w:hAnsi="Courier New" w:cs="Times New Roman"/>
      <w:sz w:val="20"/>
      <w:szCs w:val="20"/>
      <w:lang w:eastAsia="en-US"/>
    </w:rPr>
  </w:style>
  <w:style w:type="character" w:customStyle="1" w:styleId="MenuOption">
    <w:name w:val="Menu Option"/>
    <w:basedOn w:val="DefaultParagraphFont"/>
    <w:rsid w:val="00C62C2D"/>
    <w:rPr>
      <w:b/>
      <w:smallCaps/>
    </w:rPr>
  </w:style>
  <w:style w:type="paragraph" w:customStyle="1" w:styleId="TableListNumber">
    <w:name w:val="Table List Number"/>
    <w:basedOn w:val="ListNumber"/>
    <w:rsid w:val="00C62C2D"/>
    <w:pPr>
      <w:numPr>
        <w:numId w:val="0"/>
      </w:numPr>
    </w:pPr>
  </w:style>
  <w:style w:type="paragraph" w:styleId="TOC4">
    <w:name w:val="toc 4"/>
    <w:basedOn w:val="TOCBase"/>
    <w:next w:val="Normal"/>
    <w:semiHidden/>
    <w:rsid w:val="00C62C2D"/>
    <w:pPr>
      <w:tabs>
        <w:tab w:val="right" w:leader="dot" w:pos="9071"/>
      </w:tabs>
      <w:ind w:left="1701"/>
    </w:pPr>
  </w:style>
  <w:style w:type="paragraph" w:customStyle="1" w:styleId="ListAlpha">
    <w:name w:val="List Alpha"/>
    <w:basedOn w:val="List"/>
    <w:rsid w:val="00C62C2D"/>
    <w:pPr>
      <w:numPr>
        <w:numId w:val="9"/>
      </w:numPr>
    </w:pPr>
  </w:style>
  <w:style w:type="paragraph" w:customStyle="1" w:styleId="ListAlpha2">
    <w:name w:val="List Alpha 2"/>
    <w:basedOn w:val="List2"/>
    <w:rsid w:val="00C62C2D"/>
    <w:pPr>
      <w:numPr>
        <w:numId w:val="8"/>
      </w:numPr>
    </w:pPr>
  </w:style>
  <w:style w:type="paragraph" w:styleId="List2">
    <w:name w:val="List 2"/>
    <w:basedOn w:val="BodyText"/>
    <w:rsid w:val="00C62C2D"/>
    <w:pPr>
      <w:tabs>
        <w:tab w:val="left" w:pos="680"/>
      </w:tabs>
      <w:spacing w:before="60" w:after="60"/>
      <w:ind w:left="680" w:hanging="340"/>
    </w:pPr>
  </w:style>
  <w:style w:type="paragraph" w:styleId="List3">
    <w:name w:val="List 3"/>
    <w:basedOn w:val="BodyText"/>
    <w:rsid w:val="00C62C2D"/>
    <w:pPr>
      <w:tabs>
        <w:tab w:val="left" w:pos="1021"/>
      </w:tabs>
      <w:spacing w:before="60" w:after="60"/>
      <w:ind w:left="1020" w:hanging="340"/>
    </w:pPr>
  </w:style>
  <w:style w:type="paragraph" w:styleId="List4">
    <w:name w:val="List 4"/>
    <w:basedOn w:val="BodyText"/>
    <w:rsid w:val="00C62C2D"/>
    <w:pPr>
      <w:tabs>
        <w:tab w:val="left" w:pos="1361"/>
      </w:tabs>
      <w:spacing w:before="60" w:after="60"/>
      <w:ind w:left="1361" w:hanging="340"/>
    </w:pPr>
  </w:style>
  <w:style w:type="paragraph" w:styleId="List5">
    <w:name w:val="List 5"/>
    <w:basedOn w:val="BodyText"/>
    <w:rsid w:val="00C62C2D"/>
    <w:pPr>
      <w:tabs>
        <w:tab w:val="left" w:pos="1701"/>
      </w:tabs>
      <w:spacing w:before="60" w:after="60"/>
      <w:ind w:left="1701" w:hanging="340"/>
    </w:pPr>
  </w:style>
  <w:style w:type="paragraph" w:styleId="ListBullet3">
    <w:name w:val="List Bullet 3"/>
    <w:basedOn w:val="List3"/>
    <w:rsid w:val="00C62C2D"/>
    <w:pPr>
      <w:numPr>
        <w:numId w:val="14"/>
      </w:numPr>
      <w:tabs>
        <w:tab w:val="clear" w:pos="1021"/>
      </w:tabs>
      <w:ind w:left="1037" w:hanging="357"/>
    </w:pPr>
  </w:style>
  <w:style w:type="paragraph" w:styleId="ListBullet4">
    <w:name w:val="List Bullet 4"/>
    <w:basedOn w:val="List4"/>
    <w:rsid w:val="00C62C2D"/>
    <w:pPr>
      <w:numPr>
        <w:numId w:val="3"/>
      </w:numPr>
      <w:tabs>
        <w:tab w:val="clear" w:pos="1361"/>
      </w:tabs>
    </w:pPr>
  </w:style>
  <w:style w:type="paragraph" w:styleId="ListBullet5">
    <w:name w:val="List Bullet 5"/>
    <w:basedOn w:val="List5"/>
    <w:rsid w:val="00C62C2D"/>
    <w:pPr>
      <w:numPr>
        <w:numId w:val="4"/>
      </w:numPr>
    </w:pPr>
  </w:style>
  <w:style w:type="paragraph" w:styleId="ListContinue2">
    <w:name w:val="List Continue 2"/>
    <w:basedOn w:val="List2"/>
    <w:rsid w:val="00C62C2D"/>
    <w:pPr>
      <w:ind w:firstLine="0"/>
    </w:pPr>
  </w:style>
  <w:style w:type="paragraph" w:styleId="ListContinue3">
    <w:name w:val="List Continue 3"/>
    <w:basedOn w:val="List3"/>
    <w:rsid w:val="00C62C2D"/>
    <w:pPr>
      <w:ind w:left="1021" w:firstLine="0"/>
    </w:pPr>
  </w:style>
  <w:style w:type="paragraph" w:styleId="ListContinue4">
    <w:name w:val="List Continue 4"/>
    <w:basedOn w:val="List4"/>
    <w:rsid w:val="00C62C2D"/>
    <w:pPr>
      <w:ind w:firstLine="0"/>
    </w:pPr>
  </w:style>
  <w:style w:type="paragraph" w:styleId="ListContinue5">
    <w:name w:val="List Continue 5"/>
    <w:basedOn w:val="List5"/>
    <w:rsid w:val="00C62C2D"/>
    <w:pPr>
      <w:ind w:firstLine="0"/>
    </w:pPr>
  </w:style>
  <w:style w:type="paragraph" w:styleId="ListNumber3">
    <w:name w:val="List Number 3"/>
    <w:basedOn w:val="List3"/>
    <w:rsid w:val="00C62C2D"/>
    <w:pPr>
      <w:numPr>
        <w:numId w:val="5"/>
      </w:numPr>
    </w:pPr>
  </w:style>
  <w:style w:type="paragraph" w:styleId="ListNumber4">
    <w:name w:val="List Number 4"/>
    <w:basedOn w:val="List4"/>
    <w:rsid w:val="00C62C2D"/>
    <w:pPr>
      <w:numPr>
        <w:numId w:val="6"/>
      </w:numPr>
    </w:pPr>
  </w:style>
  <w:style w:type="paragraph" w:styleId="ListNumber5">
    <w:name w:val="List Number 5"/>
    <w:basedOn w:val="List5"/>
    <w:rsid w:val="00C62C2D"/>
    <w:pPr>
      <w:numPr>
        <w:numId w:val="7"/>
      </w:numPr>
    </w:pPr>
  </w:style>
  <w:style w:type="paragraph" w:styleId="BlockText">
    <w:name w:val="Block Text"/>
    <w:basedOn w:val="Normal"/>
    <w:rsid w:val="00C62C2D"/>
    <w:pPr>
      <w:spacing w:after="120"/>
      <w:ind w:left="1440" w:right="1440"/>
    </w:pPr>
  </w:style>
  <w:style w:type="character" w:customStyle="1" w:styleId="Subscript">
    <w:name w:val="Subscript"/>
    <w:basedOn w:val="DefaultParagraphFont"/>
    <w:rsid w:val="00C62C2D"/>
    <w:rPr>
      <w:sz w:val="16"/>
      <w:vertAlign w:val="subscript"/>
    </w:rPr>
  </w:style>
  <w:style w:type="character" w:customStyle="1" w:styleId="Superscript">
    <w:name w:val="Superscript"/>
    <w:basedOn w:val="DefaultParagraphFont"/>
    <w:rsid w:val="00C62C2D"/>
    <w:rPr>
      <w:sz w:val="16"/>
      <w:vertAlign w:val="superscript"/>
    </w:rPr>
  </w:style>
  <w:style w:type="character" w:customStyle="1" w:styleId="Symbols">
    <w:name w:val="Symbols"/>
    <w:basedOn w:val="DefaultParagraphFont"/>
    <w:rsid w:val="00C62C2D"/>
    <w:rPr>
      <w:rFonts w:ascii="Symbol" w:hAnsi="Symbol"/>
    </w:rPr>
  </w:style>
  <w:style w:type="character" w:customStyle="1" w:styleId="MenuOptions">
    <w:name w:val="Menu Options"/>
    <w:basedOn w:val="DefaultParagraphFont"/>
    <w:rsid w:val="00C62C2D"/>
    <w:rPr>
      <w:rFonts w:ascii="Arial Narrow" w:hAnsi="Arial Narrow"/>
      <w:smallCaps/>
    </w:rPr>
  </w:style>
  <w:style w:type="character" w:customStyle="1" w:styleId="Buttons">
    <w:name w:val="Buttons"/>
    <w:basedOn w:val="DefaultParagraphFont"/>
    <w:rsid w:val="00C62C2D"/>
    <w:rPr>
      <w:b/>
    </w:rPr>
  </w:style>
  <w:style w:type="character" w:customStyle="1" w:styleId="Underlined">
    <w:name w:val="Underlined"/>
    <w:basedOn w:val="DefaultParagraphFont"/>
    <w:rsid w:val="00C62C2D"/>
    <w:rPr>
      <w:u w:val="single"/>
    </w:rPr>
  </w:style>
  <w:style w:type="paragraph" w:customStyle="1" w:styleId="TableBodyTextRight">
    <w:name w:val="Table Body Text Right"/>
    <w:basedOn w:val="TableBodyText"/>
    <w:rsid w:val="00C62C2D"/>
    <w:pPr>
      <w:widowControl w:val="0"/>
      <w:autoSpaceDE w:val="0"/>
      <w:autoSpaceDN w:val="0"/>
      <w:adjustRightInd w:val="0"/>
      <w:jc w:val="right"/>
    </w:pPr>
    <w:rPr>
      <w:rFonts w:cs="Arial"/>
      <w:szCs w:val="18"/>
    </w:rPr>
  </w:style>
  <w:style w:type="paragraph" w:customStyle="1" w:styleId="CopyrightText">
    <w:name w:val="Copyright Text"/>
    <w:basedOn w:val="BodyText"/>
    <w:rsid w:val="00C62C2D"/>
    <w:rPr>
      <w:sz w:val="18"/>
    </w:rPr>
  </w:style>
  <w:style w:type="paragraph" w:customStyle="1" w:styleId="BodySmallRight">
    <w:name w:val="Body Small Right"/>
    <w:basedOn w:val="BodyTextRight"/>
    <w:rsid w:val="00C62C2D"/>
    <w:rPr>
      <w:sz w:val="18"/>
      <w:szCs w:val="18"/>
    </w:rPr>
  </w:style>
  <w:style w:type="paragraph" w:customStyle="1" w:styleId="MarginEdition">
    <w:name w:val="Margin Edition"/>
    <w:basedOn w:val="MarginNote"/>
    <w:rsid w:val="00C62C2D"/>
    <w:pPr>
      <w:spacing w:before="0" w:after="0"/>
    </w:pPr>
    <w:rPr>
      <w:rFonts w:ascii="Times New Roman" w:hAnsi="Times New Roman"/>
      <w:color w:val="999999"/>
    </w:rPr>
  </w:style>
  <w:style w:type="paragraph" w:customStyle="1" w:styleId="Spacer">
    <w:name w:val="Spacer"/>
    <w:basedOn w:val="Normal"/>
    <w:rsid w:val="00C62C2D"/>
    <w:rPr>
      <w:sz w:val="2"/>
      <w:szCs w:val="2"/>
    </w:rPr>
  </w:style>
  <w:style w:type="character" w:customStyle="1" w:styleId="Small">
    <w:name w:val="Small"/>
    <w:basedOn w:val="DefaultParagraphFont"/>
    <w:rsid w:val="00C62C2D"/>
    <w:rPr>
      <w:sz w:val="16"/>
    </w:rPr>
  </w:style>
  <w:style w:type="paragraph" w:customStyle="1" w:styleId="WideTable">
    <w:name w:val="Wide Table"/>
    <w:basedOn w:val="Normal"/>
    <w:rsid w:val="00C62C2D"/>
    <w:pPr>
      <w:ind w:left="-1418"/>
    </w:pPr>
    <w:rPr>
      <w:sz w:val="2"/>
      <w:szCs w:val="2"/>
    </w:rPr>
  </w:style>
  <w:style w:type="character" w:styleId="PageNumber">
    <w:name w:val="page number"/>
    <w:basedOn w:val="DefaultParagraphFont"/>
    <w:rsid w:val="00C62C2D"/>
  </w:style>
  <w:style w:type="paragraph" w:styleId="Quote">
    <w:name w:val="Quote"/>
    <w:basedOn w:val="Heading1"/>
    <w:link w:val="QuoteChar"/>
    <w:qFormat/>
    <w:rsid w:val="00C62C2D"/>
    <w:rPr>
      <w:b w:val="0"/>
      <w:sz w:val="72"/>
      <w:szCs w:val="72"/>
      <w:lang w:val="en-NZ"/>
    </w:rPr>
  </w:style>
  <w:style w:type="character" w:customStyle="1" w:styleId="QuoteChar">
    <w:name w:val="Quote Char"/>
    <w:basedOn w:val="DefaultParagraphFont"/>
    <w:link w:val="Quote"/>
    <w:rsid w:val="00C62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C2D"/>
    <w:pPr>
      <w:pageBreakBefore/>
    </w:pPr>
  </w:style>
  <w:style w:type="paragraph" w:customStyle="1" w:styleId="Border">
    <w:name w:val="Border"/>
    <w:basedOn w:val="Normal"/>
    <w:qFormat/>
    <w:rsid w:val="00C62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C2D"/>
    <w:rPr>
      <w:b/>
      <w:bCs/>
      <w:i/>
      <w:iCs/>
      <w:color w:val="auto"/>
    </w:rPr>
  </w:style>
  <w:style w:type="paragraph" w:styleId="IntenseQuote">
    <w:name w:val="Intense Quote"/>
    <w:basedOn w:val="Normal"/>
    <w:next w:val="Normal"/>
    <w:link w:val="IntenseQuoteChar"/>
    <w:uiPriority w:val="30"/>
    <w:qFormat/>
    <w:rsid w:val="00C62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C2D"/>
    <w:rPr>
      <w:smallCaps/>
      <w:color w:val="auto"/>
      <w:u w:val="single"/>
    </w:rPr>
  </w:style>
  <w:style w:type="character" w:styleId="IntenseReference">
    <w:name w:val="Intense Reference"/>
    <w:basedOn w:val="DefaultParagraphFont"/>
    <w:uiPriority w:val="32"/>
    <w:qFormat/>
    <w:rsid w:val="00C62C2D"/>
    <w:rPr>
      <w:b/>
      <w:bCs/>
      <w:smallCaps/>
      <w:color w:val="auto"/>
      <w:spacing w:val="5"/>
      <w:u w:val="single"/>
    </w:rPr>
  </w:style>
  <w:style w:type="paragraph" w:customStyle="1" w:styleId="2ColumnHeading">
    <w:name w:val="2Column Heading"/>
    <w:basedOn w:val="BodyText"/>
    <w:qFormat/>
    <w:rsid w:val="00C62C2D"/>
    <w:pPr>
      <w:spacing w:after="60"/>
      <w:ind w:left="-2268"/>
    </w:pPr>
    <w:rPr>
      <w:b/>
    </w:rPr>
  </w:style>
  <w:style w:type="paragraph" w:customStyle="1" w:styleId="Heading1TOC">
    <w:name w:val="Heading1 TOC"/>
    <w:basedOn w:val="Normal"/>
    <w:qFormat/>
    <w:rsid w:val="00C62C2D"/>
    <w:pPr>
      <w:spacing w:before="240" w:after="120"/>
    </w:pPr>
    <w:rPr>
      <w:rFonts w:ascii="Times New Roman" w:hAnsi="Times New Roman"/>
      <w:b/>
      <w:sz w:val="32"/>
    </w:rPr>
  </w:style>
  <w:style w:type="paragraph" w:customStyle="1" w:styleId="Heading2TOC">
    <w:name w:val="Heading2 TOC"/>
    <w:basedOn w:val="Normal"/>
    <w:qFormat/>
    <w:rsid w:val="00C62C2D"/>
    <w:pPr>
      <w:spacing w:before="240" w:after="60"/>
    </w:pPr>
    <w:rPr>
      <w:rFonts w:ascii="Times New Roman" w:hAnsi="Times New Roman"/>
      <w:b/>
      <w:sz w:val="28"/>
    </w:rPr>
  </w:style>
  <w:style w:type="character" w:customStyle="1" w:styleId="Underline">
    <w:name w:val="Underline"/>
    <w:basedOn w:val="DefaultParagraphFont"/>
    <w:qFormat/>
    <w:rsid w:val="00C62C2D"/>
    <w:rPr>
      <w:u w:val="single"/>
    </w:rPr>
  </w:style>
  <w:style w:type="character" w:customStyle="1" w:styleId="BoldandItalics">
    <w:name w:val="Bold and Italics"/>
    <w:qFormat/>
    <w:rsid w:val="00C62C2D"/>
    <w:rPr>
      <w:b/>
      <w:i/>
      <w:u w:val="none"/>
    </w:rPr>
  </w:style>
  <w:style w:type="paragraph" w:styleId="BalloonText">
    <w:name w:val="Balloon Text"/>
    <w:basedOn w:val="Normal"/>
    <w:link w:val="BalloonTextChar"/>
    <w:rsid w:val="00C62C2D"/>
    <w:rPr>
      <w:rFonts w:ascii="Tahoma" w:hAnsi="Tahoma" w:cs="Tahoma"/>
      <w:sz w:val="16"/>
      <w:szCs w:val="16"/>
    </w:rPr>
  </w:style>
  <w:style w:type="character" w:customStyle="1" w:styleId="BalloonTextChar">
    <w:name w:val="Balloon Text Char"/>
    <w:basedOn w:val="DefaultParagraphFont"/>
    <w:link w:val="BalloonText"/>
    <w:rsid w:val="00C62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C2D"/>
    <w:rPr>
      <w:b/>
      <w:color w:val="660033"/>
      <w:spacing w:val="0"/>
    </w:rPr>
  </w:style>
  <w:style w:type="paragraph" w:customStyle="1" w:styleId="Nameditemlist">
    <w:name w:val="Named item list"/>
    <w:basedOn w:val="BodyText"/>
    <w:qFormat/>
    <w:rsid w:val="00C62C2D"/>
    <w:pPr>
      <w:tabs>
        <w:tab w:val="left" w:pos="2835"/>
      </w:tabs>
      <w:ind w:left="2835" w:hanging="2835"/>
    </w:pPr>
  </w:style>
  <w:style w:type="paragraph" w:customStyle="1" w:styleId="BodyTextnopadding">
    <w:name w:val="Body Text no padding"/>
    <w:basedOn w:val="BodyText"/>
    <w:qFormat/>
    <w:rsid w:val="00C62C2D"/>
    <w:pPr>
      <w:spacing w:before="0" w:after="0"/>
    </w:pPr>
  </w:style>
  <w:style w:type="paragraph" w:customStyle="1" w:styleId="BodyTextBold">
    <w:name w:val="Body Text Bold"/>
    <w:basedOn w:val="BodyText"/>
    <w:qFormat/>
    <w:rsid w:val="00C62C2D"/>
    <w:rPr>
      <w:b/>
    </w:rPr>
  </w:style>
  <w:style w:type="character" w:styleId="Hyperlink">
    <w:name w:val="Hyperlink"/>
    <w:basedOn w:val="DefaultParagraphFont"/>
    <w:uiPriority w:val="99"/>
    <w:unhideWhenUsed/>
    <w:rsid w:val="00611D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4789</Characters>
  <Application>Microsoft Office Word</Application>
  <DocSecurity>0</DocSecurity>
  <Lines>159</Lines>
  <Paragraphs>135</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TLI32115 Certificate III in Rail Structures</dc:title>
  <dc:subject>Approved</dc:subject>
  <dc:creator>Australian Industry Standards</dc:creator>
  <cp:keywords>Release 3</cp:keywords>
  <dc:description>Review Date: 12 April 2008</dc:description>
  <cp:lastModifiedBy>HSD_TPCMSd.prod</cp:lastModifiedBy>
  <cp:revision>3</cp:revision>
  <dcterms:created xsi:type="dcterms:W3CDTF">2021-01-29T19:23:10Z</dcterms:created>
  <dcterms:modified xsi:type="dcterms:W3CDTF">2021-01-27T01:49:00Z</dcterms:modified>
</cp:coreProperties>
</file>