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D48" w:rsidP="00332D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TLI31718 Certificate III in Mobile Crane Operations</w:t>
      </w:r>
      <w:r>
        <w:fldChar w:fldCharType="end"/>
      </w:r>
    </w:p>
    <w:p w:rsidR="00332D48" w:rsidP="00332D48">
      <w:pPr>
        <w:pStyle w:val="Version"/>
        <w:sectPr w:rsidSect="00263F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63FCE" w:rsidP="00263FCE">
      <w:pPr>
        <w:pStyle w:val="SuperHeading"/>
      </w:pPr>
      <w:r w:rsidRPr="00263FCE">
        <w:t>TLI31718 Certificate III in Mobile Crane Operations</w:t>
      </w:r>
    </w:p>
    <w:p w:rsidR="00000000" w:rsidRPr="00263FCE" w:rsidP="00263FCE">
      <w:pPr>
        <w:pStyle w:val="Heading1"/>
      </w:pPr>
      <w:bookmarkStart w:id="1" w:name="O_979918"/>
      <w:bookmarkEnd w:id="1"/>
      <w:r w:rsidRPr="00263F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F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CE" w:rsidP="00263FCE">
            <w:pPr>
              <w:pStyle w:val="BodyText"/>
            </w:pPr>
            <w:r w:rsidRPr="00263FCE">
              <w:t>Release 1. This is the first release of this qualification in the TLI Transport and Logistics Training Package.</w:t>
            </w:r>
          </w:p>
        </w:tc>
      </w:tr>
    </w:tbl>
    <w:p w:rsidR="00000000" w:rsidRPr="00263FCE" w:rsidP="00263FCE">
      <w:pPr>
        <w:pStyle w:val="NoPaddingFontSize1"/>
      </w:pPr>
    </w:p>
    <w:p w:rsidR="00000000" w:rsidRPr="00263FCE" w:rsidP="00263FCE">
      <w:pPr>
        <w:pStyle w:val="AllowPageBreak"/>
      </w:pPr>
    </w:p>
    <w:p w:rsidR="00000000" w:rsidRPr="00263FCE" w:rsidP="00263FCE">
      <w:pPr>
        <w:pStyle w:val="Heading1"/>
      </w:pPr>
      <w:bookmarkStart w:id="2" w:name="O_979919"/>
      <w:bookmarkEnd w:id="2"/>
      <w:r w:rsidRPr="00263FC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F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CE" w:rsidP="00263FCE">
            <w:pPr>
              <w:pStyle w:val="BodyText"/>
            </w:pPr>
            <w:r w:rsidRPr="00263FCE">
              <w:t>This qualification is designed for mobile crane operation within the T</w:t>
            </w:r>
            <w:r w:rsidRPr="00263FCE">
              <w:t>ransport and Logistics Industry and other industries.</w:t>
            </w:r>
          </w:p>
          <w:p w:rsidR="00000000" w:rsidRPr="00263FCE" w:rsidP="00263FCE">
            <w:pPr>
              <w:pStyle w:val="BodyText"/>
            </w:pPr>
            <w:r w:rsidRPr="00263FCE">
              <w:t>It involves a broad range of skilled applications applied in a wide variety of contexts.</w:t>
            </w:r>
          </w:p>
          <w:p w:rsidR="00000000" w:rsidRPr="00263FCE" w:rsidP="00263FCE">
            <w:pPr>
              <w:pStyle w:val="BodyText"/>
            </w:pPr>
            <w:r w:rsidRPr="00263FCE">
              <w:t>Successful achievement of the high risk work (HRW) and heavy vehicle licensing units in the qualification must al</w:t>
            </w:r>
            <w:r w:rsidRPr="00263FCE">
              <w:t>ign with applicable licensing and regulatory requirements.</w:t>
            </w:r>
          </w:p>
          <w:p w:rsidR="00000000" w:rsidRPr="00263FCE" w:rsidP="00263FCE">
            <w:pPr>
              <w:pStyle w:val="BodyText"/>
            </w:pPr>
            <w:r w:rsidRPr="00263FCE">
              <w:t>People seeking certification for HRW licensing units should check the requirements with Safe Work Australia.</w:t>
            </w:r>
          </w:p>
          <w:p w:rsidR="00000000" w:rsidRPr="00263FCE" w:rsidP="00263FCE">
            <w:pPr>
              <w:pStyle w:val="BodyText"/>
            </w:pPr>
            <w:r w:rsidRPr="00263FCE">
              <w:t>No licensing, legislative or certification requirements apply to this qualification at t</w:t>
            </w:r>
            <w:r w:rsidRPr="00263FCE">
              <w:t>he time of publication.</w:t>
            </w:r>
          </w:p>
        </w:tc>
      </w:tr>
    </w:tbl>
    <w:p w:rsidR="00000000" w:rsidRPr="00263FCE" w:rsidP="00263FCE">
      <w:pPr>
        <w:pStyle w:val="NoPaddingFontSize1"/>
      </w:pPr>
    </w:p>
    <w:p w:rsidR="00000000" w:rsidRPr="00263FCE" w:rsidP="00263FCE">
      <w:pPr>
        <w:pStyle w:val="AllowPageBreak"/>
      </w:pPr>
    </w:p>
    <w:p w:rsidR="00000000" w:rsidRPr="00263FCE" w:rsidP="00263FCE">
      <w:pPr>
        <w:pStyle w:val="Heading1"/>
      </w:pPr>
      <w:bookmarkStart w:id="3" w:name="O_979920"/>
      <w:bookmarkEnd w:id="3"/>
      <w:r w:rsidRPr="00263FC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F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CE" w:rsidP="00263FCE">
            <w:pPr>
              <w:pStyle w:val="BodyText"/>
            </w:pPr>
            <w:r w:rsidRPr="00263FCE">
              <w:t>There are no entry requirements for this qualification.</w:t>
            </w:r>
          </w:p>
        </w:tc>
      </w:tr>
    </w:tbl>
    <w:p w:rsidR="00000000" w:rsidRPr="00263FCE" w:rsidP="00263FCE">
      <w:pPr>
        <w:pStyle w:val="NoPaddingFontSize1"/>
      </w:pPr>
    </w:p>
    <w:p w:rsidR="00000000" w:rsidRPr="00263FCE" w:rsidP="00263FCE">
      <w:pPr>
        <w:pStyle w:val="AllowPageBreak"/>
      </w:pPr>
    </w:p>
    <w:p w:rsidR="00000000" w:rsidRPr="00263FCE" w:rsidP="00263FCE">
      <w:pPr>
        <w:pStyle w:val="Heading1"/>
      </w:pPr>
      <w:bookmarkStart w:id="4" w:name="O_979921"/>
      <w:bookmarkEnd w:id="4"/>
      <w:r w:rsidRPr="00263FC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7110"/>
      </w:tblGrid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CE" w:rsidP="00263FCE">
            <w:pPr>
              <w:pStyle w:val="BodyText"/>
            </w:pPr>
            <w:r w:rsidRPr="00263FCE">
              <w:t xml:space="preserve">A total of </w:t>
            </w:r>
            <w:r w:rsidRPr="00263FCE">
              <w:rPr>
                <w:rStyle w:val="SpecialBold"/>
              </w:rPr>
              <w:t>17 units of competency</w:t>
            </w:r>
            <w:r w:rsidRPr="00263FCE">
              <w:t xml:space="preserve"> comprising:</w:t>
            </w:r>
          </w:p>
          <w:p w:rsidR="00000000" w:rsidRPr="00263FCE" w:rsidP="00263FCE">
            <w:pPr>
              <w:pStyle w:val="BodyText"/>
            </w:pPr>
            <w:r w:rsidRPr="00263FCE">
              <w:rPr>
                <w:rStyle w:val="SpecialBold"/>
              </w:rPr>
              <w:t xml:space="preserve">12 core units </w:t>
            </w:r>
            <w:r w:rsidRPr="00263FCE">
              <w:t xml:space="preserve">listed below </w:t>
            </w:r>
            <w:r w:rsidRPr="00263FCE">
              <w:rPr>
                <w:rStyle w:val="SpecialBold"/>
              </w:rPr>
              <w:t>plus</w:t>
            </w:r>
          </w:p>
          <w:p w:rsidR="00000000" w:rsidRPr="00263FCE" w:rsidP="00263FCE">
            <w:pPr>
              <w:pStyle w:val="BodyText"/>
            </w:pPr>
            <w:r w:rsidRPr="00263FCE">
              <w:rPr>
                <w:rStyle w:val="SpecialBold"/>
              </w:rPr>
              <w:t>5 general elective units</w:t>
            </w:r>
            <w:r w:rsidRPr="00263FCE">
              <w:t xml:space="preserve"> from the general elective units listed below. </w:t>
            </w:r>
            <w:r w:rsidRPr="00263FCE">
              <w:rPr>
                <w:rStyle w:val="SpecialBold"/>
              </w:rPr>
              <w:t xml:space="preserve">Up to 3 of the general elective units </w:t>
            </w:r>
            <w:r w:rsidRPr="00263FCE">
              <w:t>may be selected from any relevant nationally endorsed Training Package or accredited course. The general elective units must contribute to the vocational outcomes of the q</w:t>
            </w:r>
            <w:r w:rsidRPr="00263FCE">
              <w:t>ualification.</w:t>
            </w:r>
          </w:p>
          <w:p w:rsidR="00000000" w:rsidRPr="00263FCE" w:rsidP="00263FCE">
            <w:pPr>
              <w:pStyle w:val="BodyText"/>
            </w:pPr>
            <w:r w:rsidRPr="00263FCE">
              <w:t>Where imported units are selected, care must be taken to ensure that all prerequisite units specified are complied with.</w:t>
            </w:r>
          </w:p>
          <w:p w:rsidR="00000000" w:rsidRPr="00263FCE" w:rsidP="00263FCE">
            <w:pPr>
              <w:pStyle w:val="BodyText"/>
            </w:pPr>
            <w:r w:rsidRPr="00263FCE">
              <w:t>The following units have prerequisite units:</w:t>
            </w:r>
          </w:p>
          <w:p w:rsidR="00000000" w:rsidRPr="00263FCE" w:rsidP="00263FCE">
            <w:pPr>
              <w:pStyle w:val="ListBullet"/>
            </w:pPr>
            <w:r w:rsidRPr="00263FCE">
              <w:t>CPCCCM2010B Work safely at heights</w:t>
            </w:r>
          </w:p>
          <w:p w:rsidR="00000000" w:rsidRPr="00263FCE" w:rsidP="00263FCE">
            <w:pPr>
              <w:pStyle w:val="ListBullet"/>
            </w:pPr>
            <w:r w:rsidRPr="00263FCE">
              <w:t>CPCCCM3003A Work safely around electrica</w:t>
            </w:r>
            <w:r w:rsidRPr="00263FCE">
              <w:t>l sources, services and assets.</w:t>
            </w:r>
          </w:p>
          <w:p w:rsidR="00000000" w:rsidRPr="00263FCE" w:rsidP="00263FCE">
            <w:pPr>
              <w:pStyle w:val="BodyText"/>
            </w:pPr>
            <w:r w:rsidRPr="00263FCE">
              <w:t>Note:</w:t>
            </w:r>
          </w:p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To comply with the National Standard for Licensing Persons Performing High Risk Work, TLILIC3006 Licence to operate a non</w:t>
            </w:r>
            <w:r w:rsidRPr="00263FCE">
              <w:noBreakHyphen/>
              <w:t xml:space="preserve">slewing mobile crane (greater than 3 tonnes capacity) </w:t>
            </w:r>
            <w:r w:rsidRPr="00263FCE">
              <w:t>must be achieved before commencing TLILIC3</w:t>
            </w:r>
            <w:r w:rsidRPr="00263FCE">
              <w:t>008 Licence to operate a slewing mobile crane (up to 20 tonnes).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rPr>
                <w:rStyle w:val="SpecialBold"/>
              </w:rPr>
              <w:t>Core units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CPCCCM2010B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Work safely at heights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CPCCCM3003A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Work safely around power sources, services and assets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CPCCLDG3001A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Licence to perform dogging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CPCCOHS2001A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Apply OHS requirements, policies and procedures in the construction industry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TLIB3013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Maintain mobile cranes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TLID1001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Shift materials safely using manual handling methods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TLIE0002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Process workplace documentation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TLIF2006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Apply accident-emergency proced</w:t>
            </w:r>
            <w:r w:rsidRPr="00263FCE">
              <w:t>ures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TLIF3084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Follow mobile crane safety procedures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TLILIC3006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 xml:space="preserve">Licence to operate a non-slewing mobile crane (greater than 3 tonnes capacity) 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TLILIC3008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Licence to operate a slewing mobile crane (up to 20 tonnes)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TLIU1009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Monitor plant and equipment in an environmentally sustainable manner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1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rPr>
                <w:rStyle w:val="SpecialBold"/>
              </w:rPr>
              <w:t xml:space="preserve">General elective units 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CPCCWHS1001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Prepare to work safely in the construction industry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HLTAID003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Provide first aid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 xml:space="preserve">HLTAID006 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Provide advanced first aid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TLIA1001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Secure cargo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TLIB2001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Check and assess operational capabilities of equipment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TLIB3011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Set up and rig crane for lift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TLIB3012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Plan job and set up work areas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TLIB3015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Undertake site inspection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TLIB3016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De-rig, pack and store tools and equipment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TLIC3004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Drive heavy rigid vehicle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TLIC3005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Drive heavy combination vehicle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TLID3031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Rig load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TLIF1002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 xml:space="preserve">Conduct housekeeping activities 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TLIF2010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Apply fatigue management strategies</w:t>
            </w:r>
          </w:p>
        </w:tc>
      </w:tr>
      <w:tr w:rsidTr="00263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FCE">
            <w:pPr>
              <w:pStyle w:val="BodyText"/>
              <w:rPr>
                <w:lang w:val="en-NZ"/>
              </w:rPr>
            </w:pPr>
            <w:r w:rsidRPr="00263FCE">
              <w:t>TLILIC2005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CE" w:rsidP="00263FCE">
            <w:pPr>
              <w:pStyle w:val="BodyText"/>
            </w:pPr>
            <w:r w:rsidRPr="00263FCE">
              <w:t>Licence to operate a boom-type elevating work pla</w:t>
            </w:r>
            <w:r w:rsidRPr="00263FCE">
              <w:t>tform (boom length 11 metres or more)</w:t>
            </w:r>
          </w:p>
        </w:tc>
      </w:tr>
    </w:tbl>
    <w:p w:rsidR="00000000" w:rsidRPr="00263FCE" w:rsidP="00263FCE">
      <w:pPr>
        <w:pStyle w:val="NoPaddingFontSize1"/>
      </w:pPr>
    </w:p>
    <w:p w:rsidR="00000000" w:rsidRPr="00263FCE" w:rsidP="00263FCE">
      <w:pPr>
        <w:pStyle w:val="AllowPageBreak"/>
      </w:pPr>
    </w:p>
    <w:p w:rsidR="00000000" w:rsidRPr="00263FCE" w:rsidP="00263FCE">
      <w:pPr>
        <w:pStyle w:val="Heading1"/>
      </w:pPr>
      <w:bookmarkStart w:id="5" w:name="O_979922"/>
      <w:bookmarkEnd w:id="5"/>
      <w:r w:rsidRPr="00263FC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F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FCE" w:rsidP="00263FCE">
            <w:pPr>
              <w:pStyle w:val="BodyText"/>
            </w:pPr>
            <w:r w:rsidRPr="00263FCE">
              <w:t>This qualification replaces and is equivalent to TLI31716 Certificate III in Mobile Crane Operations.</w:t>
            </w:r>
          </w:p>
        </w:tc>
      </w:tr>
    </w:tbl>
    <w:p w:rsidR="00000000" w:rsidRPr="00263FCE" w:rsidP="00263FCE">
      <w:pPr>
        <w:pStyle w:val="NoPaddingFontSize1"/>
      </w:pPr>
    </w:p>
    <w:p w:rsidR="00000000" w:rsidRPr="00263FCE" w:rsidP="00263FCE">
      <w:pPr>
        <w:pStyle w:val="AllowPageBreak"/>
      </w:pPr>
    </w:p>
    <w:p w:rsidR="00000000" w:rsidRPr="00263FCE" w:rsidP="00263FCE">
      <w:pPr>
        <w:pStyle w:val="Heading1"/>
      </w:pPr>
      <w:bookmarkStart w:id="6" w:name="O_979924"/>
      <w:bookmarkEnd w:id="6"/>
      <w:r w:rsidRPr="00263FCE">
        <w:t>Links</w:t>
      </w:r>
    </w:p>
    <w:p w:rsidR="00000000" w:rsidRPr="00263FCE" w:rsidP="00263FCE">
      <w:pPr>
        <w:pStyle w:val="BodyText"/>
      </w:pPr>
      <w:r w:rsidRPr="00263FCE">
        <w:t>Companion Volume Implementation Guides are found in VETNet - https://vetnet.education.gov.au/Pages/TrainingDocs.aspx?q=df441c6e-213d-43e3-874c-0b3f7036d851</w:t>
      </w:r>
    </w:p>
    <w:p w:rsidR="00000000" w:rsidRPr="00263FCE" w:rsidP="00263FCE"/>
    <w:sectPr w:rsidSect="00263F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CE" w:rsidRPr="00332D48" w:rsidP="00332D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48" w:rsidP="00263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2D48" w:rsidP="00263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32D48" w:rsidP="00263F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FCE" w:rsidRPr="00332D48" w:rsidP="00332D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48" w:rsidRPr="002D2AF8" w:rsidP="00263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TLI31718 Certificate III in Mobile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332D48" w:rsidP="00263F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9C2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8E82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F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F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F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F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F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F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F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F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F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F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F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FCE"/>
  </w:style>
  <w:style w:type="character" w:customStyle="1" w:styleId="Heading1Char">
    <w:name w:val="Heading 1 Char"/>
    <w:basedOn w:val="DefaultParagraphFont"/>
    <w:link w:val="Heading1"/>
    <w:rsid w:val="00263F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F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F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F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3FCE"/>
    <w:rPr>
      <w:b/>
      <w:spacing w:val="0"/>
    </w:rPr>
  </w:style>
  <w:style w:type="paragraph" w:customStyle="1" w:styleId="SuperHeading">
    <w:name w:val="SuperHeading"/>
    <w:basedOn w:val="Normal"/>
    <w:rsid w:val="00263F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F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3F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F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F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F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F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F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F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F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F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F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F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F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F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F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F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F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F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F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F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3FC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3F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F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F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F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F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F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F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F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F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FCE"/>
    <w:rPr>
      <w:i/>
    </w:rPr>
  </w:style>
  <w:style w:type="paragraph" w:styleId="Caption">
    <w:name w:val="caption"/>
    <w:basedOn w:val="BodyText"/>
    <w:next w:val="Normal"/>
    <w:qFormat/>
    <w:rsid w:val="00263F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F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F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FCE"/>
  </w:style>
  <w:style w:type="paragraph" w:styleId="TableofFigures">
    <w:name w:val="table of figures"/>
    <w:basedOn w:val="Normal"/>
    <w:next w:val="Normal"/>
    <w:semiHidden/>
    <w:rsid w:val="00263F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FCE"/>
    <w:pPr>
      <w:numPr>
        <w:numId w:val="10"/>
      </w:numPr>
    </w:pPr>
  </w:style>
  <w:style w:type="character" w:customStyle="1" w:styleId="WingdingSymbols">
    <w:name w:val="Wingding Symbols"/>
    <w:rsid w:val="00263FCE"/>
    <w:rPr>
      <w:rFonts w:ascii="Wingdings" w:hAnsi="Wingdings"/>
    </w:rPr>
  </w:style>
  <w:style w:type="paragraph" w:customStyle="1" w:styleId="TableHeading">
    <w:name w:val="Table Heading"/>
    <w:basedOn w:val="HeadingBase"/>
    <w:rsid w:val="00263F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FCE"/>
    <w:rPr>
      <w:color w:val="0033CC"/>
      <w:u w:val="none"/>
    </w:rPr>
  </w:style>
  <w:style w:type="paragraph" w:customStyle="1" w:styleId="BodyTextRight">
    <w:name w:val="Body Text Right"/>
    <w:basedOn w:val="BodyText"/>
    <w:rsid w:val="00263F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F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F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F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F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F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FCE"/>
    <w:rPr>
      <w:sz w:val="32"/>
    </w:rPr>
  </w:style>
  <w:style w:type="paragraph" w:customStyle="1" w:styleId="HeadingProcedure">
    <w:name w:val="Heading Procedure"/>
    <w:basedOn w:val="HeadingBase"/>
    <w:next w:val="Normal"/>
    <w:rsid w:val="00263F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FCE"/>
    <w:pPr>
      <w:spacing w:before="60" w:after="60"/>
    </w:pPr>
  </w:style>
  <w:style w:type="paragraph" w:styleId="ListContinue">
    <w:name w:val="List Continue"/>
    <w:basedOn w:val="List"/>
    <w:rsid w:val="00263FCE"/>
    <w:pPr>
      <w:ind w:firstLine="0"/>
    </w:pPr>
  </w:style>
  <w:style w:type="paragraph" w:customStyle="1" w:styleId="ListNote">
    <w:name w:val="List Note"/>
    <w:basedOn w:val="List"/>
    <w:rsid w:val="00263F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F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F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FCE"/>
    <w:rPr>
      <w:rFonts w:ascii="Courier New" w:hAnsi="Courier New"/>
    </w:rPr>
  </w:style>
  <w:style w:type="paragraph" w:customStyle="1" w:styleId="NoteBullet">
    <w:name w:val="Note Bullet"/>
    <w:basedOn w:val="Note"/>
    <w:rsid w:val="00263F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F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F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F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F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3F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F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FCE"/>
    <w:rPr>
      <w:b/>
      <w:smallCaps/>
    </w:rPr>
  </w:style>
  <w:style w:type="paragraph" w:customStyle="1" w:styleId="TableListNumber">
    <w:name w:val="Table List Number"/>
    <w:basedOn w:val="ListNumber"/>
    <w:rsid w:val="00263F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F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FCE"/>
    <w:pPr>
      <w:numPr>
        <w:numId w:val="8"/>
      </w:numPr>
    </w:pPr>
  </w:style>
  <w:style w:type="paragraph" w:customStyle="1" w:styleId="ListAlpha2">
    <w:name w:val="List Alpha 2"/>
    <w:basedOn w:val="List2"/>
    <w:rsid w:val="00263FCE"/>
    <w:pPr>
      <w:numPr>
        <w:numId w:val="7"/>
      </w:numPr>
    </w:pPr>
  </w:style>
  <w:style w:type="paragraph" w:styleId="List2">
    <w:name w:val="List 2"/>
    <w:basedOn w:val="BodyText"/>
    <w:rsid w:val="00263F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F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F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F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F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F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3FCE"/>
    <w:pPr>
      <w:numPr>
        <w:numId w:val="3"/>
      </w:numPr>
    </w:pPr>
  </w:style>
  <w:style w:type="paragraph" w:styleId="ListContinue2">
    <w:name w:val="List Continue 2"/>
    <w:basedOn w:val="List2"/>
    <w:rsid w:val="00263FCE"/>
    <w:pPr>
      <w:ind w:firstLine="0"/>
    </w:pPr>
  </w:style>
  <w:style w:type="paragraph" w:styleId="ListContinue3">
    <w:name w:val="List Continue 3"/>
    <w:basedOn w:val="List3"/>
    <w:rsid w:val="00263FCE"/>
    <w:pPr>
      <w:ind w:left="1021" w:firstLine="0"/>
    </w:pPr>
  </w:style>
  <w:style w:type="paragraph" w:styleId="ListContinue4">
    <w:name w:val="List Continue 4"/>
    <w:basedOn w:val="List4"/>
    <w:rsid w:val="00263FCE"/>
    <w:pPr>
      <w:ind w:firstLine="0"/>
    </w:pPr>
  </w:style>
  <w:style w:type="paragraph" w:styleId="ListContinue5">
    <w:name w:val="List Continue 5"/>
    <w:basedOn w:val="List5"/>
    <w:rsid w:val="00263FCE"/>
    <w:pPr>
      <w:ind w:firstLine="0"/>
    </w:pPr>
  </w:style>
  <w:style w:type="paragraph" w:styleId="ListNumber3">
    <w:name w:val="List Number 3"/>
    <w:basedOn w:val="List3"/>
    <w:rsid w:val="00263FCE"/>
    <w:pPr>
      <w:numPr>
        <w:numId w:val="4"/>
      </w:numPr>
    </w:pPr>
  </w:style>
  <w:style w:type="paragraph" w:styleId="ListNumber4">
    <w:name w:val="List Number 4"/>
    <w:basedOn w:val="List4"/>
    <w:rsid w:val="00263FCE"/>
    <w:pPr>
      <w:numPr>
        <w:numId w:val="5"/>
      </w:numPr>
    </w:pPr>
  </w:style>
  <w:style w:type="paragraph" w:styleId="ListNumber5">
    <w:name w:val="List Number 5"/>
    <w:basedOn w:val="List5"/>
    <w:rsid w:val="00263FCE"/>
    <w:pPr>
      <w:numPr>
        <w:numId w:val="6"/>
      </w:numPr>
    </w:pPr>
  </w:style>
  <w:style w:type="paragraph" w:styleId="BlockText">
    <w:name w:val="Block Text"/>
    <w:basedOn w:val="Normal"/>
    <w:rsid w:val="00263F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F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FCE"/>
    <w:rPr>
      <w:sz w:val="16"/>
      <w:vertAlign w:val="superscript"/>
    </w:rPr>
  </w:style>
  <w:style w:type="character" w:customStyle="1" w:styleId="Symbols">
    <w:name w:val="Symbols"/>
    <w:basedOn w:val="DefaultParagraphFont"/>
    <w:rsid w:val="00263FCE"/>
    <w:rPr>
      <w:rFonts w:ascii="Symbol" w:hAnsi="Symbol"/>
    </w:rPr>
  </w:style>
  <w:style w:type="character" w:customStyle="1" w:styleId="MenuOptions">
    <w:name w:val="Menu Options"/>
    <w:basedOn w:val="DefaultParagraphFont"/>
    <w:rsid w:val="00263F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FCE"/>
    <w:rPr>
      <w:b/>
    </w:rPr>
  </w:style>
  <w:style w:type="character" w:customStyle="1" w:styleId="Underlined">
    <w:name w:val="Underlined"/>
    <w:basedOn w:val="DefaultParagraphFont"/>
    <w:rsid w:val="00263FCE"/>
    <w:rPr>
      <w:u w:val="single"/>
    </w:rPr>
  </w:style>
  <w:style w:type="paragraph" w:customStyle="1" w:styleId="TableBodyTextRight">
    <w:name w:val="Table Body Text Right"/>
    <w:basedOn w:val="TableBodyText"/>
    <w:rsid w:val="00263F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FCE"/>
    <w:rPr>
      <w:sz w:val="18"/>
    </w:rPr>
  </w:style>
  <w:style w:type="paragraph" w:customStyle="1" w:styleId="BodySmallRight">
    <w:name w:val="Body Small Right"/>
    <w:basedOn w:val="BodyTextRight"/>
    <w:rsid w:val="00263FCE"/>
    <w:rPr>
      <w:sz w:val="18"/>
      <w:szCs w:val="18"/>
    </w:rPr>
  </w:style>
  <w:style w:type="paragraph" w:customStyle="1" w:styleId="MarginEdition">
    <w:name w:val="Margin Edition"/>
    <w:basedOn w:val="MarginNote"/>
    <w:rsid w:val="00263F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FCE"/>
    <w:rPr>
      <w:sz w:val="2"/>
      <w:szCs w:val="2"/>
    </w:rPr>
  </w:style>
  <w:style w:type="character" w:customStyle="1" w:styleId="Small">
    <w:name w:val="Small"/>
    <w:basedOn w:val="DefaultParagraphFont"/>
    <w:rsid w:val="00263FCE"/>
    <w:rPr>
      <w:sz w:val="16"/>
    </w:rPr>
  </w:style>
  <w:style w:type="paragraph" w:customStyle="1" w:styleId="WideTable">
    <w:name w:val="Wide Table"/>
    <w:basedOn w:val="Normal"/>
    <w:rsid w:val="00263F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FCE"/>
  </w:style>
  <w:style w:type="paragraph" w:styleId="Quote">
    <w:name w:val="Quote"/>
    <w:basedOn w:val="Heading1"/>
    <w:link w:val="QuoteChar"/>
    <w:qFormat/>
    <w:rsid w:val="00263F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F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FCE"/>
    <w:pPr>
      <w:pageBreakBefore/>
    </w:pPr>
  </w:style>
  <w:style w:type="paragraph" w:customStyle="1" w:styleId="Border">
    <w:name w:val="Border"/>
    <w:basedOn w:val="Normal"/>
    <w:qFormat/>
    <w:rsid w:val="00263F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F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F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F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F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F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F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F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F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FCE"/>
    <w:rPr>
      <w:u w:val="single"/>
    </w:rPr>
  </w:style>
  <w:style w:type="character" w:customStyle="1" w:styleId="BoldandItalics">
    <w:name w:val="Bold and Italics"/>
    <w:qFormat/>
    <w:rsid w:val="00263FCE"/>
    <w:rPr>
      <w:b/>
      <w:i/>
      <w:u w:val="none"/>
    </w:rPr>
  </w:style>
  <w:style w:type="paragraph" w:styleId="BalloonText">
    <w:name w:val="Balloon Text"/>
    <w:basedOn w:val="Normal"/>
    <w:link w:val="BalloonTextChar"/>
    <w:rsid w:val="00263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F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F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F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F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F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FC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3098</Characters>
  <Application>Microsoft Office Word</Application>
  <DocSecurity>0</DocSecurity>
  <Lines>113</Lines>
  <Paragraphs>83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TLI31718 Certificate III in Mobile Crane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2018-07-04T18:35:56Z</dcterms:created>
  <dcterms:modified xsi:type="dcterms:W3CDTF">2018-06-20T01:25:00Z</dcterms:modified>
</cp:coreProperties>
</file>