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2A9" w:rsidP="00B15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TLI30118 Certificate III in Mobile Crane Operations</w:t>
      </w:r>
      <w:r>
        <w:fldChar w:fldCharType="end"/>
      </w:r>
    </w:p>
    <w:p w:rsidR="00B152A9" w:rsidP="00B152A9">
      <w:pPr>
        <w:pStyle w:val="Version"/>
        <w:sectPr w:rsidSect="00F13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078" w:rsidP="00F13078">
      <w:pPr>
        <w:pStyle w:val="SuperHeading"/>
      </w:pPr>
      <w:r w:rsidRPr="00F13078">
        <w:t>TLI30118 Certificate III in Mobile Crane Operations</w:t>
      </w:r>
    </w:p>
    <w:p w:rsidR="00000000" w:rsidRPr="00F13078" w:rsidP="00F13078">
      <w:pPr>
        <w:pStyle w:val="Heading1"/>
      </w:pPr>
      <w:bookmarkStart w:id="1" w:name="O_1000988"/>
      <w:bookmarkEnd w:id="1"/>
      <w:r w:rsidRPr="00F130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Release 1. This is a new release of this qualification in the TLI Transport and Logistics Training Package.</w:t>
            </w:r>
          </w:p>
        </w:tc>
      </w:tr>
    </w:tbl>
    <w:p w:rsidR="00000000" w:rsidRPr="00F13078" w:rsidP="00F13078">
      <w:pPr>
        <w:pStyle w:val="NoPaddingFontSize1"/>
      </w:pPr>
    </w:p>
    <w:p w:rsidR="00000000" w:rsidRPr="00F13078" w:rsidP="00F13078">
      <w:pPr>
        <w:pStyle w:val="AllowPageBreak"/>
      </w:pPr>
    </w:p>
    <w:p w:rsidR="00000000" w:rsidRPr="00F13078" w:rsidP="00F13078">
      <w:pPr>
        <w:pStyle w:val="Heading1"/>
      </w:pPr>
      <w:bookmarkStart w:id="2" w:name="O_1000989"/>
      <w:bookmarkEnd w:id="2"/>
      <w:r w:rsidRPr="00F1307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This qualification is designed for mobile crane operation within the Tr</w:t>
            </w:r>
            <w:r w:rsidRPr="00F13078">
              <w:t>ansport and Logistics Industry and other industries. It involves a broad range of skilled applications applied in a wide variety of contexts.</w:t>
            </w:r>
          </w:p>
          <w:p w:rsidR="00000000" w:rsidRPr="00F13078" w:rsidP="00F13078">
            <w:pPr>
              <w:pStyle w:val="BodyText"/>
            </w:pPr>
            <w:r w:rsidRPr="00F13078">
              <w:t>Successful achievement of the high risk work (HRW) and heavy vehicle licensing units in the qualification must ali</w:t>
            </w:r>
            <w:r w:rsidRPr="00F13078">
              <w:t>gn with applicable licensing and regulatory requirements.</w:t>
            </w:r>
          </w:p>
          <w:p w:rsidR="00000000" w:rsidRPr="00F13078" w:rsidP="00F13078">
            <w:pPr>
              <w:pStyle w:val="BodyText"/>
            </w:pPr>
            <w:r w:rsidRPr="00F13078">
              <w:t>People seeking certification for HRW licensing units should check the requirements with Safe Work Australia.</w:t>
            </w:r>
          </w:p>
          <w:p w:rsidR="00000000" w:rsidRPr="00F13078" w:rsidP="00F13078">
            <w:pPr>
              <w:pStyle w:val="BodyText"/>
            </w:pPr>
            <w:r w:rsidRPr="00F13078">
              <w:t>No licensing, legislative or certification requirements apply to this qualification at th</w:t>
            </w:r>
            <w:r w:rsidRPr="00F13078">
              <w:t>e time of publication.</w:t>
            </w:r>
          </w:p>
          <w:p w:rsidR="00000000" w:rsidRPr="00F13078" w:rsidP="00F13078">
            <w:pPr>
              <w:pStyle w:val="BodyText"/>
            </w:pPr>
            <w:r w:rsidRPr="00F13078">
              <w:rPr>
                <w:rStyle w:val="SpecialBold"/>
              </w:rPr>
              <w:t>^ From 1 July 2022 the elective units HLTAID003, HLTAID006 must no longer be delivered and will be replaced in the Packaging Rules by the units HLTAID011, HLTAID014</w:t>
            </w:r>
            <w:r w:rsidRPr="00F13078">
              <w:t xml:space="preserve"> 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47565A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000000" w:rsidRPr="00F13078" w:rsidP="00F13078">
      <w:pPr>
        <w:pStyle w:val="NoPaddingFontSize1"/>
      </w:pPr>
    </w:p>
    <w:p w:rsidR="00000000" w:rsidRPr="00F13078" w:rsidP="00F13078">
      <w:pPr>
        <w:pStyle w:val="AllowPageBreak"/>
      </w:pPr>
    </w:p>
    <w:p w:rsidR="00000000" w:rsidRPr="00F13078" w:rsidP="00F13078">
      <w:pPr>
        <w:pStyle w:val="Heading1"/>
      </w:pPr>
      <w:bookmarkStart w:id="3" w:name="O_1000990"/>
      <w:bookmarkEnd w:id="3"/>
      <w:r w:rsidRPr="00F1307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There are no entry requirements for this qualification.</w:t>
            </w:r>
          </w:p>
        </w:tc>
      </w:tr>
    </w:tbl>
    <w:p w:rsidR="00000000" w:rsidRPr="00F13078" w:rsidP="00F13078">
      <w:pPr>
        <w:pStyle w:val="NoPaddingFontSize1"/>
      </w:pPr>
    </w:p>
    <w:p w:rsidR="00000000" w:rsidRPr="00F13078" w:rsidP="00F13078">
      <w:pPr>
        <w:pStyle w:val="AllowPageBreak"/>
      </w:pPr>
    </w:p>
    <w:p w:rsidR="00000000" w:rsidRPr="00F13078" w:rsidP="00F13078">
      <w:pPr>
        <w:pStyle w:val="Heading1"/>
      </w:pPr>
      <w:bookmarkStart w:id="4" w:name="O_1000991"/>
      <w:bookmarkEnd w:id="4"/>
      <w:r w:rsidRPr="00F1307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A total of 17 units of competency comprising:</w:t>
            </w:r>
          </w:p>
          <w:p w:rsidR="00000000" w:rsidRPr="00F13078" w:rsidP="00F13078">
            <w:pPr>
              <w:pStyle w:val="BodyText"/>
            </w:pPr>
            <w:r w:rsidRPr="00F13078">
              <w:t>12 core units listed below plus</w:t>
            </w:r>
          </w:p>
          <w:p w:rsidR="00000000" w:rsidRPr="00F13078" w:rsidP="00F13078">
            <w:pPr>
              <w:pStyle w:val="BodyText"/>
            </w:pPr>
            <w:r w:rsidRPr="00F13078">
              <w:t>5 general elective units from the general elective units listed below. Up to 3 of the general elective units may be selected from any relevant nationally endorsed Training Package or accredited course. The general elective units must contribute to the voca</w:t>
            </w:r>
            <w:r w:rsidRPr="00F13078">
              <w:t>tional outcomes of the qualification.</w:t>
            </w:r>
          </w:p>
          <w:p w:rsidR="00000000" w:rsidRPr="00F13078" w:rsidP="00F13078">
            <w:pPr>
              <w:pStyle w:val="BodyText"/>
            </w:pPr>
            <w:r w:rsidRPr="00F13078">
              <w:t xml:space="preserve">Where imported units are selected, care must be taken to ensure that all prerequisite units specified are complied with. Where a prerequisite unit is attached to a unit, it is identified by this symbol </w:t>
            </w:r>
            <w:r w:rsidRPr="00F13078">
              <w:t>∟</w:t>
            </w:r>
            <w:r w:rsidRPr="00F13078">
              <w:t xml:space="preserve">. </w:t>
            </w:r>
          </w:p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Note: To com</w:t>
            </w:r>
            <w:r w:rsidRPr="00F13078">
              <w:t>ply with the National Standard for Licensing Persons Performing High Risk Work, TLILIC0008 Licence to operate a non</w:t>
            </w:r>
            <w:r w:rsidRPr="00F13078">
              <w:noBreakHyphen/>
              <w:t>slewing mobile crane (greater than 3 tonnes capacity) must be achieved before commencing TLILIC0010 Licence to operate a slewing mobile cran</w:t>
            </w:r>
            <w:r w:rsidRPr="00F13078">
              <w:t xml:space="preserve">e </w:t>
            </w:r>
            <w:r w:rsidRPr="00F13078">
              <w:t>(up to 20 tonnes).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rPr>
                <w:rStyle w:val="SpecialBold"/>
              </w:rPr>
              <w:t>Core units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CPCCCM2010B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Work safely at heights</w:t>
            </w:r>
          </w:p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∟</w:t>
            </w:r>
            <w:r w:rsidRPr="00F13078">
              <w:t>CPCCOHS2001A Apply OHS requirements, policies and procedures in the construction industry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CPCCCM3003A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Work safely around power sources, services and assets</w:t>
            </w:r>
          </w:p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∟</w:t>
            </w:r>
            <w:r w:rsidRPr="00F13078">
              <w:t>CPCCOHS2001A Apply OHS req</w:t>
            </w:r>
            <w:r w:rsidRPr="00F13078">
              <w:t>uirements, policies and procedures in the construction industry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CPCCLDG3001A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Licence to perform dogging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CPCCWHS1001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 xml:space="preserve">Prepare to work safely in the construction industry 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TLIB3013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Maintain mobile cranes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Shift materials safely using manual handling methods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TLIE0002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Process workplace documentation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TLIF2006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Apply accident-emergency procedures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TLIF3084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Follow mobile crane safety procedures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TLILIC0008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 xml:space="preserve">Licence to operate a non-slewing mobile crane (greater </w:t>
            </w:r>
            <w:r w:rsidRPr="00F13078">
              <w:t xml:space="preserve">than 3 tonnes capacity) 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TLILIC0010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Licence to operate a slewing mobile crane (up to 20 tonnes)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TLIU1009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Monitor plant and equipment in an environmentally sustainable manner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rPr>
                <w:rStyle w:val="SpecialBold"/>
              </w:rPr>
              <w:t xml:space="preserve">General elective units 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CPCCOHS1001A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Work safely in the construction industry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HLTAID003</w:t>
            </w:r>
          </w:p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rPr>
                <w:rStyle w:val="SpecialBold"/>
              </w:rPr>
              <w:t>^ 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Provide first aid</w:t>
            </w:r>
          </w:p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rPr>
                <w:rStyle w:val="SpecialBold"/>
              </w:rPr>
              <w:t>Provide First Aid (must be delivered from 1 July 2022)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 xml:space="preserve">HLTAID006 </w:t>
            </w:r>
          </w:p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rPr>
                <w:rStyle w:val="SpecialBold"/>
              </w:rPr>
              <w:t>^ HLTAID014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Provide advanced first aid</w:t>
            </w:r>
          </w:p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rPr>
                <w:rStyle w:val="SpecialBold"/>
              </w:rPr>
              <w:t>Provide Advanced First Aid (must be delivered from 1 July 2022)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TLIA1001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Secure cargo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TLIB2001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Check and assess operational capabilities of equipment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TLIB3011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Set up and rig crane for lift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TLIB3012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Plan job and set up work areas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TLIB3015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Undertake site inspection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TLIB3016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De-rig, pack and store tools and equipment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TLIC3004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Drive heavy rigid veh</w:t>
            </w:r>
            <w:r w:rsidRPr="00F13078">
              <w:t>icle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TLIC3005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Drive heavy combination vehicle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TLID3031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Rig load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TLIF1002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 xml:space="preserve">Conduct housekeeping activities 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TLIF2010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Apply fatigue management strategies</w:t>
            </w:r>
          </w:p>
        </w:tc>
      </w:tr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078">
            <w:pPr>
              <w:pStyle w:val="BodyText"/>
              <w:rPr>
                <w:lang w:val="en-NZ"/>
              </w:rPr>
            </w:pPr>
            <w:r w:rsidRPr="00F13078">
              <w:t>TLILIC0005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Licence to operate a boom-type elevating work platform (boom length 11 metres or more)</w:t>
            </w:r>
          </w:p>
        </w:tc>
      </w:tr>
    </w:tbl>
    <w:p w:rsidR="00000000" w:rsidRPr="00F13078" w:rsidP="00F13078">
      <w:pPr>
        <w:pStyle w:val="NoPaddingFontSize1"/>
      </w:pPr>
    </w:p>
    <w:p w:rsidR="00000000" w:rsidRPr="00F13078" w:rsidP="00F13078">
      <w:pPr>
        <w:pStyle w:val="AllowPageBreak"/>
      </w:pPr>
    </w:p>
    <w:p w:rsidR="00000000" w:rsidRPr="00F13078" w:rsidP="00F13078">
      <w:pPr>
        <w:pStyle w:val="Heading1"/>
      </w:pPr>
      <w:bookmarkStart w:id="5" w:name="O_1000992"/>
      <w:bookmarkEnd w:id="5"/>
      <w:r w:rsidRPr="00F1307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30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078" w:rsidP="00F13078">
            <w:pPr>
              <w:pStyle w:val="BodyText"/>
            </w:pPr>
            <w:r w:rsidRPr="00F13078">
              <w:t>This qualification replaces and is equivalent to TLI31718 Certificate III in Mobile Crane Operations.</w:t>
            </w:r>
          </w:p>
        </w:tc>
      </w:tr>
    </w:tbl>
    <w:p w:rsidR="00B152A9" w:rsidP="00F13078">
      <w:pPr>
        <w:pStyle w:val="NoPaddingFontSize1"/>
      </w:pPr>
    </w:p>
    <w:p w:rsidR="00B152A9" w:rsidP="00F13078">
      <w:pPr>
        <w:pStyle w:val="NoPaddingFontSize1"/>
      </w:pPr>
    </w:p>
    <w:p w:rsidR="00000000" w:rsidRPr="00F13078" w:rsidP="00F13078">
      <w:pPr>
        <w:pStyle w:val="Heading1"/>
      </w:pPr>
      <w:bookmarkStart w:id="6" w:name="O_1000994"/>
      <w:bookmarkEnd w:id="6"/>
      <w:r w:rsidRPr="00F13078">
        <w:t>Links</w:t>
      </w:r>
    </w:p>
    <w:p w:rsidR="00000000" w:rsidRPr="00F13078" w:rsidP="00B152A9">
      <w:pPr>
        <w:pStyle w:val="BodyText"/>
      </w:pPr>
      <w:r w:rsidRPr="00F13078">
        <w:t>Companion Vol</w:t>
      </w:r>
      <w:r w:rsidRPr="00F13078">
        <w:t xml:space="preserve">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56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3078" w:rsidP="00F13078"/>
    <w:sectPr w:rsidSect="00F130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078" w:rsidRPr="00B152A9" w:rsidP="00B15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A9" w:rsidP="00F13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2A9" w:rsidP="00F13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52A9" w:rsidP="00F13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078" w:rsidRPr="00B152A9" w:rsidP="00B152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2A9" w:rsidRPr="002D2AF8" w:rsidP="00F13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TLI30118 Certificate III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152A9" w:rsidP="00F13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078"/>
  </w:style>
  <w:style w:type="character" w:customStyle="1" w:styleId="Heading1Char">
    <w:name w:val="Heading 1 Char"/>
    <w:basedOn w:val="DefaultParagraphFont"/>
    <w:link w:val="Heading1"/>
    <w:rsid w:val="00F13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0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3078"/>
    <w:rPr>
      <w:b/>
      <w:spacing w:val="0"/>
    </w:rPr>
  </w:style>
  <w:style w:type="paragraph" w:customStyle="1" w:styleId="SuperHeading">
    <w:name w:val="SuperHeading"/>
    <w:basedOn w:val="Normal"/>
    <w:rsid w:val="00F13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3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0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0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0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3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3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0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0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078"/>
    <w:rPr>
      <w:i/>
    </w:rPr>
  </w:style>
  <w:style w:type="paragraph" w:styleId="Caption">
    <w:name w:val="caption"/>
    <w:basedOn w:val="BodyText"/>
    <w:next w:val="Normal"/>
    <w:qFormat/>
    <w:rsid w:val="00F13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078"/>
  </w:style>
  <w:style w:type="paragraph" w:styleId="TableofFigures">
    <w:name w:val="table of figures"/>
    <w:basedOn w:val="Normal"/>
    <w:next w:val="Normal"/>
    <w:semiHidden/>
    <w:rsid w:val="00F13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0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3078"/>
    <w:rPr>
      <w:rFonts w:ascii="Wingdings" w:hAnsi="Wingdings"/>
    </w:rPr>
  </w:style>
  <w:style w:type="paragraph" w:customStyle="1" w:styleId="TableHeading">
    <w:name w:val="Table Heading"/>
    <w:basedOn w:val="HeadingBase"/>
    <w:rsid w:val="00F13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078"/>
    <w:rPr>
      <w:color w:val="0033CC"/>
      <w:u w:val="none"/>
    </w:rPr>
  </w:style>
  <w:style w:type="paragraph" w:customStyle="1" w:styleId="BodyTextRight">
    <w:name w:val="Body Text Right"/>
    <w:basedOn w:val="BodyText"/>
    <w:rsid w:val="00F13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0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078"/>
    <w:rPr>
      <w:sz w:val="32"/>
    </w:rPr>
  </w:style>
  <w:style w:type="paragraph" w:customStyle="1" w:styleId="HeadingProcedure">
    <w:name w:val="Heading Procedure"/>
    <w:basedOn w:val="HeadingBase"/>
    <w:next w:val="Normal"/>
    <w:rsid w:val="00F13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078"/>
    <w:pPr>
      <w:spacing w:before="60" w:after="60"/>
    </w:pPr>
  </w:style>
  <w:style w:type="paragraph" w:styleId="ListContinue">
    <w:name w:val="List Continue"/>
    <w:basedOn w:val="List"/>
    <w:rsid w:val="00F13078"/>
    <w:pPr>
      <w:ind w:firstLine="0"/>
    </w:pPr>
  </w:style>
  <w:style w:type="paragraph" w:customStyle="1" w:styleId="ListNote">
    <w:name w:val="List Note"/>
    <w:basedOn w:val="List"/>
    <w:rsid w:val="00F13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078"/>
    <w:rPr>
      <w:rFonts w:ascii="Courier New" w:hAnsi="Courier New"/>
    </w:rPr>
  </w:style>
  <w:style w:type="paragraph" w:customStyle="1" w:styleId="NoteBullet">
    <w:name w:val="Note Bullet"/>
    <w:basedOn w:val="Note"/>
    <w:rsid w:val="00F13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0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3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078"/>
    <w:rPr>
      <w:b/>
      <w:smallCaps/>
    </w:rPr>
  </w:style>
  <w:style w:type="paragraph" w:customStyle="1" w:styleId="TableListNumber">
    <w:name w:val="Table List Number"/>
    <w:basedOn w:val="ListNumber"/>
    <w:rsid w:val="00F13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078"/>
    <w:pPr>
      <w:numPr>
        <w:numId w:val="7"/>
      </w:numPr>
    </w:pPr>
  </w:style>
  <w:style w:type="paragraph" w:customStyle="1" w:styleId="ListAlpha2">
    <w:name w:val="List Alpha 2"/>
    <w:basedOn w:val="List2"/>
    <w:rsid w:val="00F13078"/>
    <w:pPr>
      <w:numPr>
        <w:numId w:val="6"/>
      </w:numPr>
    </w:pPr>
  </w:style>
  <w:style w:type="paragraph" w:styleId="List2">
    <w:name w:val="List 2"/>
    <w:basedOn w:val="BodyText"/>
    <w:rsid w:val="00F13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0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0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3078"/>
    <w:pPr>
      <w:numPr>
        <w:numId w:val="2"/>
      </w:numPr>
    </w:pPr>
  </w:style>
  <w:style w:type="paragraph" w:styleId="ListContinue2">
    <w:name w:val="List Continue 2"/>
    <w:basedOn w:val="List2"/>
    <w:rsid w:val="00F13078"/>
    <w:pPr>
      <w:ind w:firstLine="0"/>
    </w:pPr>
  </w:style>
  <w:style w:type="paragraph" w:styleId="ListContinue3">
    <w:name w:val="List Continue 3"/>
    <w:basedOn w:val="List3"/>
    <w:rsid w:val="00F13078"/>
    <w:pPr>
      <w:ind w:left="1021" w:firstLine="0"/>
    </w:pPr>
  </w:style>
  <w:style w:type="paragraph" w:styleId="ListContinue4">
    <w:name w:val="List Continue 4"/>
    <w:basedOn w:val="List4"/>
    <w:rsid w:val="00F13078"/>
    <w:pPr>
      <w:ind w:firstLine="0"/>
    </w:pPr>
  </w:style>
  <w:style w:type="paragraph" w:styleId="ListContinue5">
    <w:name w:val="List Continue 5"/>
    <w:basedOn w:val="List5"/>
    <w:rsid w:val="00F13078"/>
    <w:pPr>
      <w:ind w:firstLine="0"/>
    </w:pPr>
  </w:style>
  <w:style w:type="paragraph" w:styleId="ListNumber3">
    <w:name w:val="List Number 3"/>
    <w:basedOn w:val="List3"/>
    <w:rsid w:val="00F13078"/>
    <w:pPr>
      <w:numPr>
        <w:numId w:val="3"/>
      </w:numPr>
    </w:pPr>
  </w:style>
  <w:style w:type="paragraph" w:styleId="ListNumber4">
    <w:name w:val="List Number 4"/>
    <w:basedOn w:val="List4"/>
    <w:rsid w:val="00F13078"/>
    <w:pPr>
      <w:numPr>
        <w:numId w:val="4"/>
      </w:numPr>
    </w:pPr>
  </w:style>
  <w:style w:type="paragraph" w:styleId="ListNumber5">
    <w:name w:val="List Number 5"/>
    <w:basedOn w:val="List5"/>
    <w:rsid w:val="00F13078"/>
    <w:pPr>
      <w:numPr>
        <w:numId w:val="5"/>
      </w:numPr>
    </w:pPr>
  </w:style>
  <w:style w:type="paragraph" w:styleId="BlockText">
    <w:name w:val="Block Text"/>
    <w:basedOn w:val="Normal"/>
    <w:rsid w:val="00F13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078"/>
    <w:rPr>
      <w:sz w:val="16"/>
      <w:vertAlign w:val="superscript"/>
    </w:rPr>
  </w:style>
  <w:style w:type="character" w:customStyle="1" w:styleId="Symbols">
    <w:name w:val="Symbols"/>
    <w:basedOn w:val="DefaultParagraphFont"/>
    <w:rsid w:val="00F13078"/>
    <w:rPr>
      <w:rFonts w:ascii="Symbol" w:hAnsi="Symbol"/>
    </w:rPr>
  </w:style>
  <w:style w:type="character" w:customStyle="1" w:styleId="MenuOptions">
    <w:name w:val="Menu Options"/>
    <w:basedOn w:val="DefaultParagraphFont"/>
    <w:rsid w:val="00F13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078"/>
    <w:rPr>
      <w:b/>
    </w:rPr>
  </w:style>
  <w:style w:type="character" w:customStyle="1" w:styleId="Underlined">
    <w:name w:val="Underlined"/>
    <w:basedOn w:val="DefaultParagraphFont"/>
    <w:rsid w:val="00F13078"/>
    <w:rPr>
      <w:u w:val="single"/>
    </w:rPr>
  </w:style>
  <w:style w:type="paragraph" w:customStyle="1" w:styleId="TableBodyTextRight">
    <w:name w:val="Table Body Text Right"/>
    <w:basedOn w:val="TableBodyText"/>
    <w:rsid w:val="00F13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078"/>
    <w:rPr>
      <w:sz w:val="18"/>
    </w:rPr>
  </w:style>
  <w:style w:type="paragraph" w:customStyle="1" w:styleId="BodySmallRight">
    <w:name w:val="Body Small Right"/>
    <w:basedOn w:val="BodyTextRight"/>
    <w:rsid w:val="00F13078"/>
    <w:rPr>
      <w:sz w:val="18"/>
      <w:szCs w:val="18"/>
    </w:rPr>
  </w:style>
  <w:style w:type="paragraph" w:customStyle="1" w:styleId="MarginEdition">
    <w:name w:val="Margin Edition"/>
    <w:basedOn w:val="MarginNote"/>
    <w:rsid w:val="00F13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078"/>
    <w:rPr>
      <w:sz w:val="2"/>
      <w:szCs w:val="2"/>
    </w:rPr>
  </w:style>
  <w:style w:type="character" w:customStyle="1" w:styleId="Small">
    <w:name w:val="Small"/>
    <w:basedOn w:val="DefaultParagraphFont"/>
    <w:rsid w:val="00F13078"/>
    <w:rPr>
      <w:sz w:val="16"/>
    </w:rPr>
  </w:style>
  <w:style w:type="paragraph" w:customStyle="1" w:styleId="WideTable">
    <w:name w:val="Wide Table"/>
    <w:basedOn w:val="Normal"/>
    <w:rsid w:val="00F13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078"/>
  </w:style>
  <w:style w:type="paragraph" w:styleId="Quote">
    <w:name w:val="Quote"/>
    <w:basedOn w:val="Heading1"/>
    <w:link w:val="QuoteChar"/>
    <w:qFormat/>
    <w:rsid w:val="00F13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078"/>
    <w:pPr>
      <w:pageBreakBefore/>
    </w:pPr>
  </w:style>
  <w:style w:type="paragraph" w:customStyle="1" w:styleId="Border">
    <w:name w:val="Border"/>
    <w:basedOn w:val="Normal"/>
    <w:qFormat/>
    <w:rsid w:val="00F13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078"/>
    <w:rPr>
      <w:u w:val="single"/>
    </w:rPr>
  </w:style>
  <w:style w:type="character" w:customStyle="1" w:styleId="BoldandItalics">
    <w:name w:val="Bold and Italics"/>
    <w:qFormat/>
    <w:rsid w:val="00F13078"/>
    <w:rPr>
      <w:b/>
      <w:i/>
      <w:u w:val="none"/>
    </w:rPr>
  </w:style>
  <w:style w:type="paragraph" w:styleId="BalloonText">
    <w:name w:val="Balloon Text"/>
    <w:basedOn w:val="Normal"/>
    <w:link w:val="BalloonTextChar"/>
    <w:rsid w:val="00F13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078"/>
    <w:pPr>
      <w:spacing w:before="0" w:after="0"/>
    </w:pPr>
  </w:style>
  <w:style w:type="paragraph" w:customStyle="1" w:styleId="BodyTextBold">
    <w:name w:val="Body Text Bold"/>
    <w:basedOn w:val="BodyText"/>
    <w:qFormat/>
    <w:rsid w:val="00F13078"/>
    <w:rPr>
      <w:b/>
    </w:rPr>
  </w:style>
  <w:style w:type="character" w:styleId="Hyperlink">
    <w:name w:val="Hyperlink"/>
    <w:basedOn w:val="DefaultParagraphFont"/>
    <w:uiPriority w:val="99"/>
    <w:unhideWhenUsed/>
    <w:rsid w:val="00B152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3765</Characters>
  <Application>Microsoft Office Word</Application>
  <DocSecurity>0</DocSecurity>
  <Lines>129</Lines>
  <Paragraphs>104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TLI30118 Certificate III in Mobile Crane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2022-12-22T06:29:00Z</dcterms:created>
  <dcterms:modified xsi:type="dcterms:W3CDTF">2022-12-22T06:29:00Z</dcterms:modified>
</cp:coreProperties>
</file>