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F42" w:rsidP="00246F42">
      <w:pPr>
        <w:pStyle w:val="Title"/>
      </w:pPr>
      <w:r>
        <w:fldChar w:fldCharType="begin"/>
      </w:r>
      <w:r>
        <w:instrText xml:space="preserve"> TITLE   \* MERGEFORMAT </w:instrText>
      </w:r>
      <w:r>
        <w:fldChar w:fldCharType="separate"/>
      </w:r>
      <w:r>
        <w:t>THTFME06A Manage event contractors</w:t>
      </w:r>
      <w:r>
        <w:fldChar w:fldCharType="end"/>
      </w:r>
    </w:p>
    <w:p w:rsidR="00246F42" w:rsidP="00246F42">
      <w:pPr>
        <w:pStyle w:val="Version"/>
        <w:sectPr w:rsidSect="00BB4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BB2" w:rsidP="00BB4BB2">
      <w:pPr>
        <w:pStyle w:val="SuperHeading"/>
      </w:pPr>
      <w:r w:rsidRPr="00BB4BB2">
        <w:t>THTFME06A Manage event contractors</w:t>
      </w:r>
    </w:p>
    <w:p w:rsidR="00000000" w:rsidRPr="00BB4BB2" w:rsidP="00BB4BB2">
      <w:pPr>
        <w:pStyle w:val="Heading1"/>
      </w:pPr>
      <w:bookmarkStart w:id="1" w:name="O_326679"/>
      <w:bookmarkEnd w:id="1"/>
      <w:r w:rsidRPr="00BB4BB2">
        <w:t>Modification History</w:t>
      </w:r>
    </w:p>
    <w:p w:rsidR="00000000" w:rsidRPr="00BB4BB2" w:rsidP="00BB4BB2">
      <w:pPr>
        <w:pStyle w:val="BodyText"/>
      </w:pPr>
      <w:r w:rsidRPr="00BB4BB2">
        <w:t>Not applicable.</w:t>
      </w:r>
    </w:p>
    <w:p w:rsidR="00000000" w:rsidRPr="00BB4BB2" w:rsidP="00BB4BB2">
      <w:pPr>
        <w:pStyle w:val="AllowPageBreak"/>
      </w:pPr>
    </w:p>
    <w:p w:rsidR="00000000" w:rsidRPr="00BB4BB2" w:rsidP="00BB4BB2">
      <w:pPr>
        <w:pStyle w:val="Heading1"/>
      </w:pPr>
      <w:bookmarkStart w:id="2" w:name="O_326678"/>
      <w:bookmarkEnd w:id="2"/>
      <w:r w:rsidRPr="00BB4BB2">
        <w:t>Unit Descriptor</w:t>
      </w:r>
    </w:p>
    <w:p w:rsidR="00000000" w:rsidRPr="00BB4BB2" w:rsidP="00BB4BB2">
      <w:pPr>
        <w:pStyle w:val="BodyText"/>
      </w:pPr>
      <w:r w:rsidRPr="00BB4BB2">
        <w:t xml:space="preserve">This unit describes the skills and knowledge </w:t>
      </w:r>
      <w:r w:rsidRPr="00BB4BB2">
        <w:t>required to manage the staging and operation of a major indoor event comprising multiple components.  It does not cover the high levels of technical expertise required to actually provide these services, but focuses on the key knowledge and skills required</w:t>
      </w:r>
      <w:r w:rsidRPr="00BB4BB2">
        <w:t xml:space="preserve"> to oversee the process from an organisational and contractor management perspective.  This role may be undertaken by a manager working within an event venue, by an external event manager or a combination.</w:t>
      </w:r>
    </w:p>
    <w:p w:rsidR="00000000" w:rsidRPr="00BB4BB2" w:rsidP="00BB4BB2">
      <w:pPr>
        <w:pStyle w:val="BodyText"/>
      </w:pPr>
      <w:r w:rsidRPr="00BB4BB2">
        <w:t>This unit describes the skills and knowledge requi</w:t>
      </w:r>
      <w:r w:rsidRPr="00BB4BB2">
        <w:t>red to manage the staging and operation of a major indoor event comprising multiple components.  It does not cover the high levels of technical expertise required to actually provide these services, but focuses on the key knowledge and skills required to o</w:t>
      </w:r>
      <w:r w:rsidRPr="00BB4BB2">
        <w:t>versee the process from an organisational and contractor management perspective.  This role may be undertaken by a manager working within an event venue, by an external event manager or a combination</w:t>
      </w:r>
    </w:p>
    <w:p w:rsidR="00000000" w:rsidRPr="00BB4BB2" w:rsidP="00BB4BB2">
      <w:pPr>
        <w:pStyle w:val="AllowPageBreak"/>
      </w:pPr>
    </w:p>
    <w:p w:rsidR="00000000" w:rsidRPr="00BB4BB2" w:rsidP="00BB4BB2">
      <w:pPr>
        <w:pStyle w:val="Heading1"/>
      </w:pPr>
      <w:bookmarkStart w:id="3" w:name="O_326677"/>
      <w:bookmarkEnd w:id="3"/>
      <w:r w:rsidRPr="00BB4BB2">
        <w:t>Application of the Unit</w:t>
      </w:r>
    </w:p>
    <w:p w:rsidR="00000000" w:rsidRPr="00BB4BB2" w:rsidP="00BB4BB2">
      <w:pPr>
        <w:pStyle w:val="BodyText"/>
      </w:pPr>
      <w:r w:rsidRPr="00BB4BB2">
        <w:t>Not applicable.</w:t>
      </w:r>
    </w:p>
    <w:p w:rsidR="00000000" w:rsidRPr="00BB4BB2" w:rsidP="00BB4BB2">
      <w:pPr>
        <w:pStyle w:val="AllowPageBreak"/>
      </w:pPr>
    </w:p>
    <w:p w:rsidR="00000000" w:rsidRPr="00BB4BB2" w:rsidP="00BB4BB2">
      <w:pPr>
        <w:pStyle w:val="Heading1"/>
      </w:pPr>
      <w:bookmarkStart w:id="4" w:name="O_326676"/>
      <w:bookmarkEnd w:id="4"/>
      <w:r w:rsidRPr="00BB4BB2">
        <w:t>Licensing/Regulatory Information</w:t>
      </w:r>
    </w:p>
    <w:p w:rsidR="00000000" w:rsidRPr="00BB4BB2" w:rsidP="00BB4BB2">
      <w:pPr>
        <w:pStyle w:val="BodyText"/>
      </w:pPr>
      <w:r w:rsidRPr="00BB4BB2">
        <w:t>Not applicable.</w:t>
      </w:r>
    </w:p>
    <w:p w:rsidR="00000000" w:rsidRPr="00BB4BB2" w:rsidP="00BB4BB2">
      <w:pPr>
        <w:pStyle w:val="AllowPageBreak"/>
      </w:pPr>
    </w:p>
    <w:p w:rsidR="00000000" w:rsidRPr="00BB4BB2" w:rsidP="00BB4BB2">
      <w:pPr>
        <w:pStyle w:val="Heading1"/>
      </w:pPr>
      <w:bookmarkStart w:id="5" w:name="O_326675"/>
      <w:bookmarkEnd w:id="5"/>
      <w:r w:rsidRPr="00BB4BB2">
        <w:t>Pre-Requisites</w:t>
      </w:r>
    </w:p>
    <w:p w:rsidR="00000000" w:rsidRPr="00BB4BB2" w:rsidP="00BB4BB2">
      <w:pPr>
        <w:pStyle w:val="BodyText"/>
      </w:pPr>
      <w:r w:rsidRPr="00BB4BB2">
        <w:t>Not applicable.</w:t>
      </w:r>
    </w:p>
    <w:p w:rsidR="00000000" w:rsidRPr="00BB4BB2" w:rsidP="00BB4BB2">
      <w:pPr>
        <w:pStyle w:val="AllowPageBreak"/>
      </w:pPr>
    </w:p>
    <w:p w:rsidR="00000000" w:rsidRPr="00BB4BB2" w:rsidP="00BB4BB2">
      <w:pPr>
        <w:pStyle w:val="Heading1"/>
      </w:pPr>
      <w:bookmarkStart w:id="6" w:name="O_326680"/>
      <w:bookmarkEnd w:id="6"/>
      <w:r w:rsidRPr="00BB4BB2">
        <w:t>Employability Skills Information</w:t>
      </w:r>
    </w:p>
    <w:p w:rsidR="00000000" w:rsidRPr="00BB4BB2" w:rsidP="00BB4BB2">
      <w:pPr>
        <w:pStyle w:val="BodyText"/>
      </w:pPr>
      <w:r w:rsidRPr="00BB4BB2">
        <w:t>Not applicable.</w:t>
      </w:r>
    </w:p>
    <w:p w:rsidR="00000000" w:rsidRPr="00BB4BB2" w:rsidP="00BB4BB2">
      <w:pPr>
        <w:pStyle w:val="AllowPageBreak"/>
      </w:pPr>
    </w:p>
    <w:p w:rsidR="00000000" w:rsidRPr="00BB4BB2" w:rsidP="00BB4BB2">
      <w:pPr>
        <w:pStyle w:val="Heading1"/>
      </w:pPr>
      <w:bookmarkStart w:id="7" w:name="O_326670"/>
      <w:bookmarkEnd w:id="7"/>
      <w:r w:rsidRPr="00BB4BB2">
        <w:t>Elements and Performance Criteria Pre-Content</w:t>
      </w:r>
    </w:p>
    <w:p w:rsidR="00000000" w:rsidRPr="00BB4BB2" w:rsidP="00BB4BB2">
      <w:pPr>
        <w:pStyle w:val="BodyText"/>
      </w:pPr>
      <w:r w:rsidRPr="00BB4BB2">
        <w:t>Not applicable.</w:t>
      </w:r>
    </w:p>
    <w:p w:rsidR="00000000" w:rsidRPr="00BB4BB2" w:rsidP="00BB4BB2">
      <w:pPr>
        <w:pStyle w:val="AllowPageBreak"/>
      </w:pPr>
    </w:p>
    <w:p w:rsidR="00000000" w:rsidRPr="00BB4BB2" w:rsidP="00BB4BB2">
      <w:pPr>
        <w:pStyle w:val="Heading1"/>
      </w:pPr>
      <w:bookmarkStart w:id="8" w:name="O_326674"/>
      <w:bookmarkEnd w:id="8"/>
      <w:r w:rsidRPr="00BB4BB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46F4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rPr>
                <w:rStyle w:val="SpecialBold"/>
              </w:rPr>
              <w:t>Elements and Performance Criteria</w:t>
            </w:r>
          </w:p>
        </w:tc>
      </w:tr>
      <w:tr w:rsidTr="00246F4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B4BB2" w:rsidP="00BB4BB2">
            <w:pPr>
              <w:pStyle w:val="BodyText"/>
            </w:pPr>
            <w:r w:rsidRPr="00BB4BB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rPr>
                <w:rStyle w:val="SpecialBold"/>
              </w:rPr>
              <w:t>Performance Criteria</w:t>
            </w:r>
          </w:p>
        </w:tc>
      </w:tr>
      <w:tr w:rsidTr="00246F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1</w:t>
            </w:r>
          </w:p>
        </w:tc>
        <w:tc>
          <w:tcPr>
            <w:tcW w:w="3000" w:type="dxa"/>
            <w:vMerge w:val="restart"/>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Identify event operational requirements</w:t>
            </w: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1.1</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An</w:t>
            </w:r>
            <w:r w:rsidRPr="00BB4BB2">
              <w:t>alyse event staging requirements based on detailed review of all aspects of the proposed event.</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1.2</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Develop an accurate summary of staging requirements for each event component in consultation with key stakeholders.</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1.3</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Incorporate safety and risk management issues into all planning documentation and processes.</w:t>
            </w:r>
          </w:p>
        </w:tc>
      </w:tr>
      <w:tr w:rsidTr="00246F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2</w:t>
            </w:r>
          </w:p>
        </w:tc>
        <w:tc>
          <w:tcPr>
            <w:tcW w:w="3000" w:type="dxa"/>
            <w:vMerge w:val="restart"/>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Source contractors</w:t>
            </w: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2.1</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Analyse event staging requirements based on detailed review of all aspects of the proposed event.</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2.2</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Develop an accurate summary of s</w:t>
            </w:r>
            <w:r w:rsidRPr="00BB4BB2">
              <w:t>taging requirements for each event component in consultation with key stakeholders.</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2.3</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Incorporate safety and risk management issues into all planning documentation and processes.</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2.4</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 xml:space="preserve">Analyse quotations and select contractors in consultation with key stakeholders. </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2.5</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 xml:space="preserve">Confirm agreements with contractors in writing to include details and costs of all services. </w:t>
            </w:r>
          </w:p>
        </w:tc>
      </w:tr>
      <w:tr w:rsidTr="00246F4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3</w:t>
            </w:r>
          </w:p>
        </w:tc>
        <w:tc>
          <w:tcPr>
            <w:tcW w:w="3000" w:type="dxa"/>
            <w:vMerge w:val="restart"/>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Monitor contractors</w:t>
            </w: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3.1</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 xml:space="preserve">Monitor progress, including safety issues, at </w:t>
            </w:r>
            <w:r w:rsidRPr="00BB4BB2">
              <w:t>regular intervals through ongoing liaison with contractors and other stakeholders.</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3.2</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Identify the need for adjustments and organise appropriate changes with confirmation in writing.</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3.3</w:t>
            </w:r>
          </w:p>
        </w:tc>
        <w:tc>
          <w:tcPr>
            <w:tcW w:w="51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Negotiate adjustments to maintain the integrity and quality of the event.</w:t>
            </w:r>
          </w:p>
        </w:tc>
      </w:tr>
      <w:tr w:rsidTr="00246F4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4BB2">
            <w:pPr>
              <w:pStyle w:val="BodyText"/>
              <w:rPr>
                <w:lang w:val="en-NZ"/>
              </w:rPr>
            </w:pPr>
            <w:r w:rsidRPr="00BB4BB2">
              <w:t>3.4</w:t>
            </w:r>
          </w:p>
        </w:tc>
        <w:tc>
          <w:tcPr>
            <w:tcW w:w="5100" w:type="dxa"/>
            <w:tcBorders>
              <w:top w:val="nil"/>
              <w:left w:val="nil"/>
              <w:bottom w:val="nil"/>
              <w:right w:val="nil"/>
            </w:tcBorders>
            <w:tcMar>
              <w:top w:w="0" w:type="dxa"/>
              <w:left w:w="62" w:type="dxa"/>
              <w:bottom w:w="0" w:type="dxa"/>
              <w:right w:w="62" w:type="dxa"/>
            </w:tcMar>
          </w:tcPr>
          <w:p w:rsidR="00000000" w:rsidRPr="00BB4BB2" w:rsidP="00BB4BB2">
            <w:pPr>
              <w:pStyle w:val="BodyText"/>
            </w:pPr>
            <w:r w:rsidRPr="00BB4BB2">
              <w:t>Evaluate work completed against event requirements and time schedules, and take appropriate action to address delays.</w:t>
            </w:r>
          </w:p>
        </w:tc>
      </w:tr>
    </w:tbl>
    <w:p w:rsidR="00000000" w:rsidRPr="00BB4BB2" w:rsidP="00BB4BB2">
      <w:pPr>
        <w:pStyle w:val="BodyText"/>
      </w:pPr>
    </w:p>
    <w:p w:rsidR="00000000" w:rsidRPr="00BB4BB2" w:rsidP="00BB4BB2">
      <w:pPr>
        <w:pStyle w:val="AllowPageBreak"/>
      </w:pPr>
    </w:p>
    <w:p w:rsidR="00000000" w:rsidRPr="00BB4BB2" w:rsidP="00BB4BB2">
      <w:pPr>
        <w:pStyle w:val="Heading1"/>
      </w:pPr>
      <w:bookmarkStart w:id="9" w:name="O_326673"/>
      <w:bookmarkEnd w:id="9"/>
      <w:r w:rsidRPr="00BB4BB2">
        <w:t>Required Skills and Knowledge</w:t>
      </w:r>
    </w:p>
    <w:p w:rsidR="00000000" w:rsidRPr="00BB4BB2" w:rsidP="00BB4BB2">
      <w:pPr>
        <w:pStyle w:val="BodyText"/>
      </w:pPr>
      <w:r w:rsidRPr="00BB4BB2">
        <w:t>Not applicable.</w:t>
      </w:r>
    </w:p>
    <w:p w:rsidR="00000000" w:rsidRPr="00BB4BB2" w:rsidP="00BB4BB2">
      <w:pPr>
        <w:pStyle w:val="AllowPageBreak"/>
      </w:pPr>
    </w:p>
    <w:p w:rsidR="00000000" w:rsidRPr="00BB4BB2" w:rsidP="00BB4BB2">
      <w:pPr>
        <w:pStyle w:val="Heading1"/>
      </w:pPr>
      <w:bookmarkStart w:id="10" w:name="O_326672"/>
      <w:bookmarkEnd w:id="10"/>
      <w:r w:rsidRPr="00BB4BB2">
        <w:t>Evidence Guide</w:t>
      </w:r>
    </w:p>
    <w:p w:rsidR="00000000" w:rsidRPr="00BB4BB2" w:rsidP="00BB4BB2">
      <w:pPr>
        <w:pStyle w:val="BodyText"/>
      </w:pPr>
      <w:r w:rsidRPr="00BB4BB2">
        <w:rPr>
          <w:rStyle w:val="SpecialBold"/>
        </w:rPr>
        <w:t>Essential Knowledge and Skills to be Assessed</w:t>
      </w:r>
    </w:p>
    <w:p w:rsidR="00000000" w:rsidRPr="00BB4BB2" w:rsidP="00BB4BB2">
      <w:pPr>
        <w:pStyle w:val="BodyText"/>
      </w:pPr>
      <w:r w:rsidRPr="00BB4BB2">
        <w:t>The following knowledge and skills must be assessed as part of this unit:</w:t>
      </w:r>
    </w:p>
    <w:p w:rsidR="00000000" w:rsidRPr="00BB4BB2" w:rsidP="00BB4BB2">
      <w:pPr>
        <w:pStyle w:val="BodyText"/>
      </w:pPr>
      <w:r w:rsidRPr="00BB4BB2">
        <w:t xml:space="preserve">roles and responsibilities of organisations involved in event staging  </w:t>
      </w:r>
    </w:p>
    <w:p w:rsidR="00000000" w:rsidRPr="00BB4BB2" w:rsidP="00BB4BB2">
      <w:pPr>
        <w:pStyle w:val="BodyText"/>
      </w:pPr>
      <w:r w:rsidRPr="00BB4BB2">
        <w:t>suppliers of sta</w:t>
      </w:r>
      <w:r w:rsidRPr="00BB4BB2">
        <w:t xml:space="preserve">ging services and sources of information on staging services </w:t>
      </w:r>
    </w:p>
    <w:p w:rsidR="00000000" w:rsidRPr="00BB4BB2" w:rsidP="00BB4BB2">
      <w:pPr>
        <w:pStyle w:val="BodyText"/>
      </w:pPr>
      <w:r w:rsidRPr="00BB4BB2">
        <w:t xml:space="preserve">risk management issues to be considered for key areas of event staging </w:t>
      </w:r>
    </w:p>
    <w:p w:rsidR="00000000" w:rsidRPr="00BB4BB2" w:rsidP="00BB4BB2">
      <w:pPr>
        <w:pStyle w:val="BodyText"/>
      </w:pPr>
      <w:r w:rsidRPr="00BB4BB2">
        <w:t xml:space="preserve">knowledge of terminology, services and key technology in key areas of staging including:   </w:t>
      </w:r>
    </w:p>
    <w:p w:rsidR="00000000" w:rsidRPr="00BB4BB2" w:rsidP="00BB4BB2">
      <w:pPr>
        <w:pStyle w:val="BodyText"/>
      </w:pPr>
      <w:r w:rsidRPr="00BB4BB2">
        <w:t xml:space="preserve">catering   </w:t>
      </w:r>
    </w:p>
    <w:p w:rsidR="00000000" w:rsidRPr="00BB4BB2" w:rsidP="00BB4BB2">
      <w:pPr>
        <w:pStyle w:val="BodyText"/>
      </w:pPr>
      <w:r w:rsidRPr="00BB4BB2">
        <w:t xml:space="preserve">venue decoration  </w:t>
      </w:r>
      <w:r w:rsidRPr="00BB4BB2">
        <w:t xml:space="preserve"> </w:t>
      </w:r>
    </w:p>
    <w:p w:rsidR="00000000" w:rsidRPr="00BB4BB2" w:rsidP="00BB4BB2">
      <w:pPr>
        <w:pStyle w:val="BodyText"/>
      </w:pPr>
      <w:r w:rsidRPr="00BB4BB2">
        <w:t xml:space="preserve">audio-visual options   </w:t>
      </w:r>
    </w:p>
    <w:p w:rsidR="00000000" w:rsidRPr="00BB4BB2" w:rsidP="00BB4BB2">
      <w:pPr>
        <w:pStyle w:val="BodyText"/>
      </w:pPr>
      <w:r w:rsidRPr="00BB4BB2">
        <w:t xml:space="preserve">sound amplification   </w:t>
      </w:r>
    </w:p>
    <w:p w:rsidR="00000000" w:rsidRPr="00BB4BB2" w:rsidP="00BB4BB2">
      <w:pPr>
        <w:pStyle w:val="BodyText"/>
      </w:pPr>
      <w:r w:rsidRPr="00BB4BB2">
        <w:t xml:space="preserve">lighting   </w:t>
      </w:r>
    </w:p>
    <w:p w:rsidR="00000000" w:rsidRPr="00BB4BB2" w:rsidP="00BB4BB2">
      <w:pPr>
        <w:pStyle w:val="BodyText"/>
      </w:pPr>
      <w:r w:rsidRPr="00BB4BB2">
        <w:t xml:space="preserve">rigging   </w:t>
      </w:r>
    </w:p>
    <w:p w:rsidR="00000000" w:rsidRPr="00BB4BB2" w:rsidP="00BB4BB2">
      <w:pPr>
        <w:pStyle w:val="BodyText"/>
      </w:pPr>
      <w:r w:rsidRPr="00BB4BB2">
        <w:t xml:space="preserve">live entertainment   </w:t>
      </w:r>
    </w:p>
    <w:p w:rsidR="00000000" w:rsidRPr="00BB4BB2" w:rsidP="00BB4BB2">
      <w:pPr>
        <w:pStyle w:val="BodyText"/>
      </w:pPr>
      <w:r w:rsidRPr="00BB4BB2">
        <w:t xml:space="preserve">registration areas   </w:t>
      </w:r>
    </w:p>
    <w:p w:rsidR="00000000" w:rsidRPr="00BB4BB2" w:rsidP="00BB4BB2">
      <w:pPr>
        <w:pStyle w:val="BodyText"/>
      </w:pPr>
      <w:r w:rsidRPr="00BB4BB2">
        <w:t xml:space="preserve">display   </w:t>
      </w:r>
    </w:p>
    <w:p w:rsidR="00000000" w:rsidRPr="00BB4BB2" w:rsidP="00BB4BB2">
      <w:pPr>
        <w:pStyle w:val="BodyText"/>
      </w:pPr>
      <w:r w:rsidRPr="00BB4BB2">
        <w:t xml:space="preserve">security   </w:t>
      </w:r>
    </w:p>
    <w:p w:rsidR="00000000" w:rsidRPr="00BB4BB2" w:rsidP="00BB4BB2">
      <w:pPr>
        <w:pStyle w:val="BodyText"/>
      </w:pPr>
      <w:r w:rsidRPr="00BB4BB2">
        <w:t xml:space="preserve">electronic media coverage of events   </w:t>
      </w:r>
    </w:p>
    <w:p w:rsidR="00000000" w:rsidRPr="00BB4BB2" w:rsidP="00BB4BB2">
      <w:pPr>
        <w:pStyle w:val="BodyText"/>
      </w:pPr>
      <w:r w:rsidRPr="00BB4BB2">
        <w:t>safety equipment.</w:t>
      </w:r>
    </w:p>
    <w:p w:rsidR="00000000" w:rsidRPr="00BB4BB2" w:rsidP="00BB4BB2">
      <w:pPr>
        <w:pStyle w:val="BodyText"/>
      </w:pPr>
    </w:p>
    <w:p w:rsidR="00000000" w:rsidRPr="00BB4BB2" w:rsidP="00BB4BB2">
      <w:pPr>
        <w:pStyle w:val="BodyText"/>
      </w:pPr>
      <w:r w:rsidRPr="00BB4BB2">
        <w:t xml:space="preserve">the key inclusions for contractor briefing or specification documents.  </w:t>
      </w:r>
    </w:p>
    <w:p w:rsidR="00000000" w:rsidRPr="00BB4BB2" w:rsidP="00BB4BB2">
      <w:pPr>
        <w:pStyle w:val="BodyText"/>
      </w:pPr>
      <w:r w:rsidRPr="00BB4BB2">
        <w:rPr>
          <w:rStyle w:val="SpecialBold"/>
        </w:rPr>
        <w:t>Linkages to Other Units</w:t>
      </w:r>
    </w:p>
    <w:p w:rsidR="00000000" w:rsidRPr="00BB4BB2" w:rsidP="00BB4BB2">
      <w:pPr>
        <w:pStyle w:val="BodyText"/>
      </w:pPr>
      <w:r w:rsidRPr="00BB4BB2">
        <w:t>This unit has very strong linkages to other event management units and combined training and assessment is recommended with units such as:</w:t>
      </w:r>
    </w:p>
    <w:p w:rsidR="00000000" w:rsidRPr="00BB4BB2" w:rsidP="00BB4BB2">
      <w:pPr>
        <w:pStyle w:val="BodyText"/>
      </w:pPr>
      <w:r w:rsidRPr="00BB4BB2">
        <w:t>THTFME04A Develop an</w:t>
      </w:r>
      <w:r w:rsidRPr="00BB4BB2">
        <w:t xml:space="preserve"> event concept </w:t>
      </w:r>
    </w:p>
    <w:p w:rsidR="00000000" w:rsidRPr="00BB4BB2" w:rsidP="00BB4BB2">
      <w:pPr>
        <w:pStyle w:val="BodyText"/>
      </w:pPr>
      <w:r w:rsidRPr="00BB4BB2">
        <w:t>THTFME05A Select event venues and sites</w:t>
      </w:r>
    </w:p>
    <w:p w:rsidR="00000000" w:rsidRPr="00BB4BB2" w:rsidP="00BB4BB2">
      <w:pPr>
        <w:pStyle w:val="BodyText"/>
      </w:pPr>
      <w:r w:rsidRPr="00BB4BB2">
        <w:rPr>
          <w:rStyle w:val="SpecialBold"/>
        </w:rPr>
        <w:t>Critical Aspects of Assessment</w:t>
      </w:r>
    </w:p>
    <w:p w:rsidR="00000000" w:rsidRPr="00BB4BB2" w:rsidP="00BB4BB2">
      <w:pPr>
        <w:pStyle w:val="BodyText"/>
      </w:pPr>
      <w:r w:rsidRPr="00BB4BB2">
        <w:t>Evidence of the following is critical:</w:t>
      </w:r>
    </w:p>
    <w:p w:rsidR="00000000" w:rsidRPr="00BB4BB2" w:rsidP="00BB4BB2">
      <w:pPr>
        <w:pStyle w:val="BodyText"/>
      </w:pPr>
      <w:r w:rsidRPr="00BB4BB2">
        <w:t xml:space="preserve">general knowledge of all event staging services and terminology as detailed under Essential Skills and Knowledge </w:t>
      </w:r>
    </w:p>
    <w:p w:rsidR="00000000" w:rsidRPr="00BB4BB2" w:rsidP="00BB4BB2">
      <w:pPr>
        <w:pStyle w:val="BodyText"/>
      </w:pPr>
      <w:r w:rsidRPr="00BB4BB2">
        <w:t>ability to organ</w:t>
      </w:r>
      <w:r w:rsidRPr="00BB4BB2">
        <w:t>ise and co-ordinate multiple contractors as part of the overall event management process.</w:t>
      </w:r>
    </w:p>
    <w:p w:rsidR="00000000" w:rsidRPr="00BB4BB2" w:rsidP="00BB4BB2">
      <w:pPr>
        <w:pStyle w:val="BodyText"/>
      </w:pPr>
      <w:r w:rsidRPr="00BB4BB2">
        <w:rPr>
          <w:rStyle w:val="SpecialBold"/>
        </w:rPr>
        <w:t>Context of Assessment and Resource Implications</w:t>
      </w:r>
    </w:p>
    <w:p w:rsidR="00000000" w:rsidRPr="00BB4BB2" w:rsidP="00BB4BB2">
      <w:pPr>
        <w:pStyle w:val="BodyText"/>
      </w:pPr>
      <w:r w:rsidRPr="00BB4BB2">
        <w:t>Assessment must ensure:</w:t>
      </w:r>
    </w:p>
    <w:p w:rsidR="00000000" w:rsidRPr="00BB4BB2" w:rsidP="00BB4BB2">
      <w:pPr>
        <w:pStyle w:val="BodyText"/>
      </w:pPr>
      <w:r w:rsidRPr="00BB4BB2">
        <w:t xml:space="preserve">management of the staging of an indoor event comprising multiple components  </w:t>
      </w:r>
    </w:p>
    <w:p w:rsidR="00000000" w:rsidRPr="00BB4BB2" w:rsidP="00BB4BB2">
      <w:pPr>
        <w:pStyle w:val="BodyText"/>
      </w:pPr>
      <w:r w:rsidRPr="00BB4BB2">
        <w:t>access to venues</w:t>
      </w:r>
      <w:r w:rsidRPr="00BB4BB2">
        <w:t xml:space="preserve"> for staging of an indoor event </w:t>
      </w:r>
    </w:p>
    <w:p w:rsidR="00000000" w:rsidRPr="00BB4BB2" w:rsidP="00BB4BB2">
      <w:pPr>
        <w:pStyle w:val="BodyText"/>
      </w:pPr>
      <w:r w:rsidRPr="00BB4BB2">
        <w:t xml:space="preserve">access to all equipment required for the staging of an event </w:t>
      </w:r>
    </w:p>
    <w:p w:rsidR="00000000" w:rsidRPr="00BB4BB2" w:rsidP="00BB4BB2">
      <w:pPr>
        <w:pStyle w:val="BodyText"/>
      </w:pPr>
      <w:r w:rsidRPr="00BB4BB2">
        <w:t>liaison with and involvement of multiple contractors.</w:t>
      </w:r>
    </w:p>
    <w:p w:rsidR="00000000" w:rsidRPr="00BB4BB2" w:rsidP="00BB4BB2">
      <w:pPr>
        <w:pStyle w:val="BodyText"/>
      </w:pPr>
      <w:r w:rsidRPr="00BB4BB2">
        <w:rPr>
          <w:rStyle w:val="SpecialBold"/>
        </w:rPr>
        <w:t>Assessment Methods</w:t>
      </w:r>
    </w:p>
    <w:p w:rsidR="00000000" w:rsidRPr="00BB4BB2" w:rsidP="00BB4BB2">
      <w:pPr>
        <w:pStyle w:val="BodyText"/>
      </w:pPr>
      <w:r w:rsidRPr="00BB4BB2">
        <w:t>Assessment methods must be chosen to ensure that the ability to manage the staging of an</w:t>
      </w:r>
      <w:r w:rsidRPr="00BB4BB2">
        <w:t xml:space="preserve"> event can be practically demonstrated.  Methods must include assessment of knowledge as well as assessment of practical skills.</w:t>
      </w:r>
    </w:p>
    <w:p w:rsidR="00000000" w:rsidRPr="00BB4BB2" w:rsidP="00BB4BB2">
      <w:pPr>
        <w:pStyle w:val="BodyText"/>
      </w:pPr>
      <w:r w:rsidRPr="00BB4BB2">
        <w:t>The following examples are appropriate for this unit:</w:t>
      </w:r>
    </w:p>
    <w:p w:rsidR="00000000" w:rsidRPr="00BB4BB2" w:rsidP="00BB4BB2">
      <w:pPr>
        <w:pStyle w:val="BodyText"/>
      </w:pPr>
      <w:r w:rsidRPr="00BB4BB2">
        <w:t>evaluation of the staging at an event managed by the candidate through at</w:t>
      </w:r>
      <w:r w:rsidRPr="00BB4BB2">
        <w:t xml:space="preserve">tendance at the event </w:t>
      </w:r>
    </w:p>
    <w:p w:rsidR="00000000" w:rsidRPr="00BB4BB2" w:rsidP="00BB4BB2">
      <w:pPr>
        <w:pStyle w:val="BodyText"/>
      </w:pPr>
      <w:r w:rsidRPr="00BB4BB2">
        <w:t xml:space="preserve">review of documentation used to manage contractors prepared by the candidate </w:t>
      </w:r>
    </w:p>
    <w:p w:rsidR="00000000" w:rsidRPr="00BB4BB2" w:rsidP="00BB4BB2">
      <w:pPr>
        <w:pStyle w:val="BodyText"/>
      </w:pPr>
      <w:r w:rsidRPr="00BB4BB2">
        <w:t xml:space="preserve">questioning of contractors to assess the organisational skills of the candidate </w:t>
      </w:r>
    </w:p>
    <w:p w:rsidR="00000000" w:rsidRPr="00BB4BB2" w:rsidP="00BB4BB2">
      <w:pPr>
        <w:pStyle w:val="BodyText"/>
      </w:pPr>
      <w:r w:rsidRPr="00BB4BB2">
        <w:t>case studies to assess ability to determine staging requirements for diffe</w:t>
      </w:r>
      <w:r w:rsidRPr="00BB4BB2">
        <w:t xml:space="preserve">rent events </w:t>
      </w:r>
    </w:p>
    <w:p w:rsidR="00000000" w:rsidRPr="00BB4BB2" w:rsidP="00BB4BB2">
      <w:pPr>
        <w:pStyle w:val="BodyText"/>
      </w:pPr>
      <w:r w:rsidRPr="00BB4BB2">
        <w:t xml:space="preserve">oral or written questions to assess knowledge of key staging services and relevant terminology </w:t>
      </w:r>
    </w:p>
    <w:p w:rsidR="00000000" w:rsidRPr="00BB4BB2" w:rsidP="00BB4BB2">
      <w:pPr>
        <w:pStyle w:val="BodyText"/>
      </w:pPr>
      <w:r w:rsidRPr="00BB4BB2">
        <w:t>review of portfolios of evidence and third party workplace reports of on-the-job performance by the candidate.</w:t>
      </w:r>
    </w:p>
    <w:p w:rsidR="00000000" w:rsidRPr="00BB4BB2" w:rsidP="00BB4BB2">
      <w:pPr>
        <w:pStyle w:val="BodyText"/>
      </w:pPr>
      <w:r w:rsidRPr="00BB4BB2">
        <w:rPr>
          <w:rStyle w:val="SpecialBold"/>
        </w:rPr>
        <w:t>Key Competencies in this Unit</w:t>
      </w:r>
    </w:p>
    <w:p w:rsidR="00000000" w:rsidRPr="00BB4BB2" w:rsidP="00BB4BB2">
      <w:pPr>
        <w:pStyle w:val="BodyText"/>
      </w:pPr>
      <w:r w:rsidRPr="00BB4BB2">
        <w:t>Key Competencies are an integral part of all workplace competencies.  The table below describes those applicable to this unit.  Trainers and assessors should ensure that they are addressed in training and assessment.</w:t>
      </w:r>
    </w:p>
    <w:p w:rsidR="00000000" w:rsidRPr="00BB4BB2" w:rsidP="00BB4BB2">
      <w:pPr>
        <w:pStyle w:val="BodyText"/>
      </w:pPr>
      <w:r w:rsidRPr="00BB4BB2">
        <w:t>Level 1 = Perform     Level 2 = Adminis</w:t>
      </w:r>
      <w:r w:rsidRPr="00BB4BB2">
        <w:t>ter and Manage     Level 3 = Design and Evaluate</w:t>
      </w:r>
    </w:p>
    <w:p w:rsidR="00000000" w:rsidRPr="00BB4BB2" w:rsidP="00BB4BB2">
      <w:pPr>
        <w:pStyle w:val="BodyText"/>
      </w:pPr>
      <w:r w:rsidRPr="00BB4BB2">
        <w:rPr>
          <w:rStyle w:val="SpecialBold"/>
        </w:rPr>
        <w:t>Key Competencies</w:t>
      </w:r>
    </w:p>
    <w:p w:rsidR="00000000" w:rsidRPr="00BB4BB2" w:rsidP="00BB4BB2">
      <w:pPr>
        <w:pStyle w:val="BodyText"/>
      </w:pPr>
      <w:r w:rsidRPr="00BB4BB2">
        <w:rPr>
          <w:rStyle w:val="SpecialBold"/>
        </w:rPr>
        <w:t>Collecting</w:t>
      </w:r>
      <w:r w:rsidRPr="00BB4BB2">
        <w:t xml:space="preserve">, </w:t>
      </w:r>
      <w:r w:rsidRPr="00BB4BB2">
        <w:rPr>
          <w:rStyle w:val="SpecialBold"/>
        </w:rPr>
        <w:t>Organising and Analysing Information</w:t>
      </w:r>
    </w:p>
    <w:p w:rsidR="00000000" w:rsidRPr="00BB4BB2" w:rsidP="00BB4BB2">
      <w:pPr>
        <w:pStyle w:val="BodyText"/>
      </w:pPr>
      <w:r w:rsidRPr="00BB4BB2">
        <w:t>For example:</w:t>
      </w:r>
    </w:p>
    <w:p w:rsidR="00000000" w:rsidRPr="00BB4BB2" w:rsidP="00BB4BB2">
      <w:pPr>
        <w:pStyle w:val="BodyText"/>
      </w:pPr>
      <w:r w:rsidRPr="00BB4BB2">
        <w:t>Assessing competitive quotes from staging suppliers  (3)</w:t>
      </w:r>
    </w:p>
    <w:p w:rsidR="00000000" w:rsidRPr="00BB4BB2" w:rsidP="00BB4BB2">
      <w:pPr>
        <w:pStyle w:val="BodyText"/>
      </w:pPr>
      <w:r w:rsidRPr="00BB4BB2">
        <w:rPr>
          <w:rStyle w:val="SpecialBold"/>
        </w:rPr>
        <w:t>Communicating Ideas and Information</w:t>
      </w:r>
    </w:p>
    <w:p w:rsidR="00000000" w:rsidRPr="00BB4BB2" w:rsidP="00BB4BB2">
      <w:pPr>
        <w:pStyle w:val="BodyText"/>
      </w:pPr>
      <w:r w:rsidRPr="00BB4BB2">
        <w:t>For example:</w:t>
      </w:r>
    </w:p>
    <w:p w:rsidR="00000000" w:rsidRPr="00BB4BB2" w:rsidP="00BB4BB2">
      <w:pPr>
        <w:pStyle w:val="BodyText"/>
      </w:pPr>
      <w:r w:rsidRPr="00BB4BB2">
        <w:t>Developing a tender br</w:t>
      </w:r>
      <w:r w:rsidRPr="00BB4BB2">
        <w:t>ief for staging suppliers  (3)</w:t>
      </w:r>
    </w:p>
    <w:p w:rsidR="00000000" w:rsidRPr="00BB4BB2" w:rsidP="00BB4BB2">
      <w:pPr>
        <w:pStyle w:val="BodyText"/>
      </w:pPr>
      <w:r w:rsidRPr="00BB4BB2">
        <w:rPr>
          <w:rStyle w:val="SpecialBold"/>
        </w:rPr>
        <w:t>Planning and Organising Activities</w:t>
      </w:r>
    </w:p>
    <w:p w:rsidR="00000000" w:rsidRPr="00BB4BB2" w:rsidP="00BB4BB2">
      <w:pPr>
        <w:pStyle w:val="BodyText"/>
      </w:pPr>
      <w:r w:rsidRPr="00BB4BB2">
        <w:t>For example:</w:t>
      </w:r>
    </w:p>
    <w:p w:rsidR="00000000" w:rsidRPr="00BB4BB2" w:rsidP="00BB4BB2">
      <w:pPr>
        <w:pStyle w:val="BodyText"/>
      </w:pPr>
      <w:r w:rsidRPr="00BB4BB2">
        <w:t>Appointing and managing multiple suppliers before, during and after an event  (3)</w:t>
      </w:r>
    </w:p>
    <w:p w:rsidR="00000000" w:rsidRPr="00BB4BB2" w:rsidP="00BB4BB2">
      <w:pPr>
        <w:pStyle w:val="BodyText"/>
      </w:pPr>
      <w:r w:rsidRPr="00BB4BB2">
        <w:rPr>
          <w:rStyle w:val="SpecialBold"/>
        </w:rPr>
        <w:t>Working with Others and in Teams</w:t>
      </w:r>
    </w:p>
    <w:p w:rsidR="00000000" w:rsidRPr="00BB4BB2" w:rsidP="00BB4BB2">
      <w:pPr>
        <w:pStyle w:val="BodyText"/>
      </w:pPr>
      <w:r w:rsidRPr="00BB4BB2">
        <w:t>For example:</w:t>
      </w:r>
    </w:p>
    <w:p w:rsidR="00000000" w:rsidRPr="00BB4BB2" w:rsidP="00BB4BB2">
      <w:pPr>
        <w:pStyle w:val="BodyText"/>
      </w:pPr>
      <w:r w:rsidRPr="00BB4BB2">
        <w:t>Negotiating with suppliers on changing requiremen</w:t>
      </w:r>
      <w:r w:rsidRPr="00BB4BB2">
        <w:t>ts  (3)</w:t>
      </w:r>
    </w:p>
    <w:p w:rsidR="00000000" w:rsidRPr="00BB4BB2" w:rsidP="00BB4BB2">
      <w:pPr>
        <w:pStyle w:val="BodyText"/>
      </w:pPr>
      <w:r w:rsidRPr="00BB4BB2">
        <w:rPr>
          <w:rStyle w:val="SpecialBold"/>
        </w:rPr>
        <w:t>Using Mathematical Ideas and Techniques</w:t>
      </w:r>
    </w:p>
    <w:p w:rsidR="00000000" w:rsidRPr="00BB4BB2" w:rsidP="00BB4BB2">
      <w:pPr>
        <w:pStyle w:val="BodyText"/>
      </w:pPr>
      <w:r w:rsidRPr="00BB4BB2">
        <w:t>For example:</w:t>
      </w:r>
    </w:p>
    <w:p w:rsidR="00000000" w:rsidRPr="00BB4BB2" w:rsidP="00BB4BB2">
      <w:pPr>
        <w:pStyle w:val="BodyText"/>
      </w:pPr>
      <w:r w:rsidRPr="00BB4BB2">
        <w:t>Calculating numbers of exhibition panels required for a trade show  (1)</w:t>
      </w:r>
    </w:p>
    <w:p w:rsidR="00000000" w:rsidRPr="00BB4BB2" w:rsidP="00BB4BB2">
      <w:pPr>
        <w:pStyle w:val="BodyText"/>
      </w:pPr>
      <w:r w:rsidRPr="00BB4BB2">
        <w:rPr>
          <w:rStyle w:val="SpecialBold"/>
        </w:rPr>
        <w:t>Solving Problems</w:t>
      </w:r>
    </w:p>
    <w:p w:rsidR="00000000" w:rsidRPr="00BB4BB2" w:rsidP="00BB4BB2">
      <w:pPr>
        <w:pStyle w:val="BodyText"/>
      </w:pPr>
      <w:r w:rsidRPr="00BB4BB2">
        <w:t>For example:</w:t>
      </w:r>
    </w:p>
    <w:p w:rsidR="00000000" w:rsidRPr="00BB4BB2" w:rsidP="00BB4BB2">
      <w:pPr>
        <w:pStyle w:val="BodyText"/>
      </w:pPr>
      <w:r w:rsidRPr="00BB4BB2">
        <w:t>Negotiating with a supplier who is failing to meet contract obligations  (3)</w:t>
      </w:r>
    </w:p>
    <w:p w:rsidR="00000000" w:rsidRPr="00BB4BB2" w:rsidP="00BB4BB2">
      <w:pPr>
        <w:pStyle w:val="BodyText"/>
      </w:pPr>
      <w:r w:rsidRPr="00BB4BB2">
        <w:rPr>
          <w:rStyle w:val="SpecialBold"/>
        </w:rPr>
        <w:t>Using Technology</w:t>
      </w:r>
    </w:p>
    <w:p w:rsidR="00000000" w:rsidRPr="00BB4BB2" w:rsidP="00BB4BB2">
      <w:pPr>
        <w:pStyle w:val="BodyText"/>
      </w:pPr>
      <w:r w:rsidRPr="00BB4BB2">
        <w:t>For example:</w:t>
      </w:r>
    </w:p>
    <w:p w:rsidR="00000000" w:rsidRPr="00BB4BB2" w:rsidP="00BB4BB2">
      <w:pPr>
        <w:pStyle w:val="BodyText"/>
      </w:pPr>
      <w:r w:rsidRPr="00BB4BB2">
        <w:t>Using a computerised system to create different staging scenarios  (1)</w:t>
      </w:r>
    </w:p>
    <w:p w:rsidR="00000000" w:rsidRPr="00BB4BB2" w:rsidP="00BB4BB2">
      <w:pPr>
        <w:pStyle w:val="BodyText"/>
      </w:pPr>
      <w:r w:rsidRPr="00BB4BB2">
        <w:rPr>
          <w:rStyle w:val="SpecialBold"/>
        </w:rPr>
        <w:t>Essential Knowledge and Skills to be Assessed</w:t>
      </w:r>
    </w:p>
    <w:p w:rsidR="00000000" w:rsidRPr="00BB4BB2" w:rsidP="00BB4BB2">
      <w:pPr>
        <w:pStyle w:val="BodyText"/>
      </w:pPr>
      <w:r w:rsidRPr="00BB4BB2">
        <w:t>The following knowledge and skills must be assessed as part of this unit:</w:t>
      </w:r>
    </w:p>
    <w:p w:rsidR="00000000" w:rsidRPr="00BB4BB2" w:rsidP="00BB4BB2">
      <w:pPr>
        <w:pStyle w:val="BodyText"/>
      </w:pPr>
      <w:r w:rsidRPr="00BB4BB2">
        <w:t>roles and responsibilities of organisations involve</w:t>
      </w:r>
      <w:r w:rsidRPr="00BB4BB2">
        <w:t xml:space="preserve">d in event staging  </w:t>
      </w:r>
    </w:p>
    <w:p w:rsidR="00000000" w:rsidRPr="00BB4BB2" w:rsidP="00BB4BB2">
      <w:pPr>
        <w:pStyle w:val="BodyText"/>
      </w:pPr>
      <w:r w:rsidRPr="00BB4BB2">
        <w:t xml:space="preserve">suppliers of staging services and sources of information on staging services </w:t>
      </w:r>
    </w:p>
    <w:p w:rsidR="00000000" w:rsidRPr="00BB4BB2" w:rsidP="00BB4BB2">
      <w:pPr>
        <w:pStyle w:val="BodyText"/>
      </w:pPr>
      <w:r w:rsidRPr="00BB4BB2">
        <w:t xml:space="preserve">risk management issues to be considered for key areas of event staging </w:t>
      </w:r>
    </w:p>
    <w:p w:rsidR="00000000" w:rsidRPr="00BB4BB2" w:rsidP="00BB4BB2">
      <w:pPr>
        <w:pStyle w:val="BodyText"/>
      </w:pPr>
      <w:r w:rsidRPr="00BB4BB2">
        <w:t xml:space="preserve">knowledge of terminology, services and key technology in key areas of staging including:   </w:t>
      </w:r>
    </w:p>
    <w:p w:rsidR="00000000" w:rsidRPr="00BB4BB2" w:rsidP="00BB4BB2">
      <w:pPr>
        <w:pStyle w:val="BodyText"/>
      </w:pPr>
      <w:r w:rsidRPr="00BB4BB2">
        <w:t xml:space="preserve">catering   </w:t>
      </w:r>
    </w:p>
    <w:p w:rsidR="00000000" w:rsidRPr="00BB4BB2" w:rsidP="00BB4BB2">
      <w:pPr>
        <w:pStyle w:val="BodyText"/>
      </w:pPr>
      <w:r w:rsidRPr="00BB4BB2">
        <w:t xml:space="preserve">venue decoration   </w:t>
      </w:r>
    </w:p>
    <w:p w:rsidR="00000000" w:rsidRPr="00BB4BB2" w:rsidP="00BB4BB2">
      <w:pPr>
        <w:pStyle w:val="BodyText"/>
      </w:pPr>
      <w:r w:rsidRPr="00BB4BB2">
        <w:t xml:space="preserve">audio-visual options   </w:t>
      </w:r>
    </w:p>
    <w:p w:rsidR="00000000" w:rsidRPr="00BB4BB2" w:rsidP="00BB4BB2">
      <w:pPr>
        <w:pStyle w:val="BodyText"/>
      </w:pPr>
      <w:r w:rsidRPr="00BB4BB2">
        <w:t xml:space="preserve">sound amplification   </w:t>
      </w:r>
    </w:p>
    <w:p w:rsidR="00000000" w:rsidRPr="00BB4BB2" w:rsidP="00BB4BB2">
      <w:pPr>
        <w:pStyle w:val="BodyText"/>
      </w:pPr>
      <w:r w:rsidRPr="00BB4BB2">
        <w:t xml:space="preserve">lighting   </w:t>
      </w:r>
    </w:p>
    <w:p w:rsidR="00000000" w:rsidRPr="00BB4BB2" w:rsidP="00BB4BB2">
      <w:pPr>
        <w:pStyle w:val="BodyText"/>
      </w:pPr>
      <w:r w:rsidRPr="00BB4BB2">
        <w:t xml:space="preserve">rigging   </w:t>
      </w:r>
    </w:p>
    <w:p w:rsidR="00000000" w:rsidRPr="00BB4BB2" w:rsidP="00BB4BB2">
      <w:pPr>
        <w:pStyle w:val="BodyText"/>
      </w:pPr>
      <w:r w:rsidRPr="00BB4BB2">
        <w:t xml:space="preserve">live entertainment   </w:t>
      </w:r>
    </w:p>
    <w:p w:rsidR="00000000" w:rsidRPr="00BB4BB2" w:rsidP="00BB4BB2">
      <w:pPr>
        <w:pStyle w:val="BodyText"/>
      </w:pPr>
      <w:r w:rsidRPr="00BB4BB2">
        <w:t xml:space="preserve">registration areas   </w:t>
      </w:r>
    </w:p>
    <w:p w:rsidR="00000000" w:rsidRPr="00BB4BB2" w:rsidP="00BB4BB2">
      <w:pPr>
        <w:pStyle w:val="BodyText"/>
      </w:pPr>
      <w:r w:rsidRPr="00BB4BB2">
        <w:t xml:space="preserve">display   </w:t>
      </w:r>
    </w:p>
    <w:p w:rsidR="00000000" w:rsidRPr="00BB4BB2" w:rsidP="00BB4BB2">
      <w:pPr>
        <w:pStyle w:val="BodyText"/>
      </w:pPr>
      <w:r w:rsidRPr="00BB4BB2">
        <w:t>securit</w:t>
      </w:r>
      <w:r w:rsidRPr="00BB4BB2">
        <w:t xml:space="preserve">y   </w:t>
      </w:r>
    </w:p>
    <w:p w:rsidR="00000000" w:rsidRPr="00BB4BB2" w:rsidP="00BB4BB2">
      <w:pPr>
        <w:pStyle w:val="BodyText"/>
      </w:pPr>
      <w:r w:rsidRPr="00BB4BB2">
        <w:t xml:space="preserve">electronic media coverage of events   </w:t>
      </w:r>
    </w:p>
    <w:p w:rsidR="00000000" w:rsidRPr="00BB4BB2" w:rsidP="00BB4BB2">
      <w:pPr>
        <w:pStyle w:val="BodyText"/>
      </w:pPr>
      <w:r w:rsidRPr="00BB4BB2">
        <w:t>safety equipment.</w:t>
      </w:r>
    </w:p>
    <w:p w:rsidR="00000000" w:rsidRPr="00BB4BB2" w:rsidP="00BB4BB2">
      <w:pPr>
        <w:pStyle w:val="BodyText"/>
      </w:pPr>
    </w:p>
    <w:p w:rsidR="00000000" w:rsidRPr="00BB4BB2" w:rsidP="00BB4BB2">
      <w:pPr>
        <w:pStyle w:val="BodyText"/>
      </w:pPr>
      <w:r w:rsidRPr="00BB4BB2">
        <w:t xml:space="preserve">the key inclusions for contractor briefing or specification documents.  </w:t>
      </w:r>
    </w:p>
    <w:p w:rsidR="00000000" w:rsidRPr="00BB4BB2" w:rsidP="00BB4BB2">
      <w:pPr>
        <w:pStyle w:val="BodyText"/>
      </w:pPr>
      <w:r w:rsidRPr="00BB4BB2">
        <w:rPr>
          <w:rStyle w:val="SpecialBold"/>
        </w:rPr>
        <w:t>Linkages to Other Units</w:t>
      </w:r>
    </w:p>
    <w:p w:rsidR="00000000" w:rsidRPr="00BB4BB2" w:rsidP="00BB4BB2">
      <w:pPr>
        <w:pStyle w:val="BodyText"/>
      </w:pPr>
      <w:r w:rsidRPr="00BB4BB2">
        <w:t>This unit has very strong linkages to other event management units and combined training and ass</w:t>
      </w:r>
      <w:r w:rsidRPr="00BB4BB2">
        <w:t>essment is recommended with units such as:</w:t>
      </w:r>
    </w:p>
    <w:p w:rsidR="00000000" w:rsidRPr="00BB4BB2" w:rsidP="00BB4BB2">
      <w:pPr>
        <w:pStyle w:val="BodyText"/>
      </w:pPr>
      <w:r w:rsidRPr="00BB4BB2">
        <w:t xml:space="preserve">THTFME04A Develop an event concept </w:t>
      </w:r>
    </w:p>
    <w:p w:rsidR="00000000" w:rsidRPr="00BB4BB2" w:rsidP="00BB4BB2">
      <w:pPr>
        <w:pStyle w:val="BodyText"/>
      </w:pPr>
      <w:r w:rsidRPr="00BB4BB2">
        <w:t>THTFME05A Select event venues and sites</w:t>
      </w:r>
    </w:p>
    <w:p w:rsidR="00000000" w:rsidRPr="00BB4BB2" w:rsidP="00BB4BB2">
      <w:pPr>
        <w:pStyle w:val="BodyText"/>
      </w:pPr>
      <w:r w:rsidRPr="00BB4BB2">
        <w:rPr>
          <w:rStyle w:val="SpecialBold"/>
        </w:rPr>
        <w:t>Critical Aspects of Assessment</w:t>
      </w:r>
    </w:p>
    <w:p w:rsidR="00000000" w:rsidRPr="00BB4BB2" w:rsidP="00BB4BB2">
      <w:pPr>
        <w:pStyle w:val="BodyText"/>
      </w:pPr>
      <w:r w:rsidRPr="00BB4BB2">
        <w:t>Evidence of the following is critical:</w:t>
      </w:r>
    </w:p>
    <w:p w:rsidR="00000000" w:rsidRPr="00BB4BB2" w:rsidP="00BB4BB2">
      <w:pPr>
        <w:pStyle w:val="BodyText"/>
      </w:pPr>
      <w:r w:rsidRPr="00BB4BB2">
        <w:t xml:space="preserve">general knowledge of all event staging services and terminology as </w:t>
      </w:r>
      <w:r w:rsidRPr="00BB4BB2">
        <w:t xml:space="preserve">detailed under Essential Skills and Knowledge </w:t>
      </w:r>
    </w:p>
    <w:p w:rsidR="00000000" w:rsidRPr="00BB4BB2" w:rsidP="00BB4BB2">
      <w:pPr>
        <w:pStyle w:val="BodyText"/>
      </w:pPr>
      <w:r w:rsidRPr="00BB4BB2">
        <w:t>ability to organise and co-ordinate multiple contractors as part of the overall event management process.</w:t>
      </w:r>
    </w:p>
    <w:p w:rsidR="00000000" w:rsidRPr="00BB4BB2" w:rsidP="00BB4BB2">
      <w:pPr>
        <w:pStyle w:val="BodyText"/>
      </w:pPr>
      <w:r w:rsidRPr="00BB4BB2">
        <w:rPr>
          <w:rStyle w:val="SpecialBold"/>
        </w:rPr>
        <w:t>Context of Assessment and Resource Implications</w:t>
      </w:r>
    </w:p>
    <w:p w:rsidR="00000000" w:rsidRPr="00BB4BB2" w:rsidP="00BB4BB2">
      <w:pPr>
        <w:pStyle w:val="BodyText"/>
      </w:pPr>
      <w:r w:rsidRPr="00BB4BB2">
        <w:t>Assessment must ensure:</w:t>
      </w:r>
    </w:p>
    <w:p w:rsidR="00000000" w:rsidRPr="00BB4BB2" w:rsidP="00BB4BB2">
      <w:pPr>
        <w:pStyle w:val="BodyText"/>
      </w:pPr>
      <w:r w:rsidRPr="00BB4BB2">
        <w:t>management of the staging of an</w:t>
      </w:r>
      <w:r w:rsidRPr="00BB4BB2">
        <w:t xml:space="preserve"> indoor event comprising multiple components  </w:t>
      </w:r>
    </w:p>
    <w:p w:rsidR="00000000" w:rsidRPr="00BB4BB2" w:rsidP="00BB4BB2">
      <w:pPr>
        <w:pStyle w:val="BodyText"/>
      </w:pPr>
      <w:r w:rsidRPr="00BB4BB2">
        <w:t xml:space="preserve">access to venues for staging of an indoor event </w:t>
      </w:r>
    </w:p>
    <w:p w:rsidR="00000000" w:rsidRPr="00BB4BB2" w:rsidP="00BB4BB2">
      <w:pPr>
        <w:pStyle w:val="BodyText"/>
      </w:pPr>
      <w:r w:rsidRPr="00BB4BB2">
        <w:t xml:space="preserve">access to all equipment required for the staging of an event </w:t>
      </w:r>
    </w:p>
    <w:p w:rsidR="00000000" w:rsidRPr="00BB4BB2" w:rsidP="00BB4BB2">
      <w:pPr>
        <w:pStyle w:val="BodyText"/>
      </w:pPr>
      <w:r w:rsidRPr="00BB4BB2">
        <w:t>liaison with and involvement of multiple contractors.</w:t>
      </w:r>
    </w:p>
    <w:p w:rsidR="00000000" w:rsidRPr="00BB4BB2" w:rsidP="00BB4BB2">
      <w:pPr>
        <w:pStyle w:val="BodyText"/>
      </w:pPr>
      <w:r w:rsidRPr="00BB4BB2">
        <w:rPr>
          <w:rStyle w:val="SpecialBold"/>
        </w:rPr>
        <w:t>Assessment Methods</w:t>
      </w:r>
    </w:p>
    <w:p w:rsidR="00000000" w:rsidRPr="00BB4BB2" w:rsidP="00BB4BB2">
      <w:pPr>
        <w:pStyle w:val="BodyText"/>
      </w:pPr>
      <w:r w:rsidRPr="00BB4BB2">
        <w:t>Assessment methods must be chosen to ensure that the ability to manage the staging of an event can be practically demonstrated.  Methods must include assessment of knowledge as well as assessment of practical skills.</w:t>
      </w:r>
    </w:p>
    <w:p w:rsidR="00000000" w:rsidRPr="00BB4BB2" w:rsidP="00BB4BB2">
      <w:pPr>
        <w:pStyle w:val="BodyText"/>
      </w:pPr>
      <w:r w:rsidRPr="00BB4BB2">
        <w:t xml:space="preserve">The following examples are appropriate </w:t>
      </w:r>
      <w:r w:rsidRPr="00BB4BB2">
        <w:t>for this unit:</w:t>
      </w:r>
    </w:p>
    <w:p w:rsidR="00000000" w:rsidRPr="00BB4BB2" w:rsidP="00BB4BB2">
      <w:pPr>
        <w:pStyle w:val="BodyText"/>
      </w:pPr>
      <w:r w:rsidRPr="00BB4BB2">
        <w:t xml:space="preserve">evaluation of the staging at an event managed by the candidate through attendance at the event </w:t>
      </w:r>
    </w:p>
    <w:p w:rsidR="00000000" w:rsidRPr="00BB4BB2" w:rsidP="00BB4BB2">
      <w:pPr>
        <w:pStyle w:val="BodyText"/>
      </w:pPr>
      <w:r w:rsidRPr="00BB4BB2">
        <w:t xml:space="preserve">review of documentation used to manage contractors prepared by the candidate </w:t>
      </w:r>
    </w:p>
    <w:p w:rsidR="00000000" w:rsidRPr="00BB4BB2" w:rsidP="00BB4BB2">
      <w:pPr>
        <w:pStyle w:val="BodyText"/>
      </w:pPr>
      <w:r w:rsidRPr="00BB4BB2">
        <w:t>questioning of contractors to assess the organisational skills of t</w:t>
      </w:r>
      <w:r w:rsidRPr="00BB4BB2">
        <w:t xml:space="preserve">he candidate </w:t>
      </w:r>
    </w:p>
    <w:p w:rsidR="00000000" w:rsidRPr="00BB4BB2" w:rsidP="00BB4BB2">
      <w:pPr>
        <w:pStyle w:val="BodyText"/>
      </w:pPr>
      <w:r w:rsidRPr="00BB4BB2">
        <w:t xml:space="preserve">case studies to assess ability to determine staging requirements for different events </w:t>
      </w:r>
    </w:p>
    <w:p w:rsidR="00000000" w:rsidRPr="00BB4BB2" w:rsidP="00BB4BB2">
      <w:pPr>
        <w:pStyle w:val="BodyText"/>
      </w:pPr>
      <w:r w:rsidRPr="00BB4BB2">
        <w:t xml:space="preserve">oral or written questions to assess knowledge of key staging services and relevant terminology </w:t>
      </w:r>
    </w:p>
    <w:p w:rsidR="00000000" w:rsidRPr="00BB4BB2" w:rsidP="00BB4BB2">
      <w:pPr>
        <w:pStyle w:val="BodyText"/>
      </w:pPr>
      <w:r w:rsidRPr="00BB4BB2">
        <w:t xml:space="preserve">review of portfolios of evidence and third party workplace </w:t>
      </w:r>
      <w:r w:rsidRPr="00BB4BB2">
        <w:t>reports of on-the-job performance by the candidate.</w:t>
      </w:r>
    </w:p>
    <w:p w:rsidR="00000000" w:rsidRPr="00BB4BB2" w:rsidP="00BB4BB2">
      <w:pPr>
        <w:pStyle w:val="BodyText"/>
      </w:pPr>
      <w:r w:rsidRPr="00BB4BB2">
        <w:rPr>
          <w:rStyle w:val="SpecialBold"/>
        </w:rPr>
        <w:t>Key Competencies in this Unit</w:t>
      </w:r>
    </w:p>
    <w:p w:rsidR="00000000" w:rsidRPr="00BB4BB2" w:rsidP="00BB4BB2">
      <w:pPr>
        <w:pStyle w:val="BodyText"/>
      </w:pPr>
      <w:r w:rsidRPr="00BB4BB2">
        <w:t>Key Competencies are an integral part of all workplace competencies.  The table below describes those applicable to this unit.  Trainers and assessors should ensure that they</w:t>
      </w:r>
      <w:r w:rsidRPr="00BB4BB2">
        <w:t xml:space="preserve"> are addressed in training and assessment.</w:t>
      </w:r>
    </w:p>
    <w:p w:rsidR="00000000" w:rsidRPr="00BB4BB2" w:rsidP="00BB4BB2">
      <w:pPr>
        <w:pStyle w:val="BodyText"/>
      </w:pPr>
      <w:r w:rsidRPr="00BB4BB2">
        <w:t>Level 1 = Perform     Level 2 = Administer and Manage     Level 3 = Design and Evaluate</w:t>
      </w:r>
    </w:p>
    <w:p w:rsidR="00000000" w:rsidRPr="00BB4BB2" w:rsidP="00BB4BB2">
      <w:pPr>
        <w:pStyle w:val="BodyText"/>
      </w:pPr>
      <w:r w:rsidRPr="00BB4BB2">
        <w:rPr>
          <w:rStyle w:val="SpecialBold"/>
        </w:rPr>
        <w:t>Key Competencies</w:t>
      </w:r>
    </w:p>
    <w:p w:rsidR="00000000" w:rsidRPr="00BB4BB2" w:rsidP="00BB4BB2">
      <w:pPr>
        <w:pStyle w:val="BodyText"/>
      </w:pPr>
      <w:r w:rsidRPr="00BB4BB2">
        <w:rPr>
          <w:rStyle w:val="SpecialBold"/>
        </w:rPr>
        <w:t>Collecting</w:t>
      </w:r>
      <w:r w:rsidRPr="00BB4BB2">
        <w:t xml:space="preserve">, </w:t>
      </w:r>
      <w:r w:rsidRPr="00BB4BB2">
        <w:rPr>
          <w:rStyle w:val="SpecialBold"/>
        </w:rPr>
        <w:t>Organising and Analysing Information</w:t>
      </w:r>
    </w:p>
    <w:p w:rsidR="00000000" w:rsidRPr="00BB4BB2" w:rsidP="00BB4BB2">
      <w:pPr>
        <w:pStyle w:val="BodyText"/>
      </w:pPr>
      <w:r w:rsidRPr="00BB4BB2">
        <w:t>For example:</w:t>
      </w:r>
    </w:p>
    <w:p w:rsidR="00000000" w:rsidRPr="00BB4BB2" w:rsidP="00BB4BB2">
      <w:pPr>
        <w:pStyle w:val="BodyText"/>
      </w:pPr>
      <w:r w:rsidRPr="00BB4BB2">
        <w:t>Assessing competitive quotes from staging supp</w:t>
      </w:r>
      <w:r w:rsidRPr="00BB4BB2">
        <w:t>liers  (3)</w:t>
      </w:r>
    </w:p>
    <w:p w:rsidR="00000000" w:rsidRPr="00BB4BB2" w:rsidP="00BB4BB2">
      <w:pPr>
        <w:pStyle w:val="BodyText"/>
      </w:pPr>
      <w:r w:rsidRPr="00BB4BB2">
        <w:rPr>
          <w:rStyle w:val="SpecialBold"/>
        </w:rPr>
        <w:t>Communicating Ideas and Information</w:t>
      </w:r>
    </w:p>
    <w:p w:rsidR="00000000" w:rsidRPr="00BB4BB2" w:rsidP="00BB4BB2">
      <w:pPr>
        <w:pStyle w:val="BodyText"/>
      </w:pPr>
      <w:r w:rsidRPr="00BB4BB2">
        <w:t>For example:</w:t>
      </w:r>
    </w:p>
    <w:p w:rsidR="00000000" w:rsidRPr="00BB4BB2" w:rsidP="00BB4BB2">
      <w:pPr>
        <w:pStyle w:val="BodyText"/>
      </w:pPr>
      <w:r w:rsidRPr="00BB4BB2">
        <w:t>Developing a tender brief for staging suppliers  (3)</w:t>
      </w:r>
    </w:p>
    <w:p w:rsidR="00000000" w:rsidRPr="00BB4BB2" w:rsidP="00BB4BB2">
      <w:pPr>
        <w:pStyle w:val="BodyText"/>
      </w:pPr>
      <w:r w:rsidRPr="00BB4BB2">
        <w:rPr>
          <w:rStyle w:val="SpecialBold"/>
        </w:rPr>
        <w:t>Planning and Organising Activities</w:t>
      </w:r>
    </w:p>
    <w:p w:rsidR="00000000" w:rsidRPr="00BB4BB2" w:rsidP="00BB4BB2">
      <w:pPr>
        <w:pStyle w:val="BodyText"/>
      </w:pPr>
      <w:r w:rsidRPr="00BB4BB2">
        <w:t>For example:</w:t>
      </w:r>
    </w:p>
    <w:p w:rsidR="00000000" w:rsidRPr="00BB4BB2" w:rsidP="00BB4BB2">
      <w:pPr>
        <w:pStyle w:val="BodyText"/>
      </w:pPr>
      <w:r w:rsidRPr="00BB4BB2">
        <w:t>Appointing and managing multiple suppliers before, during and after an event  (3)</w:t>
      </w:r>
    </w:p>
    <w:p w:rsidR="00000000" w:rsidRPr="00BB4BB2" w:rsidP="00BB4BB2">
      <w:pPr>
        <w:pStyle w:val="BodyText"/>
      </w:pPr>
      <w:r w:rsidRPr="00BB4BB2">
        <w:rPr>
          <w:rStyle w:val="SpecialBold"/>
        </w:rPr>
        <w:t xml:space="preserve">Working with </w:t>
      </w:r>
      <w:r w:rsidRPr="00BB4BB2">
        <w:rPr>
          <w:rStyle w:val="SpecialBold"/>
        </w:rPr>
        <w:t>Others and in Teams</w:t>
      </w:r>
    </w:p>
    <w:p w:rsidR="00000000" w:rsidRPr="00BB4BB2" w:rsidP="00BB4BB2">
      <w:pPr>
        <w:pStyle w:val="BodyText"/>
      </w:pPr>
      <w:r w:rsidRPr="00BB4BB2">
        <w:t>For example:</w:t>
      </w:r>
    </w:p>
    <w:p w:rsidR="00000000" w:rsidRPr="00BB4BB2" w:rsidP="00BB4BB2">
      <w:pPr>
        <w:pStyle w:val="BodyText"/>
      </w:pPr>
      <w:r w:rsidRPr="00BB4BB2">
        <w:t>Negotiating with suppliers on changing requirements  (3)</w:t>
      </w:r>
    </w:p>
    <w:p w:rsidR="00000000" w:rsidRPr="00BB4BB2" w:rsidP="00BB4BB2">
      <w:pPr>
        <w:pStyle w:val="BodyText"/>
      </w:pPr>
      <w:r w:rsidRPr="00BB4BB2">
        <w:rPr>
          <w:rStyle w:val="SpecialBold"/>
        </w:rPr>
        <w:t>Using Mathematical Ideas and Techniques</w:t>
      </w:r>
    </w:p>
    <w:p w:rsidR="00000000" w:rsidRPr="00BB4BB2" w:rsidP="00BB4BB2">
      <w:pPr>
        <w:pStyle w:val="BodyText"/>
      </w:pPr>
      <w:r w:rsidRPr="00BB4BB2">
        <w:t>For example:</w:t>
      </w:r>
    </w:p>
    <w:p w:rsidR="00000000" w:rsidRPr="00BB4BB2" w:rsidP="00BB4BB2">
      <w:pPr>
        <w:pStyle w:val="BodyText"/>
      </w:pPr>
      <w:r w:rsidRPr="00BB4BB2">
        <w:t>Calculating numbers of exhibition panels required for a trade show  (1)</w:t>
      </w:r>
    </w:p>
    <w:p w:rsidR="00000000" w:rsidRPr="00BB4BB2" w:rsidP="00BB4BB2">
      <w:pPr>
        <w:pStyle w:val="BodyText"/>
      </w:pPr>
      <w:r w:rsidRPr="00BB4BB2">
        <w:rPr>
          <w:rStyle w:val="SpecialBold"/>
        </w:rPr>
        <w:t>Solving Problems</w:t>
      </w:r>
    </w:p>
    <w:p w:rsidR="00000000" w:rsidRPr="00BB4BB2" w:rsidP="00BB4BB2">
      <w:pPr>
        <w:pStyle w:val="BodyText"/>
      </w:pPr>
      <w:r w:rsidRPr="00BB4BB2">
        <w:t>For example:</w:t>
      </w:r>
    </w:p>
    <w:p w:rsidR="00000000" w:rsidRPr="00BB4BB2" w:rsidP="00BB4BB2">
      <w:pPr>
        <w:pStyle w:val="BodyText"/>
      </w:pPr>
      <w:r w:rsidRPr="00BB4BB2">
        <w:t>Negotiating with a supplier who is failing to meet contract obligations  (3)</w:t>
      </w:r>
    </w:p>
    <w:p w:rsidR="00000000" w:rsidRPr="00BB4BB2" w:rsidP="00BB4BB2">
      <w:pPr>
        <w:pStyle w:val="BodyText"/>
      </w:pPr>
      <w:r w:rsidRPr="00BB4BB2">
        <w:rPr>
          <w:rStyle w:val="SpecialBold"/>
        </w:rPr>
        <w:t>Using Technology</w:t>
      </w:r>
    </w:p>
    <w:p w:rsidR="00000000" w:rsidRPr="00BB4BB2" w:rsidP="00BB4BB2">
      <w:pPr>
        <w:pStyle w:val="BodyText"/>
      </w:pPr>
      <w:r w:rsidRPr="00BB4BB2">
        <w:t>For example:</w:t>
      </w:r>
    </w:p>
    <w:p w:rsidR="00000000" w:rsidRPr="00BB4BB2" w:rsidP="00BB4BB2">
      <w:pPr>
        <w:pStyle w:val="BodyText"/>
      </w:pPr>
      <w:r w:rsidRPr="00BB4BB2">
        <w:t>Using a computerised system to create different staging scenarios  (1)</w:t>
      </w:r>
    </w:p>
    <w:p w:rsidR="00000000" w:rsidRPr="00BB4BB2" w:rsidP="00BB4BB2">
      <w:pPr>
        <w:pStyle w:val="AllowPageBreak"/>
      </w:pPr>
    </w:p>
    <w:p w:rsidR="00000000" w:rsidRPr="00BB4BB2" w:rsidP="00BB4BB2">
      <w:pPr>
        <w:pStyle w:val="Heading1"/>
      </w:pPr>
      <w:bookmarkStart w:id="11" w:name="O_326671"/>
      <w:bookmarkEnd w:id="11"/>
      <w:r w:rsidRPr="00BB4BB2">
        <w:t>Range Statement</w:t>
      </w:r>
    </w:p>
    <w:p w:rsidR="00000000" w:rsidRPr="00BB4BB2" w:rsidP="00BB4BB2">
      <w:pPr>
        <w:pStyle w:val="BodyText"/>
      </w:pPr>
      <w:r w:rsidRPr="00BB4BB2">
        <w:t xml:space="preserve">This unit applies to any enterprise involved </w:t>
      </w:r>
      <w:r w:rsidRPr="00BB4BB2">
        <w:t>in event management.  The following explanations identify how this unit may be applied in different workplaces, sectors and circumstances.</w:t>
      </w:r>
    </w:p>
    <w:p w:rsidR="00000000" w:rsidRPr="00BB4BB2" w:rsidP="00BB4BB2">
      <w:pPr>
        <w:pStyle w:val="BodyText"/>
      </w:pPr>
      <w:r w:rsidRPr="00BB4BB2">
        <w:rPr>
          <w:rStyle w:val="SpecialBold"/>
        </w:rPr>
        <w:t>A major event comprising multiple components must include</w:t>
      </w:r>
      <w:r w:rsidRPr="00BB4BB2">
        <w:t>:</w:t>
      </w:r>
    </w:p>
    <w:p w:rsidR="00000000" w:rsidRPr="00BB4BB2" w:rsidP="00BB4BB2">
      <w:pPr>
        <w:pStyle w:val="BodyText"/>
      </w:pPr>
      <w:r w:rsidRPr="00BB4BB2">
        <w:t xml:space="preserve">multiple contractors </w:t>
      </w:r>
    </w:p>
    <w:p w:rsidR="00000000" w:rsidRPr="00BB4BB2" w:rsidP="00BB4BB2">
      <w:pPr>
        <w:pStyle w:val="BodyText"/>
      </w:pPr>
      <w:r w:rsidRPr="00BB4BB2">
        <w:t>substantial catering (i.e. not simpl</w:t>
      </w:r>
      <w:r w:rsidRPr="00BB4BB2">
        <w:t xml:space="preserve">y an afternoon tea) </w:t>
      </w:r>
    </w:p>
    <w:p w:rsidR="00000000" w:rsidRPr="00BB4BB2" w:rsidP="00BB4BB2">
      <w:pPr>
        <w:pStyle w:val="BodyText"/>
      </w:pPr>
      <w:r w:rsidRPr="00BB4BB2">
        <w:t xml:space="preserve">multiple speakers, performers or exhibitors </w:t>
      </w:r>
    </w:p>
    <w:p w:rsidR="00000000" w:rsidRPr="00BB4BB2" w:rsidP="00BB4BB2">
      <w:pPr>
        <w:pStyle w:val="BodyText"/>
      </w:pPr>
      <w:r w:rsidRPr="00BB4BB2">
        <w:t>requirement for display, decoration or theming.</w:t>
      </w:r>
    </w:p>
    <w:p w:rsidR="00000000" w:rsidRPr="00BB4BB2" w:rsidP="00BB4BB2">
      <w:pPr>
        <w:pStyle w:val="BodyText"/>
      </w:pPr>
      <w:r w:rsidRPr="00BB4BB2">
        <w:rPr>
          <w:rStyle w:val="SpecialBold"/>
        </w:rPr>
        <w:t>Contractors may include</w:t>
      </w:r>
      <w:r w:rsidRPr="00BB4BB2">
        <w:t>:</w:t>
      </w:r>
    </w:p>
    <w:p w:rsidR="00000000" w:rsidRPr="00BB4BB2" w:rsidP="00BB4BB2">
      <w:pPr>
        <w:pStyle w:val="BodyText"/>
      </w:pPr>
      <w:r w:rsidRPr="00BB4BB2">
        <w:t xml:space="preserve">venues </w:t>
      </w:r>
    </w:p>
    <w:p w:rsidR="00000000" w:rsidRPr="00BB4BB2" w:rsidP="00BB4BB2">
      <w:pPr>
        <w:pStyle w:val="BodyText"/>
      </w:pPr>
      <w:r w:rsidRPr="00BB4BB2">
        <w:t xml:space="preserve">speakers </w:t>
      </w:r>
    </w:p>
    <w:p w:rsidR="00000000" w:rsidRPr="00BB4BB2" w:rsidP="00BB4BB2">
      <w:pPr>
        <w:pStyle w:val="BodyText"/>
      </w:pPr>
      <w:r w:rsidRPr="00BB4BB2">
        <w:t xml:space="preserve">staging and audio visual suppliers </w:t>
      </w:r>
    </w:p>
    <w:p w:rsidR="00000000" w:rsidRPr="00BB4BB2" w:rsidP="00BB4BB2">
      <w:pPr>
        <w:pStyle w:val="BodyText"/>
      </w:pPr>
      <w:r w:rsidRPr="00BB4BB2">
        <w:t xml:space="preserve">display suppliers </w:t>
      </w:r>
    </w:p>
    <w:p w:rsidR="00000000" w:rsidRPr="00BB4BB2" w:rsidP="00BB4BB2">
      <w:pPr>
        <w:pStyle w:val="BodyText"/>
      </w:pPr>
      <w:r w:rsidRPr="00BB4BB2">
        <w:t xml:space="preserve">caterers </w:t>
      </w:r>
    </w:p>
    <w:p w:rsidR="00000000" w:rsidRPr="00BB4BB2" w:rsidP="00BB4BB2">
      <w:pPr>
        <w:pStyle w:val="BodyText"/>
      </w:pPr>
      <w:r w:rsidRPr="00BB4BB2">
        <w:t xml:space="preserve">entertainers </w:t>
      </w:r>
    </w:p>
    <w:p w:rsidR="00000000" w:rsidRPr="00BB4BB2" w:rsidP="00BB4BB2">
      <w:pPr>
        <w:pStyle w:val="BodyText"/>
      </w:pPr>
      <w:r w:rsidRPr="00BB4BB2">
        <w:t>equipment hire compa</w:t>
      </w:r>
      <w:r w:rsidRPr="00BB4BB2">
        <w:t>nies.</w:t>
      </w:r>
    </w:p>
    <w:p w:rsidR="00000000" w:rsidRPr="00BB4BB2" w:rsidP="00BB4BB2">
      <w:pPr>
        <w:pStyle w:val="BodyText"/>
      </w:pPr>
      <w:r w:rsidRPr="00BB4BB2">
        <w:rPr>
          <w:rStyle w:val="SpecialBold"/>
        </w:rPr>
        <w:t>Staging elements or requirements may relate to</w:t>
      </w:r>
      <w:r w:rsidRPr="00BB4BB2">
        <w:t>:</w:t>
      </w:r>
    </w:p>
    <w:p w:rsidR="00000000" w:rsidRPr="00BB4BB2" w:rsidP="00BB4BB2">
      <w:pPr>
        <w:pStyle w:val="BodyText"/>
      </w:pPr>
      <w:r w:rsidRPr="00BB4BB2">
        <w:t xml:space="preserve">exhibition set-up </w:t>
      </w:r>
    </w:p>
    <w:p w:rsidR="00000000" w:rsidRPr="00BB4BB2" w:rsidP="00BB4BB2">
      <w:pPr>
        <w:pStyle w:val="BodyText"/>
      </w:pPr>
      <w:r w:rsidRPr="00BB4BB2">
        <w:t xml:space="preserve">audio-visual </w:t>
      </w:r>
    </w:p>
    <w:p w:rsidR="00000000" w:rsidRPr="00BB4BB2" w:rsidP="00BB4BB2">
      <w:pPr>
        <w:pStyle w:val="BodyText"/>
      </w:pPr>
      <w:r w:rsidRPr="00BB4BB2">
        <w:t xml:space="preserve">display and decoration </w:t>
      </w:r>
    </w:p>
    <w:p w:rsidR="00000000" w:rsidRPr="00BB4BB2" w:rsidP="00BB4BB2">
      <w:pPr>
        <w:pStyle w:val="BodyText"/>
      </w:pPr>
      <w:r w:rsidRPr="00BB4BB2">
        <w:t xml:space="preserve">furniture </w:t>
      </w:r>
    </w:p>
    <w:p w:rsidR="00000000" w:rsidRPr="00BB4BB2" w:rsidP="00BB4BB2">
      <w:pPr>
        <w:pStyle w:val="BodyText"/>
      </w:pPr>
      <w:r w:rsidRPr="00BB4BB2">
        <w:t xml:space="preserve">special effects </w:t>
      </w:r>
    </w:p>
    <w:p w:rsidR="00000000" w:rsidRPr="00BB4BB2" w:rsidP="00BB4BB2">
      <w:pPr>
        <w:pStyle w:val="BodyText"/>
      </w:pPr>
      <w:r w:rsidRPr="00BB4BB2">
        <w:t xml:space="preserve">entertainment </w:t>
      </w:r>
    </w:p>
    <w:p w:rsidR="00000000" w:rsidRPr="00BB4BB2" w:rsidP="00BB4BB2">
      <w:pPr>
        <w:pStyle w:val="BodyText"/>
      </w:pPr>
      <w:r w:rsidRPr="00BB4BB2">
        <w:t xml:space="preserve">lighting </w:t>
      </w:r>
    </w:p>
    <w:p w:rsidR="00000000" w:rsidRPr="00BB4BB2" w:rsidP="00BB4BB2">
      <w:pPr>
        <w:pStyle w:val="BodyText"/>
      </w:pPr>
      <w:r w:rsidRPr="00BB4BB2">
        <w:t xml:space="preserve">sound  </w:t>
      </w:r>
    </w:p>
    <w:p w:rsidR="00000000" w:rsidRPr="00BB4BB2" w:rsidP="00BB4BB2">
      <w:pPr>
        <w:pStyle w:val="BodyText"/>
      </w:pPr>
      <w:r w:rsidRPr="00BB4BB2">
        <w:t xml:space="preserve">stage design </w:t>
      </w:r>
    </w:p>
    <w:p w:rsidR="00000000" w:rsidRPr="00BB4BB2" w:rsidP="00BB4BB2">
      <w:pPr>
        <w:pStyle w:val="BodyText"/>
      </w:pPr>
      <w:r w:rsidRPr="00BB4BB2">
        <w:t xml:space="preserve">rigging </w:t>
      </w:r>
    </w:p>
    <w:p w:rsidR="00000000" w:rsidRPr="00BB4BB2" w:rsidP="00BB4BB2">
      <w:pPr>
        <w:pStyle w:val="BodyText"/>
      </w:pPr>
      <w:r w:rsidRPr="00BB4BB2">
        <w:t xml:space="preserve">catering and catering set-up </w:t>
      </w:r>
    </w:p>
    <w:p w:rsidR="00000000" w:rsidRPr="00BB4BB2" w:rsidP="00BB4BB2">
      <w:pPr>
        <w:pStyle w:val="BodyText"/>
      </w:pPr>
      <w:r w:rsidRPr="00BB4BB2">
        <w:t>security.</w:t>
      </w:r>
    </w:p>
    <w:p w:rsidR="00000000" w:rsidRPr="00BB4BB2" w:rsidP="00BB4BB2">
      <w:pPr>
        <w:pStyle w:val="BodyText"/>
      </w:pPr>
      <w:r w:rsidRPr="00BB4BB2">
        <w:rPr>
          <w:rStyle w:val="SpecialBold"/>
        </w:rPr>
        <w:t>Specifications for contractor services may include or relate to</w:t>
      </w:r>
      <w:r w:rsidRPr="00BB4BB2">
        <w:t>:</w:t>
      </w:r>
    </w:p>
    <w:p w:rsidR="00000000" w:rsidRPr="00BB4BB2" w:rsidP="00BB4BB2">
      <w:pPr>
        <w:pStyle w:val="BodyText"/>
      </w:pPr>
      <w:r w:rsidRPr="00BB4BB2">
        <w:t xml:space="preserve">price </w:t>
      </w:r>
    </w:p>
    <w:p w:rsidR="00000000" w:rsidRPr="00BB4BB2" w:rsidP="00BB4BB2">
      <w:pPr>
        <w:pStyle w:val="BodyText"/>
      </w:pPr>
      <w:r w:rsidRPr="00BB4BB2">
        <w:t xml:space="preserve">performance standards </w:t>
      </w:r>
    </w:p>
    <w:p w:rsidR="00000000" w:rsidRPr="00BB4BB2" w:rsidP="00BB4BB2">
      <w:pPr>
        <w:pStyle w:val="BodyText"/>
      </w:pPr>
      <w:r w:rsidRPr="00BB4BB2">
        <w:t xml:space="preserve">timelines </w:t>
      </w:r>
    </w:p>
    <w:p w:rsidR="00000000" w:rsidRPr="00BB4BB2" w:rsidP="00BB4BB2">
      <w:pPr>
        <w:pStyle w:val="BodyText"/>
      </w:pPr>
      <w:r w:rsidRPr="00BB4BB2">
        <w:t xml:space="preserve">technical specifications for equipment etc </w:t>
      </w:r>
    </w:p>
    <w:p w:rsidR="00000000" w:rsidRPr="00BB4BB2" w:rsidP="00BB4BB2">
      <w:pPr>
        <w:pStyle w:val="BodyText"/>
      </w:pPr>
      <w:r w:rsidRPr="00BB4BB2">
        <w:t xml:space="preserve">theme-related requirements </w:t>
      </w:r>
    </w:p>
    <w:p w:rsidR="00000000" w:rsidRPr="00BB4BB2" w:rsidP="00BB4BB2">
      <w:pPr>
        <w:pStyle w:val="BodyText"/>
      </w:pPr>
      <w:r w:rsidRPr="00BB4BB2">
        <w:t xml:space="preserve">regulatory requirements </w:t>
      </w:r>
    </w:p>
    <w:p w:rsidR="00000000" w:rsidRPr="00BB4BB2" w:rsidP="00BB4BB2">
      <w:pPr>
        <w:pStyle w:val="BodyText"/>
      </w:pPr>
      <w:r w:rsidRPr="00BB4BB2">
        <w:t>previous experience.</w:t>
      </w:r>
    </w:p>
    <w:p w:rsidR="00000000" w:rsidRPr="00BB4BB2" w:rsidP="00BB4BB2">
      <w:pPr>
        <w:pStyle w:val="BodyText"/>
      </w:pPr>
      <w:r w:rsidRPr="00BB4BB2">
        <w:t>This unit applies to any enterpr</w:t>
      </w:r>
      <w:r w:rsidRPr="00BB4BB2">
        <w:t>ise involved in event management.  The following explanations identify how this unit may be applied in different workplaces, sectors and circumstances.</w:t>
      </w:r>
    </w:p>
    <w:p w:rsidR="00000000" w:rsidRPr="00BB4BB2" w:rsidP="00BB4BB2">
      <w:pPr>
        <w:pStyle w:val="BodyText"/>
      </w:pPr>
      <w:r w:rsidRPr="00BB4BB2">
        <w:rPr>
          <w:rStyle w:val="SpecialBold"/>
        </w:rPr>
        <w:t>A major event comprising multiple components must include</w:t>
      </w:r>
      <w:r w:rsidRPr="00BB4BB2">
        <w:t>:</w:t>
      </w:r>
    </w:p>
    <w:p w:rsidR="00000000" w:rsidRPr="00BB4BB2" w:rsidP="00BB4BB2">
      <w:pPr>
        <w:pStyle w:val="BodyText"/>
      </w:pPr>
      <w:r w:rsidRPr="00BB4BB2">
        <w:t xml:space="preserve">multiple contractors </w:t>
      </w:r>
    </w:p>
    <w:p w:rsidR="00000000" w:rsidRPr="00BB4BB2" w:rsidP="00BB4BB2">
      <w:pPr>
        <w:pStyle w:val="BodyText"/>
      </w:pPr>
      <w:r w:rsidRPr="00BB4BB2">
        <w:t>substantial catering (i</w:t>
      </w:r>
      <w:r w:rsidRPr="00BB4BB2">
        <w:t xml:space="preserve">.e. not simply an afternoon tea) </w:t>
      </w:r>
    </w:p>
    <w:p w:rsidR="00000000" w:rsidRPr="00BB4BB2" w:rsidP="00BB4BB2">
      <w:pPr>
        <w:pStyle w:val="BodyText"/>
      </w:pPr>
      <w:r w:rsidRPr="00BB4BB2">
        <w:t xml:space="preserve">multiple speakers, performers or exhibitors </w:t>
      </w:r>
    </w:p>
    <w:p w:rsidR="00000000" w:rsidRPr="00BB4BB2" w:rsidP="00BB4BB2">
      <w:pPr>
        <w:pStyle w:val="BodyText"/>
      </w:pPr>
      <w:r w:rsidRPr="00BB4BB2">
        <w:t>requirement for display, decoration or theming.</w:t>
      </w:r>
    </w:p>
    <w:p w:rsidR="00000000" w:rsidRPr="00BB4BB2" w:rsidP="00BB4BB2">
      <w:pPr>
        <w:pStyle w:val="BodyText"/>
      </w:pPr>
      <w:r w:rsidRPr="00BB4BB2">
        <w:rPr>
          <w:rStyle w:val="SpecialBold"/>
        </w:rPr>
        <w:t>Contractors may include</w:t>
      </w:r>
      <w:r w:rsidRPr="00BB4BB2">
        <w:t>:</w:t>
      </w:r>
    </w:p>
    <w:p w:rsidR="00000000" w:rsidRPr="00BB4BB2" w:rsidP="00BB4BB2">
      <w:pPr>
        <w:pStyle w:val="BodyText"/>
      </w:pPr>
      <w:r w:rsidRPr="00BB4BB2">
        <w:t xml:space="preserve">venues </w:t>
      </w:r>
    </w:p>
    <w:p w:rsidR="00000000" w:rsidRPr="00BB4BB2" w:rsidP="00BB4BB2">
      <w:pPr>
        <w:pStyle w:val="BodyText"/>
      </w:pPr>
      <w:r w:rsidRPr="00BB4BB2">
        <w:t xml:space="preserve">speakers </w:t>
      </w:r>
    </w:p>
    <w:p w:rsidR="00000000" w:rsidRPr="00BB4BB2" w:rsidP="00BB4BB2">
      <w:pPr>
        <w:pStyle w:val="BodyText"/>
      </w:pPr>
      <w:r w:rsidRPr="00BB4BB2">
        <w:t xml:space="preserve">staging and audio visual suppliers </w:t>
      </w:r>
    </w:p>
    <w:p w:rsidR="00000000" w:rsidRPr="00BB4BB2" w:rsidP="00BB4BB2">
      <w:pPr>
        <w:pStyle w:val="BodyText"/>
      </w:pPr>
      <w:r w:rsidRPr="00BB4BB2">
        <w:t xml:space="preserve">display suppliers </w:t>
      </w:r>
    </w:p>
    <w:p w:rsidR="00000000" w:rsidRPr="00BB4BB2" w:rsidP="00BB4BB2">
      <w:pPr>
        <w:pStyle w:val="BodyText"/>
      </w:pPr>
      <w:r w:rsidRPr="00BB4BB2">
        <w:t xml:space="preserve">caterers </w:t>
      </w:r>
    </w:p>
    <w:p w:rsidR="00000000" w:rsidRPr="00BB4BB2" w:rsidP="00BB4BB2">
      <w:pPr>
        <w:pStyle w:val="BodyText"/>
      </w:pPr>
      <w:r w:rsidRPr="00BB4BB2">
        <w:t xml:space="preserve">entertainers </w:t>
      </w:r>
    </w:p>
    <w:p w:rsidR="00000000" w:rsidRPr="00BB4BB2" w:rsidP="00BB4BB2">
      <w:pPr>
        <w:pStyle w:val="BodyText"/>
      </w:pPr>
      <w:r w:rsidRPr="00BB4BB2">
        <w:t>equipment hire companies.</w:t>
      </w:r>
    </w:p>
    <w:p w:rsidR="00000000" w:rsidRPr="00BB4BB2" w:rsidP="00BB4BB2">
      <w:pPr>
        <w:pStyle w:val="BodyText"/>
      </w:pPr>
      <w:r w:rsidRPr="00BB4BB2">
        <w:rPr>
          <w:rStyle w:val="SpecialBold"/>
        </w:rPr>
        <w:t>Staging elements or requirements may relate to</w:t>
      </w:r>
      <w:r w:rsidRPr="00BB4BB2">
        <w:t>:</w:t>
      </w:r>
    </w:p>
    <w:p w:rsidR="00000000" w:rsidRPr="00BB4BB2" w:rsidP="00BB4BB2">
      <w:pPr>
        <w:pStyle w:val="BodyText"/>
      </w:pPr>
      <w:r w:rsidRPr="00BB4BB2">
        <w:t xml:space="preserve">exhibition set-up </w:t>
      </w:r>
    </w:p>
    <w:p w:rsidR="00000000" w:rsidRPr="00BB4BB2" w:rsidP="00BB4BB2">
      <w:pPr>
        <w:pStyle w:val="BodyText"/>
      </w:pPr>
      <w:r w:rsidRPr="00BB4BB2">
        <w:t xml:space="preserve">audio-visual </w:t>
      </w:r>
    </w:p>
    <w:p w:rsidR="00000000" w:rsidRPr="00BB4BB2" w:rsidP="00BB4BB2">
      <w:pPr>
        <w:pStyle w:val="BodyText"/>
      </w:pPr>
      <w:r w:rsidRPr="00BB4BB2">
        <w:t xml:space="preserve">display and decoration </w:t>
      </w:r>
    </w:p>
    <w:p w:rsidR="00000000" w:rsidRPr="00BB4BB2" w:rsidP="00BB4BB2">
      <w:pPr>
        <w:pStyle w:val="BodyText"/>
      </w:pPr>
      <w:r w:rsidRPr="00BB4BB2">
        <w:t xml:space="preserve">furniture </w:t>
      </w:r>
    </w:p>
    <w:p w:rsidR="00000000" w:rsidRPr="00BB4BB2" w:rsidP="00BB4BB2">
      <w:pPr>
        <w:pStyle w:val="BodyText"/>
      </w:pPr>
      <w:r w:rsidRPr="00BB4BB2">
        <w:t xml:space="preserve">special effects </w:t>
      </w:r>
    </w:p>
    <w:p w:rsidR="00000000" w:rsidRPr="00BB4BB2" w:rsidP="00BB4BB2">
      <w:pPr>
        <w:pStyle w:val="BodyText"/>
      </w:pPr>
      <w:r w:rsidRPr="00BB4BB2">
        <w:t xml:space="preserve">entertainment </w:t>
      </w:r>
    </w:p>
    <w:p w:rsidR="00000000" w:rsidRPr="00BB4BB2" w:rsidP="00BB4BB2">
      <w:pPr>
        <w:pStyle w:val="BodyText"/>
      </w:pPr>
      <w:r w:rsidRPr="00BB4BB2">
        <w:t xml:space="preserve">lighting </w:t>
      </w:r>
    </w:p>
    <w:p w:rsidR="00000000" w:rsidRPr="00BB4BB2" w:rsidP="00BB4BB2">
      <w:pPr>
        <w:pStyle w:val="BodyText"/>
      </w:pPr>
      <w:r w:rsidRPr="00BB4BB2">
        <w:t xml:space="preserve">sound  </w:t>
      </w:r>
    </w:p>
    <w:p w:rsidR="00000000" w:rsidRPr="00BB4BB2" w:rsidP="00BB4BB2">
      <w:pPr>
        <w:pStyle w:val="BodyText"/>
      </w:pPr>
      <w:r w:rsidRPr="00BB4BB2">
        <w:t xml:space="preserve">stage design </w:t>
      </w:r>
    </w:p>
    <w:p w:rsidR="00000000" w:rsidRPr="00BB4BB2" w:rsidP="00BB4BB2">
      <w:pPr>
        <w:pStyle w:val="BodyText"/>
      </w:pPr>
      <w:r w:rsidRPr="00BB4BB2">
        <w:t xml:space="preserve">rigging </w:t>
      </w:r>
    </w:p>
    <w:p w:rsidR="00000000" w:rsidRPr="00BB4BB2" w:rsidP="00BB4BB2">
      <w:pPr>
        <w:pStyle w:val="BodyText"/>
      </w:pPr>
      <w:r w:rsidRPr="00BB4BB2">
        <w:t xml:space="preserve">catering and catering set-up </w:t>
      </w:r>
    </w:p>
    <w:p w:rsidR="00000000" w:rsidRPr="00BB4BB2" w:rsidP="00BB4BB2">
      <w:pPr>
        <w:pStyle w:val="BodyText"/>
      </w:pPr>
      <w:r w:rsidRPr="00BB4BB2">
        <w:t>security.</w:t>
      </w:r>
    </w:p>
    <w:p w:rsidR="00000000" w:rsidRPr="00BB4BB2" w:rsidP="00BB4BB2">
      <w:pPr>
        <w:pStyle w:val="BodyText"/>
      </w:pPr>
      <w:r w:rsidRPr="00BB4BB2">
        <w:rPr>
          <w:rStyle w:val="SpecialBold"/>
        </w:rPr>
        <w:t>S</w:t>
      </w:r>
      <w:r w:rsidRPr="00BB4BB2">
        <w:rPr>
          <w:rStyle w:val="SpecialBold"/>
        </w:rPr>
        <w:t>pecifications for contractor services may include or relate to</w:t>
      </w:r>
      <w:r w:rsidRPr="00BB4BB2">
        <w:t>:</w:t>
      </w:r>
    </w:p>
    <w:p w:rsidR="00000000" w:rsidRPr="00BB4BB2" w:rsidP="00BB4BB2">
      <w:pPr>
        <w:pStyle w:val="BodyText"/>
      </w:pPr>
      <w:r w:rsidRPr="00BB4BB2">
        <w:t xml:space="preserve">price </w:t>
      </w:r>
    </w:p>
    <w:p w:rsidR="00000000" w:rsidRPr="00BB4BB2" w:rsidP="00BB4BB2">
      <w:pPr>
        <w:pStyle w:val="BodyText"/>
      </w:pPr>
      <w:r w:rsidRPr="00BB4BB2">
        <w:t xml:space="preserve">performance standards </w:t>
      </w:r>
    </w:p>
    <w:p w:rsidR="00000000" w:rsidRPr="00BB4BB2" w:rsidP="00BB4BB2">
      <w:pPr>
        <w:pStyle w:val="BodyText"/>
      </w:pPr>
      <w:r w:rsidRPr="00BB4BB2">
        <w:t xml:space="preserve">timelines </w:t>
      </w:r>
    </w:p>
    <w:p w:rsidR="00000000" w:rsidRPr="00BB4BB2" w:rsidP="00BB4BB2">
      <w:pPr>
        <w:pStyle w:val="BodyText"/>
      </w:pPr>
      <w:r w:rsidRPr="00BB4BB2">
        <w:t xml:space="preserve">technical specifications for equipment etc </w:t>
      </w:r>
    </w:p>
    <w:p w:rsidR="00000000" w:rsidRPr="00BB4BB2" w:rsidP="00BB4BB2">
      <w:pPr>
        <w:pStyle w:val="BodyText"/>
      </w:pPr>
      <w:r w:rsidRPr="00BB4BB2">
        <w:t xml:space="preserve">theme-related requirements </w:t>
      </w:r>
    </w:p>
    <w:p w:rsidR="00000000" w:rsidRPr="00BB4BB2" w:rsidP="00BB4BB2">
      <w:pPr>
        <w:pStyle w:val="BodyText"/>
      </w:pPr>
      <w:r w:rsidRPr="00BB4BB2">
        <w:t xml:space="preserve">regulatory requirements </w:t>
      </w:r>
    </w:p>
    <w:p w:rsidR="00000000" w:rsidRPr="00BB4BB2" w:rsidP="00BB4BB2">
      <w:pPr>
        <w:pStyle w:val="BodyText"/>
      </w:pPr>
      <w:r w:rsidRPr="00BB4BB2">
        <w:t>previous experience.</w:t>
      </w:r>
    </w:p>
    <w:p w:rsidR="00000000" w:rsidRPr="00BB4BB2" w:rsidP="00BB4BB2">
      <w:pPr>
        <w:pStyle w:val="AllowPageBreak"/>
      </w:pPr>
    </w:p>
    <w:p w:rsidR="00000000" w:rsidRPr="00BB4BB2" w:rsidP="00BB4BB2">
      <w:pPr>
        <w:pStyle w:val="Heading1"/>
      </w:pPr>
      <w:bookmarkStart w:id="12" w:name="O_326681"/>
      <w:bookmarkEnd w:id="12"/>
      <w:r w:rsidRPr="00BB4BB2">
        <w:t>Unit Sector(s)</w:t>
      </w:r>
    </w:p>
    <w:p w:rsidR="00000000" w:rsidRPr="00BB4BB2" w:rsidP="00BB4BB2">
      <w:pPr>
        <w:pStyle w:val="BodyText"/>
      </w:pPr>
      <w:r w:rsidRPr="00BB4BB2">
        <w:t>N</w:t>
      </w:r>
      <w:r w:rsidRPr="00BB4BB2">
        <w:t>ot applicable.</w:t>
      </w:r>
    </w:p>
    <w:p w:rsidR="00000000" w:rsidRPr="00BB4BB2" w:rsidP="00BB4BB2"/>
    <w:sectPr w:rsidSect="00BB4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F42" w:rsidP="00246F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42" w:rsidP="00BB4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6F42" w:rsidP="00BB4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46F42" w:rsidP="00BB4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B2" w:rsidRPr="00246F42" w:rsidP="00246F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42" w:rsidP="00BB4BB2">
    <w:pPr>
      <w:pStyle w:val="Header"/>
      <w:framePr w:wrap="around"/>
    </w:pPr>
    <w:r>
      <w:fldChar w:fldCharType="begin"/>
    </w:r>
    <w:r>
      <w:instrText xml:space="preserve"> TITLE   \* MERGEFORMAT </w:instrText>
    </w:r>
    <w:r>
      <w:fldChar w:fldCharType="separate"/>
    </w:r>
    <w:r>
      <w:t>THTFME06A Manage event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6F42" w:rsidP="00BB4B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B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4BB2"/>
    <w:pPr>
      <w:spacing w:before="360" w:after="60"/>
      <w:outlineLvl w:val="0"/>
    </w:pPr>
    <w:rPr>
      <w:sz w:val="32"/>
    </w:rPr>
  </w:style>
  <w:style w:type="paragraph" w:styleId="Heading2">
    <w:name w:val="heading 2"/>
    <w:basedOn w:val="HeadingBase"/>
    <w:next w:val="BodyText"/>
    <w:link w:val="Heading2Char"/>
    <w:qFormat/>
    <w:rsid w:val="00BB4BB2"/>
    <w:pPr>
      <w:keepLines/>
      <w:spacing w:before="240" w:after="120"/>
      <w:outlineLvl w:val="1"/>
    </w:pPr>
    <w:rPr>
      <w:sz w:val="28"/>
      <w:szCs w:val="40"/>
    </w:rPr>
  </w:style>
  <w:style w:type="paragraph" w:styleId="Heading3">
    <w:name w:val="heading 3"/>
    <w:basedOn w:val="HeadingBase"/>
    <w:next w:val="BodyText"/>
    <w:link w:val="Heading3Char"/>
    <w:qFormat/>
    <w:rsid w:val="00BB4BB2"/>
    <w:pPr>
      <w:spacing w:before="180" w:after="120"/>
      <w:outlineLvl w:val="2"/>
    </w:pPr>
    <w:rPr>
      <w:spacing w:val="-10"/>
      <w:kern w:val="32"/>
    </w:rPr>
  </w:style>
  <w:style w:type="paragraph" w:styleId="Heading4">
    <w:name w:val="heading 4"/>
    <w:basedOn w:val="HeadingBase"/>
    <w:next w:val="BodyText"/>
    <w:link w:val="Heading4Char"/>
    <w:qFormat/>
    <w:rsid w:val="00BB4BB2"/>
    <w:pPr>
      <w:spacing w:before="160" w:after="120"/>
      <w:outlineLvl w:val="3"/>
    </w:pPr>
    <w:rPr>
      <w:sz w:val="22"/>
    </w:rPr>
  </w:style>
  <w:style w:type="paragraph" w:styleId="Heading5">
    <w:name w:val="heading 5"/>
    <w:basedOn w:val="HeadingBase"/>
    <w:next w:val="Normal"/>
    <w:link w:val="Heading5Char"/>
    <w:qFormat/>
    <w:rsid w:val="00BB4BB2"/>
    <w:pPr>
      <w:spacing w:before="80"/>
      <w:outlineLvl w:val="4"/>
    </w:pPr>
    <w:rPr>
      <w:color w:val="918585"/>
      <w:sz w:val="20"/>
    </w:rPr>
  </w:style>
  <w:style w:type="paragraph" w:styleId="Heading6">
    <w:name w:val="heading 6"/>
    <w:basedOn w:val="HeadingBase"/>
    <w:next w:val="Normal"/>
    <w:link w:val="Heading6Char"/>
    <w:qFormat/>
    <w:rsid w:val="00BB4BB2"/>
    <w:pPr>
      <w:spacing w:before="60"/>
      <w:outlineLvl w:val="5"/>
    </w:pPr>
    <w:rPr>
      <w:color w:val="918585"/>
      <w:sz w:val="20"/>
    </w:rPr>
  </w:style>
  <w:style w:type="paragraph" w:styleId="Heading7">
    <w:name w:val="heading 7"/>
    <w:basedOn w:val="Normal"/>
    <w:next w:val="Normal"/>
    <w:link w:val="Heading7Char"/>
    <w:qFormat/>
    <w:rsid w:val="00BB4BB2"/>
    <w:pPr>
      <w:ind w:left="720"/>
      <w:outlineLvl w:val="6"/>
    </w:pPr>
    <w:rPr>
      <w:i/>
    </w:rPr>
  </w:style>
  <w:style w:type="paragraph" w:styleId="Heading8">
    <w:name w:val="heading 8"/>
    <w:basedOn w:val="Normal"/>
    <w:next w:val="Normal"/>
    <w:link w:val="Heading8Char"/>
    <w:qFormat/>
    <w:rsid w:val="00BB4BB2"/>
    <w:pPr>
      <w:ind w:left="720"/>
      <w:outlineLvl w:val="7"/>
    </w:pPr>
    <w:rPr>
      <w:i/>
    </w:rPr>
  </w:style>
  <w:style w:type="paragraph" w:styleId="Heading9">
    <w:name w:val="heading 9"/>
    <w:basedOn w:val="Normal"/>
    <w:next w:val="Normal"/>
    <w:link w:val="Heading9Char"/>
    <w:qFormat/>
    <w:rsid w:val="00BB4BB2"/>
    <w:pPr>
      <w:ind w:left="720"/>
      <w:outlineLvl w:val="8"/>
    </w:pPr>
    <w:rPr>
      <w:i/>
    </w:rPr>
  </w:style>
  <w:style w:type="character" w:default="1" w:styleId="DefaultParagraphFont">
    <w:name w:val="Default Paragraph Font"/>
    <w:uiPriority w:val="1"/>
    <w:unhideWhenUsed/>
    <w:rsid w:val="00BB4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BB2"/>
  </w:style>
  <w:style w:type="character" w:customStyle="1" w:styleId="Heading1Char">
    <w:name w:val="Heading 1 Char"/>
    <w:link w:val="Heading1"/>
    <w:rsid w:val="00BB4BB2"/>
    <w:rPr>
      <w:rFonts w:ascii="Times New Roman" w:eastAsia="Times New Roman" w:hAnsi="Times New Roman" w:cs="Times New Roman"/>
      <w:b/>
      <w:sz w:val="32"/>
      <w:szCs w:val="20"/>
      <w:lang w:eastAsia="en-US"/>
    </w:rPr>
  </w:style>
  <w:style w:type="paragraph" w:styleId="BodyText">
    <w:name w:val="Body Text"/>
    <w:basedOn w:val="Normal"/>
    <w:link w:val="BodyTextChar"/>
    <w:rsid w:val="00BB4BB2"/>
    <w:pPr>
      <w:spacing w:before="120" w:after="120"/>
      <w:contextualSpacing/>
    </w:pPr>
    <w:rPr>
      <w:rFonts w:ascii="Times New Roman" w:hAnsi="Times New Roman"/>
      <w:sz w:val="24"/>
      <w:szCs w:val="22"/>
    </w:rPr>
  </w:style>
  <w:style w:type="character" w:customStyle="1" w:styleId="BodyTextChar">
    <w:name w:val="Body Text Char"/>
    <w:link w:val="BodyText"/>
    <w:rsid w:val="00BB4BB2"/>
    <w:rPr>
      <w:rFonts w:ascii="Times New Roman" w:eastAsia="Times New Roman" w:hAnsi="Times New Roman" w:cs="Times New Roman"/>
      <w:sz w:val="24"/>
      <w:lang w:val="en-US" w:eastAsia="en-US"/>
    </w:rPr>
  </w:style>
  <w:style w:type="paragraph" w:styleId="Footer">
    <w:name w:val="footer"/>
    <w:basedOn w:val="Normal"/>
    <w:link w:val="FooterChar"/>
    <w:rsid w:val="00BB4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4BB2"/>
    <w:rPr>
      <w:rFonts w:ascii="Times New Roman" w:eastAsia="Times New Roman" w:hAnsi="Times New Roman" w:cs="Times New Roman"/>
      <w:sz w:val="16"/>
      <w:lang w:val="en-US" w:eastAsia="en-US"/>
    </w:rPr>
  </w:style>
  <w:style w:type="character" w:customStyle="1" w:styleId="SpecialBold">
    <w:name w:val="Special Bold"/>
    <w:rsid w:val="00BB4BB2"/>
    <w:rPr>
      <w:b/>
      <w:spacing w:val="0"/>
    </w:rPr>
  </w:style>
  <w:style w:type="paragraph" w:customStyle="1" w:styleId="SuperHeading">
    <w:name w:val="SuperHeading"/>
    <w:basedOn w:val="Normal"/>
    <w:rsid w:val="00BB4BB2"/>
    <w:pPr>
      <w:spacing w:before="240" w:after="120"/>
      <w:outlineLvl w:val="0"/>
    </w:pPr>
    <w:rPr>
      <w:rFonts w:ascii="Times New Roman" w:hAnsi="Times New Roman"/>
      <w:b/>
      <w:sz w:val="28"/>
    </w:rPr>
  </w:style>
  <w:style w:type="paragraph" w:customStyle="1" w:styleId="AllowPageBreak">
    <w:name w:val="AllowPageBreak"/>
    <w:rsid w:val="00BB4B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B4BB2"/>
    <w:rPr>
      <w:rFonts w:ascii="Times New Roman" w:eastAsia="Times New Roman" w:hAnsi="Times New Roman" w:cs="Times New Roman"/>
      <w:b/>
      <w:sz w:val="28"/>
      <w:szCs w:val="40"/>
      <w:lang w:eastAsia="en-US"/>
    </w:rPr>
  </w:style>
  <w:style w:type="character" w:customStyle="1" w:styleId="Heading3Char">
    <w:name w:val="Heading 3 Char"/>
    <w:link w:val="Heading3"/>
    <w:rsid w:val="00BB4B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4BB2"/>
    <w:rPr>
      <w:rFonts w:ascii="Times New Roman" w:eastAsia="Times New Roman" w:hAnsi="Times New Roman" w:cs="Times New Roman"/>
      <w:b/>
      <w:szCs w:val="20"/>
      <w:lang w:eastAsia="en-US"/>
    </w:rPr>
  </w:style>
  <w:style w:type="character" w:customStyle="1" w:styleId="Heading5Char">
    <w:name w:val="Heading 5 Char"/>
    <w:link w:val="Heading5"/>
    <w:rsid w:val="00BB4B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4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B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4B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4BB2"/>
    <w:rPr>
      <w:rFonts w:ascii="Courier New" w:eastAsia="Times New Roman" w:hAnsi="Courier New" w:cs="Times New Roman"/>
      <w:i/>
      <w:szCs w:val="20"/>
      <w:lang w:val="en-US" w:eastAsia="en-US"/>
    </w:rPr>
  </w:style>
  <w:style w:type="paragraph" w:customStyle="1" w:styleId="HeadingBase">
    <w:name w:val="Heading Base"/>
    <w:rsid w:val="00BB4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BB2"/>
    <w:pPr>
      <w:tabs>
        <w:tab w:val="right" w:leader="dot" w:pos="9072"/>
      </w:tabs>
      <w:ind w:left="567"/>
    </w:pPr>
    <w:rPr>
      <w:szCs w:val="22"/>
    </w:rPr>
  </w:style>
  <w:style w:type="paragraph" w:customStyle="1" w:styleId="TOCBase">
    <w:name w:val="TOC Base"/>
    <w:rsid w:val="00BB4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BB2"/>
    <w:pPr>
      <w:tabs>
        <w:tab w:val="right" w:leader="dot" w:pos="9072"/>
      </w:tabs>
      <w:spacing w:before="40" w:after="40"/>
      <w:ind w:left="284"/>
    </w:pPr>
    <w:rPr>
      <w:rFonts w:ascii="Times New Roman" w:hAnsi="Times New Roman"/>
    </w:rPr>
  </w:style>
  <w:style w:type="paragraph" w:styleId="TOC1">
    <w:name w:val="toc 1"/>
    <w:basedOn w:val="TOCBase"/>
    <w:next w:val="Normal"/>
    <w:rsid w:val="00BB4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4BB2"/>
    <w:pPr>
      <w:spacing w:before="5040"/>
      <w:jc w:val="center"/>
    </w:pPr>
    <w:rPr>
      <w:sz w:val="48"/>
      <w:szCs w:val="72"/>
      <w:lang w:val="en-US"/>
    </w:rPr>
  </w:style>
  <w:style w:type="character" w:customStyle="1" w:styleId="TitleChar">
    <w:name w:val="Title Char"/>
    <w:link w:val="Title"/>
    <w:rsid w:val="00BB4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BB2"/>
    <w:pPr>
      <w:tabs>
        <w:tab w:val="left" w:pos="3600"/>
        <w:tab w:val="left" w:pos="3958"/>
      </w:tabs>
    </w:pPr>
  </w:style>
  <w:style w:type="paragraph" w:styleId="List">
    <w:name w:val="List"/>
    <w:basedOn w:val="BodyText"/>
    <w:next w:val="BodyText"/>
    <w:rsid w:val="00BB4BB2"/>
    <w:pPr>
      <w:tabs>
        <w:tab w:val="left" w:pos="340"/>
      </w:tabs>
      <w:spacing w:before="60" w:after="60"/>
      <w:ind w:left="340" w:hanging="340"/>
    </w:pPr>
  </w:style>
  <w:style w:type="paragraph" w:styleId="ListBullet">
    <w:name w:val="List Bullet"/>
    <w:basedOn w:val="List"/>
    <w:rsid w:val="00BB4BB2"/>
    <w:pPr>
      <w:numPr>
        <w:numId w:val="11"/>
      </w:numPr>
      <w:tabs>
        <w:tab w:val="clear" w:pos="340"/>
      </w:tabs>
      <w:spacing w:before="40" w:after="40"/>
    </w:pPr>
  </w:style>
  <w:style w:type="paragraph" w:customStyle="1" w:styleId="Note">
    <w:name w:val="Note"/>
    <w:basedOn w:val="BodyText"/>
    <w:rsid w:val="00BB4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BB2"/>
    <w:pPr>
      <w:framePr w:wrap="auto" w:hAnchor="text" w:y="6049"/>
    </w:pPr>
    <w:rPr>
      <w:color w:val="000000"/>
      <w:sz w:val="40"/>
    </w:rPr>
  </w:style>
  <w:style w:type="paragraph" w:customStyle="1" w:styleId="TOCTitle">
    <w:name w:val="TOCTitle"/>
    <w:basedOn w:val="Heading1"/>
    <w:rsid w:val="00BB4BB2"/>
    <w:pPr>
      <w:spacing w:after="240"/>
      <w:jc w:val="center"/>
      <w:outlineLvl w:val="9"/>
    </w:pPr>
    <w:rPr>
      <w:caps/>
    </w:rPr>
  </w:style>
  <w:style w:type="paragraph" w:customStyle="1" w:styleId="Version">
    <w:name w:val="Version"/>
    <w:rsid w:val="00BB4B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BB2"/>
    <w:pPr>
      <w:numPr>
        <w:numId w:val="12"/>
      </w:numPr>
      <w:tabs>
        <w:tab w:val="clear" w:pos="680"/>
      </w:tabs>
    </w:pPr>
  </w:style>
  <w:style w:type="paragraph" w:styleId="Index1">
    <w:name w:val="index 1"/>
    <w:basedOn w:val="Normal"/>
    <w:next w:val="Normal"/>
    <w:semiHidden/>
    <w:rsid w:val="00BB4BB2"/>
    <w:pPr>
      <w:keepNext w:val="0"/>
      <w:tabs>
        <w:tab w:val="right" w:pos="4176"/>
      </w:tabs>
      <w:ind w:left="198" w:hanging="198"/>
    </w:pPr>
    <w:rPr>
      <w:rFonts w:ascii="Garamond" w:hAnsi="Garamond"/>
    </w:rPr>
  </w:style>
  <w:style w:type="paragraph" w:styleId="IndexHeading">
    <w:name w:val="index heading"/>
    <w:basedOn w:val="Normal"/>
    <w:next w:val="Index1"/>
    <w:semiHidden/>
    <w:rsid w:val="00BB4BB2"/>
    <w:pPr>
      <w:spacing w:before="120" w:after="120"/>
    </w:pPr>
    <w:rPr>
      <w:rFonts w:ascii="Arial" w:hAnsi="Arial"/>
      <w:b/>
      <w:color w:val="918585"/>
      <w:sz w:val="24"/>
    </w:rPr>
  </w:style>
  <w:style w:type="paragraph" w:styleId="Header">
    <w:name w:val="header"/>
    <w:basedOn w:val="Normal"/>
    <w:link w:val="HeaderChar"/>
    <w:rsid w:val="00BB4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4BB2"/>
    <w:rPr>
      <w:rFonts w:ascii="Times New Roman" w:eastAsia="Times New Roman" w:hAnsi="Times New Roman" w:cs="Times New Roman"/>
      <w:sz w:val="16"/>
      <w:szCs w:val="20"/>
      <w:lang w:val="en-GB" w:eastAsia="en-US"/>
    </w:rPr>
  </w:style>
  <w:style w:type="paragraph" w:customStyle="1" w:styleId="Chapter">
    <w:name w:val="Chapter"/>
    <w:basedOn w:val="Normal"/>
    <w:rsid w:val="00BB4BB2"/>
    <w:pPr>
      <w:spacing w:before="240"/>
    </w:pPr>
    <w:rPr>
      <w:rFonts w:ascii="Times New Roman" w:hAnsi="Times New Roman"/>
      <w:smallCaps/>
      <w:spacing w:val="80"/>
      <w:sz w:val="28"/>
    </w:rPr>
  </w:style>
  <w:style w:type="paragraph" w:customStyle="1" w:styleId="InChapter">
    <w:name w:val="InChapter"/>
    <w:basedOn w:val="Heading3"/>
    <w:rsid w:val="00BB4BB2"/>
    <w:pPr>
      <w:spacing w:after="240"/>
      <w:outlineLvl w:val="9"/>
    </w:pPr>
    <w:rPr>
      <w:noProof/>
    </w:rPr>
  </w:style>
  <w:style w:type="paragraph" w:styleId="Index2">
    <w:name w:val="index 2"/>
    <w:basedOn w:val="Normal"/>
    <w:next w:val="Normal"/>
    <w:semiHidden/>
    <w:rsid w:val="00BB4BB2"/>
    <w:pPr>
      <w:tabs>
        <w:tab w:val="right" w:pos="4176"/>
      </w:tabs>
      <w:ind w:left="568" w:hanging="284"/>
    </w:pPr>
    <w:rPr>
      <w:rFonts w:ascii="Garamond" w:hAnsi="Garamond"/>
    </w:rPr>
  </w:style>
  <w:style w:type="paragraph" w:customStyle="1" w:styleId="Byline">
    <w:name w:val="Byline"/>
    <w:rsid w:val="00BB4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BB2"/>
    <w:pPr>
      <w:tabs>
        <w:tab w:val="clear" w:pos="3600"/>
        <w:tab w:val="clear" w:pos="3958"/>
      </w:tabs>
      <w:jc w:val="right"/>
    </w:pPr>
  </w:style>
  <w:style w:type="character" w:styleId="Emphasis">
    <w:name w:val="Emphasis"/>
    <w:qFormat/>
    <w:rsid w:val="00BB4BB2"/>
    <w:rPr>
      <w:i/>
    </w:rPr>
  </w:style>
  <w:style w:type="paragraph" w:styleId="Caption">
    <w:name w:val="caption"/>
    <w:basedOn w:val="BodyText"/>
    <w:next w:val="Normal"/>
    <w:qFormat/>
    <w:rsid w:val="00BB4BB2"/>
    <w:pPr>
      <w:framePr w:w="2268" w:hSpace="181" w:vSpace="181" w:wrap="around" w:vAnchor="text" w:hAnchor="page" w:x="1135" w:y="285" w:anchorLock="1"/>
    </w:pPr>
    <w:rPr>
      <w:i/>
    </w:rPr>
  </w:style>
  <w:style w:type="paragraph" w:customStyle="1" w:styleId="MiniTOCTitle">
    <w:name w:val="MiniTOCTitle"/>
    <w:basedOn w:val="Heading4"/>
    <w:rsid w:val="00BB4BB2"/>
    <w:pPr>
      <w:spacing w:before="240"/>
      <w:outlineLvl w:val="9"/>
    </w:pPr>
    <w:rPr>
      <w:noProof/>
      <w:sz w:val="24"/>
    </w:rPr>
  </w:style>
  <w:style w:type="paragraph" w:customStyle="1" w:styleId="MiniTOCItem">
    <w:name w:val="MiniTOCItem"/>
    <w:basedOn w:val="ListBullet"/>
    <w:rsid w:val="00BB4BB2"/>
    <w:pPr>
      <w:numPr>
        <w:numId w:val="0"/>
      </w:numPr>
      <w:tabs>
        <w:tab w:val="right" w:leader="dot" w:pos="6521"/>
      </w:tabs>
      <w:spacing w:before="0" w:after="0"/>
    </w:pPr>
  </w:style>
  <w:style w:type="paragraph" w:customStyle="1" w:styleId="TOFTitle">
    <w:name w:val="TOFTitle"/>
    <w:basedOn w:val="TOCTitle"/>
    <w:rsid w:val="00BB4BB2"/>
  </w:style>
  <w:style w:type="paragraph" w:styleId="TableofFigures">
    <w:name w:val="table of figures"/>
    <w:basedOn w:val="Normal"/>
    <w:next w:val="Normal"/>
    <w:semiHidden/>
    <w:rsid w:val="00BB4BB2"/>
    <w:pPr>
      <w:tabs>
        <w:tab w:val="right" w:leader="dot" w:pos="9072"/>
      </w:tabs>
      <w:ind w:left="970" w:hanging="403"/>
    </w:pPr>
    <w:rPr>
      <w:rFonts w:ascii="Times New Roman" w:hAnsi="Times New Roman"/>
      <w:b/>
    </w:rPr>
  </w:style>
  <w:style w:type="paragraph" w:styleId="ListNumber">
    <w:name w:val="List Number"/>
    <w:basedOn w:val="List"/>
    <w:rsid w:val="00BB4BB2"/>
    <w:pPr>
      <w:numPr>
        <w:numId w:val="9"/>
      </w:numPr>
    </w:pPr>
  </w:style>
  <w:style w:type="character" w:customStyle="1" w:styleId="WingdingSymbols">
    <w:name w:val="Wingding Symbols"/>
    <w:rsid w:val="00BB4BB2"/>
    <w:rPr>
      <w:rFonts w:ascii="Wingdings" w:hAnsi="Wingdings"/>
    </w:rPr>
  </w:style>
  <w:style w:type="paragraph" w:customStyle="1" w:styleId="TableHeading">
    <w:name w:val="Table Heading"/>
    <w:basedOn w:val="HeadingBase"/>
    <w:rsid w:val="00BB4BB2"/>
    <w:pPr>
      <w:keepLines/>
      <w:pBdr>
        <w:bottom w:val="single" w:sz="6" w:space="1" w:color="918585"/>
      </w:pBdr>
      <w:spacing w:before="240"/>
    </w:pPr>
  </w:style>
  <w:style w:type="character" w:customStyle="1" w:styleId="HotSpot">
    <w:name w:val="HotSpot"/>
    <w:rsid w:val="00BB4BB2"/>
    <w:rPr>
      <w:color w:val="0033CC"/>
      <w:u w:val="none"/>
    </w:rPr>
  </w:style>
  <w:style w:type="paragraph" w:customStyle="1" w:styleId="BodyTextRight">
    <w:name w:val="Body Text Right"/>
    <w:basedOn w:val="BodyText"/>
    <w:rsid w:val="00BB4BB2"/>
    <w:pPr>
      <w:spacing w:before="0" w:after="0"/>
      <w:jc w:val="right"/>
    </w:pPr>
  </w:style>
  <w:style w:type="paragraph" w:styleId="Index3">
    <w:name w:val="index 3"/>
    <w:basedOn w:val="ListNumber2"/>
    <w:next w:val="Normal"/>
    <w:semiHidden/>
    <w:rsid w:val="00BB4BB2"/>
    <w:pPr>
      <w:numPr>
        <w:numId w:val="0"/>
      </w:numPr>
      <w:tabs>
        <w:tab w:val="right" w:leader="dot" w:pos="4176"/>
      </w:tabs>
    </w:pPr>
  </w:style>
  <w:style w:type="paragraph" w:styleId="ListNumber2">
    <w:name w:val="List Number 2"/>
    <w:basedOn w:val="List2"/>
    <w:rsid w:val="00BB4BB2"/>
    <w:pPr>
      <w:numPr>
        <w:numId w:val="8"/>
      </w:numPr>
      <w:tabs>
        <w:tab w:val="clear" w:pos="1060"/>
      </w:tabs>
    </w:pPr>
  </w:style>
  <w:style w:type="paragraph" w:customStyle="1" w:styleId="MarginNote">
    <w:name w:val="Margin Note"/>
    <w:basedOn w:val="BodyText"/>
    <w:rsid w:val="00BB4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4B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4BB2"/>
    <w:rPr>
      <w:sz w:val="32"/>
    </w:rPr>
  </w:style>
  <w:style w:type="paragraph" w:customStyle="1" w:styleId="HeadingProcedure">
    <w:name w:val="Heading Procedure"/>
    <w:basedOn w:val="HeadingBase"/>
    <w:next w:val="Normal"/>
    <w:rsid w:val="00BB4BB2"/>
    <w:pPr>
      <w:tabs>
        <w:tab w:val="left" w:pos="0"/>
      </w:tabs>
      <w:spacing w:before="120" w:after="60"/>
    </w:pPr>
    <w:rPr>
      <w:i/>
      <w:color w:val="918585"/>
      <w:sz w:val="22"/>
    </w:rPr>
  </w:style>
  <w:style w:type="paragraph" w:customStyle="1" w:styleId="TableBodyText">
    <w:name w:val="Table Body Text"/>
    <w:basedOn w:val="BodyText"/>
    <w:rsid w:val="00BB4BB2"/>
    <w:pPr>
      <w:spacing w:before="60" w:after="60"/>
    </w:pPr>
  </w:style>
  <w:style w:type="paragraph" w:styleId="ListContinue">
    <w:name w:val="List Continue"/>
    <w:basedOn w:val="List"/>
    <w:rsid w:val="00BB4BB2"/>
    <w:pPr>
      <w:ind w:firstLine="0"/>
    </w:pPr>
  </w:style>
  <w:style w:type="paragraph" w:customStyle="1" w:styleId="ListNote">
    <w:name w:val="List Note"/>
    <w:basedOn w:val="List"/>
    <w:rsid w:val="00BB4BB2"/>
    <w:pPr>
      <w:pBdr>
        <w:top w:val="single" w:sz="6" w:space="2" w:color="918585"/>
        <w:bottom w:val="single" w:sz="6" w:space="2" w:color="918585"/>
      </w:pBdr>
      <w:tabs>
        <w:tab w:val="left" w:pos="1021"/>
      </w:tabs>
      <w:ind w:firstLine="0"/>
    </w:pPr>
  </w:style>
  <w:style w:type="paragraph" w:customStyle="1" w:styleId="Warning">
    <w:name w:val="Warning"/>
    <w:basedOn w:val="BodyText"/>
    <w:rsid w:val="00BB4BB2"/>
    <w:pPr>
      <w:shd w:val="clear" w:color="auto" w:fill="D9D9D9"/>
      <w:tabs>
        <w:tab w:val="left" w:pos="992"/>
      </w:tabs>
      <w:ind w:left="119" w:right="119"/>
    </w:pPr>
    <w:rPr>
      <w:sz w:val="20"/>
    </w:rPr>
  </w:style>
  <w:style w:type="paragraph" w:customStyle="1" w:styleId="MarginIcons">
    <w:name w:val="Margin Icons"/>
    <w:basedOn w:val="BodyText"/>
    <w:rsid w:val="00BB4B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4BB2"/>
    <w:rPr>
      <w:rFonts w:ascii="Courier New" w:hAnsi="Courier New"/>
    </w:rPr>
  </w:style>
  <w:style w:type="paragraph" w:customStyle="1" w:styleId="NoteBullet">
    <w:name w:val="Note Bullet"/>
    <w:basedOn w:val="Note"/>
    <w:rsid w:val="00BB4BB2"/>
    <w:pPr>
      <w:tabs>
        <w:tab w:val="clear" w:pos="680"/>
      </w:tabs>
      <w:spacing w:before="60" w:after="60"/>
    </w:pPr>
  </w:style>
  <w:style w:type="paragraph" w:customStyle="1" w:styleId="SubHeading2">
    <w:name w:val="SubHeading2"/>
    <w:basedOn w:val="HeadingBase"/>
    <w:rsid w:val="00BB4BB2"/>
    <w:pPr>
      <w:spacing w:before="240" w:after="60"/>
    </w:pPr>
    <w:rPr>
      <w:sz w:val="20"/>
    </w:rPr>
  </w:style>
  <w:style w:type="paragraph" w:customStyle="1" w:styleId="SubHeading1">
    <w:name w:val="SubHeading1"/>
    <w:basedOn w:val="HeadingBase"/>
    <w:rsid w:val="00BB4BB2"/>
    <w:pPr>
      <w:spacing w:before="240" w:after="60"/>
    </w:pPr>
    <w:rPr>
      <w:color w:val="918585"/>
      <w:sz w:val="22"/>
    </w:rPr>
  </w:style>
  <w:style w:type="paragraph" w:customStyle="1" w:styleId="SideHeading">
    <w:name w:val="Side Heading"/>
    <w:basedOn w:val="HeadingBase"/>
    <w:rsid w:val="00BB4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BB2"/>
    <w:pPr>
      <w:numPr>
        <w:numId w:val="10"/>
      </w:numPr>
    </w:pPr>
  </w:style>
  <w:style w:type="paragraph" w:styleId="PlainText">
    <w:name w:val="Plain Text"/>
    <w:basedOn w:val="Normal"/>
    <w:link w:val="PlainTextChar"/>
    <w:rsid w:val="00BB4BB2"/>
    <w:rPr>
      <w:sz w:val="20"/>
    </w:rPr>
  </w:style>
  <w:style w:type="character" w:customStyle="1" w:styleId="PlainTextChar">
    <w:name w:val="Plain Text Char"/>
    <w:basedOn w:val="DefaultParagraphFont"/>
    <w:link w:val="PlainText"/>
    <w:rsid w:val="00BB4BB2"/>
    <w:rPr>
      <w:rFonts w:ascii="Courier New" w:eastAsia="Times New Roman" w:hAnsi="Courier New" w:cs="Times New Roman"/>
      <w:sz w:val="20"/>
      <w:szCs w:val="20"/>
      <w:lang w:val="en-US" w:eastAsia="en-US"/>
    </w:rPr>
  </w:style>
  <w:style w:type="character" w:customStyle="1" w:styleId="MenuOption">
    <w:name w:val="Menu Option"/>
    <w:rsid w:val="00BB4BB2"/>
    <w:rPr>
      <w:b/>
      <w:smallCaps/>
    </w:rPr>
  </w:style>
  <w:style w:type="paragraph" w:customStyle="1" w:styleId="TableListNumber">
    <w:name w:val="Table List Number"/>
    <w:basedOn w:val="ListNumber"/>
    <w:rsid w:val="00BB4BB2"/>
    <w:pPr>
      <w:numPr>
        <w:numId w:val="0"/>
      </w:numPr>
    </w:pPr>
  </w:style>
  <w:style w:type="paragraph" w:styleId="TOC4">
    <w:name w:val="toc 4"/>
    <w:basedOn w:val="TOCBase"/>
    <w:next w:val="Normal"/>
    <w:semiHidden/>
    <w:rsid w:val="00BB4BB2"/>
    <w:pPr>
      <w:tabs>
        <w:tab w:val="right" w:leader="dot" w:pos="9071"/>
      </w:tabs>
      <w:ind w:left="1701"/>
    </w:pPr>
  </w:style>
  <w:style w:type="paragraph" w:customStyle="1" w:styleId="ListAlpha">
    <w:name w:val="List Alpha"/>
    <w:basedOn w:val="List"/>
    <w:rsid w:val="00BB4BB2"/>
    <w:pPr>
      <w:numPr>
        <w:numId w:val="7"/>
      </w:numPr>
    </w:pPr>
  </w:style>
  <w:style w:type="paragraph" w:customStyle="1" w:styleId="ListAlpha2">
    <w:name w:val="List Alpha 2"/>
    <w:basedOn w:val="List2"/>
    <w:rsid w:val="00BB4BB2"/>
    <w:pPr>
      <w:numPr>
        <w:numId w:val="6"/>
      </w:numPr>
    </w:pPr>
  </w:style>
  <w:style w:type="paragraph" w:styleId="List2">
    <w:name w:val="List 2"/>
    <w:basedOn w:val="BodyText"/>
    <w:rsid w:val="00BB4BB2"/>
    <w:pPr>
      <w:tabs>
        <w:tab w:val="left" w:pos="680"/>
      </w:tabs>
      <w:spacing w:before="60" w:after="60"/>
      <w:ind w:left="680" w:hanging="340"/>
    </w:pPr>
  </w:style>
  <w:style w:type="paragraph" w:styleId="List3">
    <w:name w:val="List 3"/>
    <w:basedOn w:val="BodyText"/>
    <w:rsid w:val="00BB4BB2"/>
    <w:pPr>
      <w:tabs>
        <w:tab w:val="left" w:pos="1021"/>
      </w:tabs>
      <w:spacing w:before="60" w:after="60"/>
      <w:ind w:left="1020" w:hanging="340"/>
    </w:pPr>
  </w:style>
  <w:style w:type="paragraph" w:styleId="List4">
    <w:name w:val="List 4"/>
    <w:basedOn w:val="BodyText"/>
    <w:rsid w:val="00BB4BB2"/>
    <w:pPr>
      <w:tabs>
        <w:tab w:val="left" w:pos="1361"/>
      </w:tabs>
      <w:spacing w:before="60" w:after="60"/>
      <w:ind w:left="1361" w:hanging="340"/>
    </w:pPr>
  </w:style>
  <w:style w:type="paragraph" w:styleId="List5">
    <w:name w:val="List 5"/>
    <w:basedOn w:val="BodyText"/>
    <w:rsid w:val="00BB4BB2"/>
    <w:pPr>
      <w:tabs>
        <w:tab w:val="left" w:pos="1701"/>
      </w:tabs>
      <w:spacing w:before="60" w:after="60"/>
      <w:ind w:left="1701" w:hanging="340"/>
    </w:pPr>
  </w:style>
  <w:style w:type="paragraph" w:styleId="ListBullet3">
    <w:name w:val="List Bullet 3"/>
    <w:basedOn w:val="List3"/>
    <w:rsid w:val="00BB4BB2"/>
    <w:pPr>
      <w:numPr>
        <w:numId w:val="13"/>
      </w:numPr>
      <w:tabs>
        <w:tab w:val="clear" w:pos="1021"/>
      </w:tabs>
      <w:ind w:left="1037" w:hanging="357"/>
    </w:pPr>
  </w:style>
  <w:style w:type="paragraph" w:styleId="ListBullet4">
    <w:name w:val="List Bullet 4"/>
    <w:basedOn w:val="List4"/>
    <w:rsid w:val="00BB4BB2"/>
    <w:pPr>
      <w:numPr>
        <w:numId w:val="1"/>
      </w:numPr>
    </w:pPr>
  </w:style>
  <w:style w:type="paragraph" w:styleId="ListBullet5">
    <w:name w:val="List Bullet 5"/>
    <w:basedOn w:val="List5"/>
    <w:rsid w:val="00BB4BB2"/>
    <w:pPr>
      <w:numPr>
        <w:numId w:val="2"/>
      </w:numPr>
    </w:pPr>
  </w:style>
  <w:style w:type="paragraph" w:styleId="ListContinue2">
    <w:name w:val="List Continue 2"/>
    <w:basedOn w:val="List2"/>
    <w:rsid w:val="00BB4BB2"/>
    <w:pPr>
      <w:ind w:firstLine="0"/>
    </w:pPr>
  </w:style>
  <w:style w:type="paragraph" w:styleId="ListContinue3">
    <w:name w:val="List Continue 3"/>
    <w:basedOn w:val="List3"/>
    <w:rsid w:val="00BB4BB2"/>
    <w:pPr>
      <w:ind w:left="1021" w:firstLine="0"/>
    </w:pPr>
  </w:style>
  <w:style w:type="paragraph" w:styleId="ListContinue4">
    <w:name w:val="List Continue 4"/>
    <w:basedOn w:val="List4"/>
    <w:rsid w:val="00BB4BB2"/>
    <w:pPr>
      <w:ind w:firstLine="0"/>
    </w:pPr>
  </w:style>
  <w:style w:type="paragraph" w:styleId="ListContinue5">
    <w:name w:val="List Continue 5"/>
    <w:basedOn w:val="List5"/>
    <w:rsid w:val="00BB4BB2"/>
    <w:pPr>
      <w:ind w:firstLine="0"/>
    </w:pPr>
  </w:style>
  <w:style w:type="paragraph" w:styleId="ListNumber3">
    <w:name w:val="List Number 3"/>
    <w:basedOn w:val="List3"/>
    <w:rsid w:val="00BB4BB2"/>
    <w:pPr>
      <w:numPr>
        <w:numId w:val="3"/>
      </w:numPr>
    </w:pPr>
  </w:style>
  <w:style w:type="paragraph" w:styleId="ListNumber4">
    <w:name w:val="List Number 4"/>
    <w:basedOn w:val="List4"/>
    <w:rsid w:val="00BB4BB2"/>
    <w:pPr>
      <w:numPr>
        <w:numId w:val="4"/>
      </w:numPr>
    </w:pPr>
  </w:style>
  <w:style w:type="paragraph" w:styleId="ListNumber5">
    <w:name w:val="List Number 5"/>
    <w:basedOn w:val="List5"/>
    <w:rsid w:val="00BB4BB2"/>
    <w:pPr>
      <w:numPr>
        <w:numId w:val="5"/>
      </w:numPr>
    </w:pPr>
  </w:style>
  <w:style w:type="paragraph" w:styleId="BlockText">
    <w:name w:val="Block Text"/>
    <w:basedOn w:val="Normal"/>
    <w:rsid w:val="00BB4BB2"/>
    <w:pPr>
      <w:spacing w:after="120"/>
      <w:ind w:left="1440" w:right="1440"/>
    </w:pPr>
  </w:style>
  <w:style w:type="character" w:customStyle="1" w:styleId="Subscript">
    <w:name w:val="Subscript"/>
    <w:rsid w:val="00BB4BB2"/>
    <w:rPr>
      <w:sz w:val="16"/>
      <w:vertAlign w:val="subscript"/>
    </w:rPr>
  </w:style>
  <w:style w:type="character" w:customStyle="1" w:styleId="Superscript">
    <w:name w:val="Superscript"/>
    <w:rsid w:val="00BB4BB2"/>
    <w:rPr>
      <w:sz w:val="16"/>
      <w:vertAlign w:val="superscript"/>
    </w:rPr>
  </w:style>
  <w:style w:type="character" w:customStyle="1" w:styleId="Symbols">
    <w:name w:val="Symbols"/>
    <w:rsid w:val="00BB4BB2"/>
    <w:rPr>
      <w:rFonts w:ascii="Symbol" w:hAnsi="Symbol"/>
    </w:rPr>
  </w:style>
  <w:style w:type="character" w:customStyle="1" w:styleId="MenuOptions">
    <w:name w:val="Menu Options"/>
    <w:rsid w:val="00BB4BB2"/>
    <w:rPr>
      <w:rFonts w:ascii="Arial Narrow" w:hAnsi="Arial Narrow"/>
      <w:smallCaps/>
    </w:rPr>
  </w:style>
  <w:style w:type="character" w:customStyle="1" w:styleId="Buttons">
    <w:name w:val="Buttons"/>
    <w:rsid w:val="00BB4BB2"/>
    <w:rPr>
      <w:b/>
    </w:rPr>
  </w:style>
  <w:style w:type="character" w:customStyle="1" w:styleId="Underlined">
    <w:name w:val="Underlined"/>
    <w:rsid w:val="00BB4BB2"/>
    <w:rPr>
      <w:u w:val="single"/>
    </w:rPr>
  </w:style>
  <w:style w:type="paragraph" w:customStyle="1" w:styleId="TableBodyTextRight">
    <w:name w:val="Table Body Text Right"/>
    <w:basedOn w:val="TableBodyText"/>
    <w:rsid w:val="00BB4BB2"/>
    <w:pPr>
      <w:widowControl w:val="0"/>
      <w:autoSpaceDE w:val="0"/>
      <w:autoSpaceDN w:val="0"/>
      <w:adjustRightInd w:val="0"/>
      <w:jc w:val="right"/>
    </w:pPr>
    <w:rPr>
      <w:rFonts w:cs="Arial"/>
      <w:szCs w:val="18"/>
    </w:rPr>
  </w:style>
  <w:style w:type="paragraph" w:customStyle="1" w:styleId="CopyrightText">
    <w:name w:val="Copyright Text"/>
    <w:basedOn w:val="BodyText"/>
    <w:rsid w:val="00BB4BB2"/>
    <w:rPr>
      <w:sz w:val="18"/>
    </w:rPr>
  </w:style>
  <w:style w:type="paragraph" w:customStyle="1" w:styleId="BodySmallRight">
    <w:name w:val="Body Small Right"/>
    <w:basedOn w:val="BodyTextRight"/>
    <w:rsid w:val="00BB4BB2"/>
    <w:rPr>
      <w:sz w:val="18"/>
      <w:szCs w:val="18"/>
    </w:rPr>
  </w:style>
  <w:style w:type="paragraph" w:customStyle="1" w:styleId="MarginEdition">
    <w:name w:val="Margin Edition"/>
    <w:basedOn w:val="MarginNote"/>
    <w:rsid w:val="00BB4BB2"/>
    <w:pPr>
      <w:spacing w:before="0" w:after="0"/>
    </w:pPr>
    <w:rPr>
      <w:rFonts w:ascii="Times New Roman" w:hAnsi="Times New Roman"/>
      <w:color w:val="999999"/>
    </w:rPr>
  </w:style>
  <w:style w:type="paragraph" w:customStyle="1" w:styleId="Spacer">
    <w:name w:val="Spacer"/>
    <w:basedOn w:val="Normal"/>
    <w:rsid w:val="00BB4BB2"/>
    <w:rPr>
      <w:sz w:val="2"/>
      <w:szCs w:val="2"/>
    </w:rPr>
  </w:style>
  <w:style w:type="character" w:customStyle="1" w:styleId="Small">
    <w:name w:val="Small"/>
    <w:rsid w:val="00BB4BB2"/>
    <w:rPr>
      <w:sz w:val="16"/>
    </w:rPr>
  </w:style>
  <w:style w:type="paragraph" w:customStyle="1" w:styleId="WideTable">
    <w:name w:val="Wide Table"/>
    <w:basedOn w:val="Normal"/>
    <w:rsid w:val="00BB4BB2"/>
    <w:pPr>
      <w:ind w:left="-1418"/>
    </w:pPr>
    <w:rPr>
      <w:sz w:val="2"/>
      <w:szCs w:val="2"/>
    </w:rPr>
  </w:style>
  <w:style w:type="character" w:styleId="PageNumber">
    <w:name w:val="page number"/>
    <w:rsid w:val="00BB4BB2"/>
  </w:style>
  <w:style w:type="paragraph" w:styleId="Quote">
    <w:name w:val="Quote"/>
    <w:basedOn w:val="Heading1"/>
    <w:link w:val="QuoteChar"/>
    <w:qFormat/>
    <w:rsid w:val="00BB4BB2"/>
    <w:rPr>
      <w:b w:val="0"/>
      <w:sz w:val="72"/>
      <w:szCs w:val="72"/>
      <w:lang w:val="en-NZ"/>
    </w:rPr>
  </w:style>
  <w:style w:type="character" w:customStyle="1" w:styleId="QuoteChar">
    <w:name w:val="Quote Char"/>
    <w:link w:val="Quote"/>
    <w:rsid w:val="00BB4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BB2"/>
    <w:pPr>
      <w:pageBreakBefore/>
    </w:pPr>
  </w:style>
  <w:style w:type="paragraph" w:customStyle="1" w:styleId="Border">
    <w:name w:val="Border"/>
    <w:basedOn w:val="Normal"/>
    <w:qFormat/>
    <w:rsid w:val="00BB4BB2"/>
    <w:pPr>
      <w:pBdr>
        <w:top w:val="single" w:sz="18" w:space="1" w:color="auto"/>
      </w:pBdr>
    </w:pPr>
    <w:rPr>
      <w:rFonts w:ascii="Times New Roman" w:hAnsi="Times New Roman"/>
      <w:color w:val="FFFFFF"/>
      <w:sz w:val="2"/>
    </w:rPr>
  </w:style>
  <w:style w:type="character" w:styleId="IntenseEmphasis">
    <w:name w:val="Intense Emphasis"/>
    <w:uiPriority w:val="21"/>
    <w:qFormat/>
    <w:rsid w:val="00BB4BB2"/>
    <w:rPr>
      <w:b/>
      <w:bCs/>
      <w:i/>
      <w:iCs/>
      <w:color w:val="auto"/>
    </w:rPr>
  </w:style>
  <w:style w:type="paragraph" w:styleId="IntenseQuote">
    <w:name w:val="Intense Quote"/>
    <w:basedOn w:val="Normal"/>
    <w:next w:val="Normal"/>
    <w:link w:val="IntenseQuoteChar"/>
    <w:uiPriority w:val="30"/>
    <w:qFormat/>
    <w:rsid w:val="00BB4B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4BB2"/>
    <w:rPr>
      <w:rFonts w:ascii="Courier New" w:eastAsia="Times New Roman" w:hAnsi="Courier New" w:cs="Times New Roman"/>
      <w:b/>
      <w:bCs/>
      <w:i/>
      <w:iCs/>
      <w:szCs w:val="20"/>
      <w:lang w:val="en-US" w:eastAsia="en-US"/>
    </w:rPr>
  </w:style>
  <w:style w:type="character" w:styleId="SubtleReference">
    <w:name w:val="Subtle Reference"/>
    <w:uiPriority w:val="31"/>
    <w:qFormat/>
    <w:rsid w:val="00BB4BB2"/>
    <w:rPr>
      <w:smallCaps/>
      <w:color w:val="auto"/>
      <w:u w:val="single"/>
    </w:rPr>
  </w:style>
  <w:style w:type="character" w:styleId="IntenseReference">
    <w:name w:val="Intense Reference"/>
    <w:uiPriority w:val="32"/>
    <w:qFormat/>
    <w:rsid w:val="00BB4BB2"/>
    <w:rPr>
      <w:b/>
      <w:bCs/>
      <w:smallCaps/>
      <w:color w:val="auto"/>
      <w:spacing w:val="5"/>
      <w:u w:val="single"/>
    </w:rPr>
  </w:style>
  <w:style w:type="paragraph" w:customStyle="1" w:styleId="2ColumnHeading">
    <w:name w:val="2Column Heading"/>
    <w:basedOn w:val="BodyText"/>
    <w:qFormat/>
    <w:rsid w:val="00BB4BB2"/>
    <w:pPr>
      <w:spacing w:after="60"/>
      <w:ind w:left="-2268"/>
    </w:pPr>
    <w:rPr>
      <w:b/>
    </w:rPr>
  </w:style>
  <w:style w:type="paragraph" w:customStyle="1" w:styleId="Heading1TOC">
    <w:name w:val="Heading1 TOC"/>
    <w:basedOn w:val="Normal"/>
    <w:qFormat/>
    <w:rsid w:val="00BB4BB2"/>
    <w:pPr>
      <w:spacing w:before="240" w:after="120"/>
    </w:pPr>
    <w:rPr>
      <w:rFonts w:ascii="Times New Roman" w:hAnsi="Times New Roman"/>
      <w:b/>
      <w:sz w:val="32"/>
    </w:rPr>
  </w:style>
  <w:style w:type="paragraph" w:customStyle="1" w:styleId="Heading2TOC">
    <w:name w:val="Heading2 TOC"/>
    <w:basedOn w:val="Normal"/>
    <w:qFormat/>
    <w:rsid w:val="00BB4BB2"/>
    <w:pPr>
      <w:spacing w:before="240" w:after="60"/>
    </w:pPr>
    <w:rPr>
      <w:rFonts w:ascii="Times New Roman" w:hAnsi="Times New Roman"/>
      <w:b/>
      <w:sz w:val="28"/>
    </w:rPr>
  </w:style>
  <w:style w:type="character" w:customStyle="1" w:styleId="Underline">
    <w:name w:val="Underline"/>
    <w:qFormat/>
    <w:rsid w:val="00BB4BB2"/>
    <w:rPr>
      <w:u w:val="single"/>
    </w:rPr>
  </w:style>
  <w:style w:type="character" w:customStyle="1" w:styleId="BoldandItalics">
    <w:name w:val="Bold and Italics"/>
    <w:qFormat/>
    <w:rsid w:val="00BB4BB2"/>
    <w:rPr>
      <w:b/>
      <w:i/>
      <w:u w:val="none"/>
    </w:rPr>
  </w:style>
  <w:style w:type="paragraph" w:styleId="BalloonText">
    <w:name w:val="Balloon Text"/>
    <w:basedOn w:val="Normal"/>
    <w:link w:val="BalloonTextChar"/>
    <w:rsid w:val="00BB4BB2"/>
    <w:rPr>
      <w:rFonts w:ascii="Tahoma" w:hAnsi="Tahoma" w:cs="Tahoma"/>
      <w:sz w:val="16"/>
      <w:szCs w:val="16"/>
    </w:rPr>
  </w:style>
  <w:style w:type="character" w:customStyle="1" w:styleId="BalloonTextChar">
    <w:name w:val="Balloon Text Char"/>
    <w:link w:val="BalloonText"/>
    <w:rsid w:val="00BB4B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4B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4B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1677</Words>
  <Characters>10185</Characters>
  <Application>Microsoft Office Word</Application>
  <DocSecurity>0</DocSecurity>
  <Lines>346</Lines>
  <Paragraphs>262</Paragraphs>
  <ScaleCrop>false</ScaleCrop>
  <Company>Author-it Software Corporation Ltd.</Company>
  <LinksUpToDate>false</LinksUpToDate>
  <CharactersWithSpaces>11803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THTFME06A Manage event contractors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2012-05-27T03:18:00Z</dcterms:created>
  <dcterms:modified xsi:type="dcterms:W3CDTF">2012-05-27T03:18:00Z</dcterms:modified>
</cp:coreProperties>
</file>