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764D" w:rsidP="007C764D">
      <w:pPr>
        <w:pStyle w:val="Title"/>
      </w:pPr>
      <w:r>
        <w:fldChar w:fldCharType="begin"/>
      </w:r>
      <w:r>
        <w:instrText xml:space="preserve"> TITLE   \* MERGEFORMAT </w:instrText>
      </w:r>
      <w:r>
        <w:fldChar w:fldCharType="separate"/>
      </w:r>
      <w:r>
        <w:t>THHGLE22A Manage risk</w:t>
      </w:r>
      <w:r>
        <w:fldChar w:fldCharType="end"/>
      </w:r>
    </w:p>
    <w:p w:rsidR="007C764D" w:rsidP="007C764D">
      <w:pPr>
        <w:pStyle w:val="Version"/>
        <w:sectPr w:rsidSect="00EF02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02DD" w:rsidP="00EF02DD">
      <w:pPr>
        <w:pStyle w:val="SuperHeading"/>
      </w:pPr>
      <w:r w:rsidRPr="00EF02DD">
        <w:t>THHGLE22A Manage risk</w:t>
      </w:r>
    </w:p>
    <w:p w:rsidR="00000000" w:rsidRPr="00EF02DD" w:rsidP="00EF02DD">
      <w:pPr>
        <w:pStyle w:val="Heading1"/>
      </w:pPr>
      <w:bookmarkStart w:id="1" w:name="O_326607"/>
      <w:bookmarkEnd w:id="1"/>
      <w:r w:rsidRPr="00EF02DD">
        <w:t>Modification History</w:t>
      </w:r>
    </w:p>
    <w:p w:rsidR="00000000" w:rsidRPr="00EF02DD" w:rsidP="00EF02DD">
      <w:pPr>
        <w:pStyle w:val="BodyText"/>
      </w:pPr>
      <w:r w:rsidRPr="00EF02DD">
        <w:t>Not applicable.</w:t>
      </w:r>
    </w:p>
    <w:p w:rsidR="00000000" w:rsidRPr="00EF02DD" w:rsidP="00EF02DD">
      <w:pPr>
        <w:pStyle w:val="AllowPageBreak"/>
      </w:pPr>
    </w:p>
    <w:p w:rsidR="00000000" w:rsidRPr="00EF02DD" w:rsidP="00EF02DD">
      <w:pPr>
        <w:pStyle w:val="Heading1"/>
      </w:pPr>
      <w:bookmarkStart w:id="2" w:name="O_326608"/>
      <w:bookmarkEnd w:id="2"/>
      <w:r w:rsidRPr="00EF02DD">
        <w:t>Unit Descriptor</w:t>
      </w:r>
    </w:p>
    <w:p w:rsidR="00000000" w:rsidRPr="00EF02DD" w:rsidP="00EF02DD">
      <w:pPr>
        <w:pStyle w:val="BodyText"/>
      </w:pPr>
      <w:r w:rsidRPr="00EF02DD">
        <w:t>This unit describes the skills and knowledge required to create, implement and monitor risk management strategies in a range of tourism and hosp</w:t>
      </w:r>
      <w:r w:rsidRPr="00EF02DD">
        <w:t>itality contexts.  This role could be undertaken by different people depending upon the industry context (eg. tour guides, event managers, operations managers).  This unit is very closely related to the unit THHGLE04B Establish and maintain a safe and secu</w:t>
      </w:r>
      <w:r w:rsidRPr="00EF02DD">
        <w:t>re workplace and care should be taken to avoid duplication in training and assessment.  This unit equates to unit BSBMGT615A Manage risk in the Business Services Training Package.</w:t>
      </w:r>
    </w:p>
    <w:p w:rsidR="00000000" w:rsidRPr="00EF02DD" w:rsidP="00EF02DD">
      <w:pPr>
        <w:pStyle w:val="BodyText"/>
      </w:pPr>
      <w:r w:rsidRPr="00EF02DD">
        <w:t>This unit describes the skills and knowledge required to create, implement a</w:t>
      </w:r>
      <w:r w:rsidRPr="00EF02DD">
        <w:t xml:space="preserve">nd monitor risk management strategies in a range of tourism and hospitality contexts.  This role could be undertaken by different people depending upon the industry context (eg. tour guides, event managers, operations managers).  This unit is very closely </w:t>
      </w:r>
      <w:r w:rsidRPr="00EF02DD">
        <w:t>related to the unit THHGLE04B Establish and maintain a safe and secure workplace and care should be taken to avoid duplication in training and assessment.  This unit equates to unit BSBMGT615A Manage risk in the Business Services Training Package</w:t>
      </w:r>
    </w:p>
    <w:p w:rsidR="00000000" w:rsidRPr="00EF02DD" w:rsidP="00EF02DD">
      <w:pPr>
        <w:pStyle w:val="AllowPageBreak"/>
      </w:pPr>
    </w:p>
    <w:p w:rsidR="00000000" w:rsidRPr="00EF02DD" w:rsidP="00EF02DD">
      <w:pPr>
        <w:pStyle w:val="Heading1"/>
      </w:pPr>
      <w:bookmarkStart w:id="3" w:name="O_326606"/>
      <w:bookmarkEnd w:id="3"/>
      <w:r w:rsidRPr="00EF02DD">
        <w:t>Application of the Unit</w:t>
      </w:r>
    </w:p>
    <w:p w:rsidR="00000000" w:rsidRPr="00EF02DD" w:rsidP="00EF02DD">
      <w:pPr>
        <w:pStyle w:val="BodyText"/>
      </w:pPr>
      <w:r w:rsidRPr="00EF02DD">
        <w:t>Not applicable.</w:t>
      </w:r>
    </w:p>
    <w:p w:rsidR="00000000" w:rsidRPr="00EF02DD" w:rsidP="00EF02DD">
      <w:pPr>
        <w:pStyle w:val="AllowPageBreak"/>
      </w:pPr>
    </w:p>
    <w:p w:rsidR="00000000" w:rsidRPr="00EF02DD" w:rsidP="00EF02DD">
      <w:pPr>
        <w:pStyle w:val="Heading1"/>
      </w:pPr>
      <w:bookmarkStart w:id="4" w:name="O_326605"/>
      <w:bookmarkEnd w:id="4"/>
      <w:r w:rsidRPr="00EF02DD">
        <w:t>Licensing/Regulatory Information</w:t>
      </w:r>
    </w:p>
    <w:p w:rsidR="00000000" w:rsidRPr="00EF02DD" w:rsidP="00EF02DD">
      <w:pPr>
        <w:pStyle w:val="BodyText"/>
      </w:pPr>
      <w:r w:rsidRPr="00EF02DD">
        <w:t>Not applicable.</w:t>
      </w:r>
    </w:p>
    <w:p w:rsidR="00000000" w:rsidRPr="00EF02DD" w:rsidP="00EF02DD">
      <w:pPr>
        <w:pStyle w:val="AllowPageBreak"/>
      </w:pPr>
    </w:p>
    <w:p w:rsidR="00000000" w:rsidRPr="00EF02DD" w:rsidP="00EF02DD">
      <w:pPr>
        <w:pStyle w:val="Heading1"/>
      </w:pPr>
      <w:bookmarkStart w:id="5" w:name="O_326604"/>
      <w:bookmarkEnd w:id="5"/>
      <w:r w:rsidRPr="00EF02DD">
        <w:t>Pre-Requisites</w:t>
      </w:r>
    </w:p>
    <w:p w:rsidR="00000000" w:rsidRPr="00EF02DD" w:rsidP="00EF02DD">
      <w:pPr>
        <w:pStyle w:val="BodyText"/>
      </w:pPr>
      <w:r w:rsidRPr="00EF02DD">
        <w:t>Not applicable.</w:t>
      </w:r>
    </w:p>
    <w:p w:rsidR="00000000" w:rsidRPr="00EF02DD" w:rsidP="00EF02DD">
      <w:pPr>
        <w:pStyle w:val="AllowPageBreak"/>
      </w:pPr>
    </w:p>
    <w:p w:rsidR="00000000" w:rsidRPr="00EF02DD" w:rsidP="00EF02DD">
      <w:pPr>
        <w:pStyle w:val="Heading1"/>
      </w:pPr>
      <w:bookmarkStart w:id="6" w:name="O_326603"/>
      <w:bookmarkEnd w:id="6"/>
      <w:r w:rsidRPr="00EF02DD">
        <w:t>Employability Skills Information</w:t>
      </w:r>
    </w:p>
    <w:p w:rsidR="00000000" w:rsidRPr="00EF02DD" w:rsidP="00EF02DD">
      <w:pPr>
        <w:pStyle w:val="BodyText"/>
      </w:pPr>
      <w:r w:rsidRPr="00EF02DD">
        <w:t>Not applicable.</w:t>
      </w:r>
    </w:p>
    <w:p w:rsidR="00000000" w:rsidRPr="00EF02DD" w:rsidP="00EF02DD">
      <w:pPr>
        <w:pStyle w:val="AllowPageBreak"/>
      </w:pPr>
    </w:p>
    <w:p w:rsidR="00000000" w:rsidRPr="00EF02DD" w:rsidP="00EF02DD">
      <w:pPr>
        <w:pStyle w:val="Heading1"/>
      </w:pPr>
      <w:bookmarkStart w:id="7" w:name="O_326609"/>
      <w:bookmarkEnd w:id="7"/>
      <w:r w:rsidRPr="00EF02DD">
        <w:t>Elements and Performance Criteria Pre-Content</w:t>
      </w:r>
    </w:p>
    <w:p w:rsidR="00000000" w:rsidRPr="00EF02DD" w:rsidP="00EF02DD">
      <w:pPr>
        <w:pStyle w:val="BodyText"/>
      </w:pPr>
      <w:r w:rsidRPr="00EF02DD">
        <w:t>Not applicable.</w:t>
      </w:r>
    </w:p>
    <w:p w:rsidR="00000000" w:rsidRPr="00EF02DD" w:rsidP="00EF02DD">
      <w:pPr>
        <w:pStyle w:val="AllowPageBreak"/>
      </w:pPr>
    </w:p>
    <w:p w:rsidR="00000000" w:rsidRPr="00EF02DD" w:rsidP="00EF02DD">
      <w:pPr>
        <w:pStyle w:val="Heading1"/>
      </w:pPr>
      <w:bookmarkStart w:id="8" w:name="O_326598"/>
      <w:bookmarkEnd w:id="8"/>
      <w:r w:rsidRPr="00EF02DD">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7C764D">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EF02DD">
            <w:pPr>
              <w:pStyle w:val="BodyText"/>
              <w:rPr>
                <w:lang w:val="en-NZ"/>
              </w:rPr>
            </w:pPr>
            <w:r w:rsidRPr="00EF02DD">
              <w:rPr>
                <w:rStyle w:val="SpecialBold"/>
              </w:rPr>
              <w:t>Elements and Performance Criteria</w:t>
            </w:r>
          </w:p>
        </w:tc>
      </w:tr>
      <w:tr w:rsidTr="007C764D">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EF02DD" w:rsidP="00EF02DD">
            <w:pPr>
              <w:pStyle w:val="BodyText"/>
            </w:pPr>
            <w:r w:rsidRPr="00EF02DD">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EF02DD">
            <w:pPr>
              <w:pStyle w:val="BodyText"/>
              <w:rPr>
                <w:lang w:val="en-NZ"/>
              </w:rPr>
            </w:pPr>
            <w:r w:rsidRPr="00EF02DD">
              <w:rPr>
                <w:rStyle w:val="SpecialBold"/>
              </w:rPr>
              <w:t>Performance Criteria</w:t>
            </w:r>
          </w:p>
        </w:tc>
      </w:tr>
      <w:tr w:rsidTr="007C764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F02DD">
            <w:pPr>
              <w:pStyle w:val="BodyText"/>
              <w:rPr>
                <w:lang w:val="en-NZ"/>
              </w:rPr>
            </w:pPr>
            <w:r w:rsidRPr="00EF02DD">
              <w:t>1</w:t>
            </w:r>
          </w:p>
        </w:tc>
        <w:tc>
          <w:tcPr>
            <w:tcW w:w="3000" w:type="dxa"/>
            <w:vMerge w:val="restart"/>
            <w:tcBorders>
              <w:top w:val="nil"/>
              <w:left w:val="nil"/>
              <w:bottom w:val="nil"/>
              <w:right w:val="nil"/>
            </w:tcBorders>
            <w:tcMar>
              <w:top w:w="0" w:type="dxa"/>
              <w:left w:w="62" w:type="dxa"/>
              <w:bottom w:w="0" w:type="dxa"/>
              <w:right w:w="62" w:type="dxa"/>
            </w:tcMar>
          </w:tcPr>
          <w:p w:rsidR="00000000" w:rsidP="00EF02DD">
            <w:pPr>
              <w:pStyle w:val="BodyText"/>
              <w:rPr>
                <w:lang w:val="en-NZ"/>
              </w:rPr>
            </w:pPr>
            <w:r w:rsidRPr="00EF02DD">
              <w:t>Develop risk management strategies</w:t>
            </w:r>
          </w:p>
        </w:tc>
        <w:tc>
          <w:tcPr>
            <w:tcW w:w="500" w:type="dxa"/>
            <w:tcBorders>
              <w:top w:val="nil"/>
              <w:left w:val="nil"/>
              <w:bottom w:val="nil"/>
              <w:right w:val="nil"/>
            </w:tcBorders>
            <w:tcMar>
              <w:top w:w="0" w:type="dxa"/>
              <w:left w:w="62" w:type="dxa"/>
              <w:bottom w:w="0" w:type="dxa"/>
              <w:right w:w="62" w:type="dxa"/>
            </w:tcMar>
          </w:tcPr>
          <w:p w:rsidR="00000000" w:rsidP="00EF02DD">
            <w:pPr>
              <w:pStyle w:val="BodyText"/>
              <w:rPr>
                <w:lang w:val="en-NZ"/>
              </w:rPr>
            </w:pPr>
            <w:r w:rsidRPr="00EF02DD">
              <w:t>1.1</w:t>
            </w:r>
          </w:p>
        </w:tc>
        <w:tc>
          <w:tcPr>
            <w:tcW w:w="5100" w:type="dxa"/>
            <w:tcBorders>
              <w:top w:val="nil"/>
              <w:left w:val="nil"/>
              <w:bottom w:val="nil"/>
              <w:right w:val="nil"/>
            </w:tcBorders>
            <w:tcMar>
              <w:top w:w="0" w:type="dxa"/>
              <w:left w:w="62" w:type="dxa"/>
              <w:bottom w:w="0" w:type="dxa"/>
              <w:right w:w="62" w:type="dxa"/>
            </w:tcMar>
          </w:tcPr>
          <w:p w:rsidR="00000000" w:rsidP="00EF02DD">
            <w:pPr>
              <w:pStyle w:val="BodyText"/>
              <w:rPr>
                <w:lang w:val="en-NZ"/>
              </w:rPr>
            </w:pPr>
            <w:r w:rsidRPr="00EF02DD">
              <w:t>Identify and document risks for a specific environment to include levels of probability and likely impacts.</w:t>
            </w:r>
          </w:p>
        </w:tc>
      </w:tr>
      <w:tr w:rsidTr="007C764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F02DD">
            <w:pPr>
              <w:pStyle w:val="BodyText"/>
              <w:rPr>
                <w:lang w:val="en-NZ"/>
              </w:rPr>
            </w:pPr>
            <w:r w:rsidRPr="00EF02DD">
              <w:t>1.2</w:t>
            </w:r>
          </w:p>
        </w:tc>
        <w:tc>
          <w:tcPr>
            <w:tcW w:w="5100" w:type="dxa"/>
            <w:tcBorders>
              <w:top w:val="nil"/>
              <w:left w:val="nil"/>
              <w:bottom w:val="nil"/>
              <w:right w:val="nil"/>
            </w:tcBorders>
            <w:tcMar>
              <w:top w:w="0" w:type="dxa"/>
              <w:left w:w="62" w:type="dxa"/>
              <w:bottom w:w="0" w:type="dxa"/>
              <w:right w:w="62" w:type="dxa"/>
            </w:tcMar>
          </w:tcPr>
          <w:p w:rsidR="00000000" w:rsidP="00EF02DD">
            <w:pPr>
              <w:pStyle w:val="BodyText"/>
              <w:rPr>
                <w:lang w:val="en-NZ"/>
              </w:rPr>
            </w:pPr>
            <w:r w:rsidRPr="00EF02DD">
              <w:t>Integrate the perspective of all stakeholders when identifying risks.</w:t>
            </w:r>
          </w:p>
        </w:tc>
      </w:tr>
      <w:tr w:rsidTr="007C764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F02DD">
            <w:pPr>
              <w:pStyle w:val="BodyText"/>
              <w:rPr>
                <w:lang w:val="en-NZ"/>
              </w:rPr>
            </w:pPr>
            <w:r w:rsidRPr="00EF02DD">
              <w:t>1.3</w:t>
            </w:r>
          </w:p>
        </w:tc>
        <w:tc>
          <w:tcPr>
            <w:tcW w:w="5100" w:type="dxa"/>
            <w:tcBorders>
              <w:top w:val="nil"/>
              <w:left w:val="nil"/>
              <w:bottom w:val="nil"/>
              <w:right w:val="nil"/>
            </w:tcBorders>
            <w:tcMar>
              <w:top w:w="0" w:type="dxa"/>
              <w:left w:w="62" w:type="dxa"/>
              <w:bottom w:w="0" w:type="dxa"/>
              <w:right w:w="62" w:type="dxa"/>
            </w:tcMar>
          </w:tcPr>
          <w:p w:rsidR="00000000" w:rsidP="00EF02DD">
            <w:pPr>
              <w:pStyle w:val="BodyText"/>
              <w:rPr>
                <w:lang w:val="en-NZ"/>
              </w:rPr>
            </w:pPr>
            <w:r w:rsidRPr="00EF02DD">
              <w:t>Develop and document contingency plans and procedures for risk elimination, minimisation and monitoring in consultation with colleagues and other stakeholders.</w:t>
            </w:r>
          </w:p>
        </w:tc>
      </w:tr>
      <w:tr w:rsidTr="007C764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F02DD">
            <w:pPr>
              <w:pStyle w:val="BodyText"/>
              <w:rPr>
                <w:lang w:val="en-NZ"/>
              </w:rPr>
            </w:pPr>
            <w:r w:rsidRPr="00EF02DD">
              <w:t>1.4</w:t>
            </w:r>
          </w:p>
        </w:tc>
        <w:tc>
          <w:tcPr>
            <w:tcW w:w="5100" w:type="dxa"/>
            <w:tcBorders>
              <w:top w:val="nil"/>
              <w:left w:val="nil"/>
              <w:bottom w:val="nil"/>
              <w:right w:val="nil"/>
            </w:tcBorders>
            <w:tcMar>
              <w:top w:w="0" w:type="dxa"/>
              <w:left w:w="62" w:type="dxa"/>
              <w:bottom w:w="0" w:type="dxa"/>
              <w:right w:w="62" w:type="dxa"/>
            </w:tcMar>
          </w:tcPr>
          <w:p w:rsidR="00000000" w:rsidP="00EF02DD">
            <w:pPr>
              <w:pStyle w:val="BodyText"/>
              <w:rPr>
                <w:lang w:val="en-NZ"/>
              </w:rPr>
            </w:pPr>
            <w:r w:rsidRPr="00EF02DD">
              <w:t>Develop and document communication and reporting mechanisms in relation to identified ris</w:t>
            </w:r>
            <w:r w:rsidRPr="00EF02DD">
              <w:t>ks including accountability and incident reporting.</w:t>
            </w:r>
          </w:p>
        </w:tc>
      </w:tr>
      <w:tr w:rsidTr="007C764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F02DD">
            <w:pPr>
              <w:pStyle w:val="BodyText"/>
              <w:rPr>
                <w:lang w:val="en-NZ"/>
              </w:rPr>
            </w:pPr>
            <w:r w:rsidRPr="00EF02DD">
              <w:t>1.5</w:t>
            </w:r>
          </w:p>
        </w:tc>
        <w:tc>
          <w:tcPr>
            <w:tcW w:w="5100" w:type="dxa"/>
            <w:tcBorders>
              <w:top w:val="nil"/>
              <w:left w:val="nil"/>
              <w:bottom w:val="nil"/>
              <w:right w:val="nil"/>
            </w:tcBorders>
            <w:tcMar>
              <w:top w:w="0" w:type="dxa"/>
              <w:left w:w="62" w:type="dxa"/>
              <w:bottom w:w="0" w:type="dxa"/>
              <w:right w:w="62" w:type="dxa"/>
            </w:tcMar>
          </w:tcPr>
          <w:p w:rsidR="00000000" w:rsidP="00EF02DD">
            <w:pPr>
              <w:pStyle w:val="BodyText"/>
              <w:rPr>
                <w:lang w:val="en-NZ"/>
              </w:rPr>
            </w:pPr>
            <w:r w:rsidRPr="00EF02DD">
              <w:t>Establish mechanisms for the training and education of relevant colleagues and stakeholders.</w:t>
            </w:r>
          </w:p>
        </w:tc>
      </w:tr>
      <w:tr w:rsidTr="007C764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F02DD">
            <w:pPr>
              <w:pStyle w:val="BodyText"/>
              <w:rPr>
                <w:lang w:val="en-NZ"/>
              </w:rPr>
            </w:pPr>
            <w:r w:rsidRPr="00EF02DD">
              <w:t>1.6</w:t>
            </w:r>
          </w:p>
        </w:tc>
        <w:tc>
          <w:tcPr>
            <w:tcW w:w="5100" w:type="dxa"/>
            <w:tcBorders>
              <w:top w:val="nil"/>
              <w:left w:val="nil"/>
              <w:bottom w:val="nil"/>
              <w:right w:val="nil"/>
            </w:tcBorders>
            <w:tcMar>
              <w:top w:w="0" w:type="dxa"/>
              <w:left w:w="62" w:type="dxa"/>
              <w:bottom w:w="0" w:type="dxa"/>
              <w:right w:w="62" w:type="dxa"/>
            </w:tcMar>
          </w:tcPr>
          <w:p w:rsidR="00000000" w:rsidP="00EF02DD">
            <w:pPr>
              <w:pStyle w:val="BodyText"/>
              <w:rPr>
                <w:lang w:val="en-NZ"/>
              </w:rPr>
            </w:pPr>
            <w:r w:rsidRPr="00EF02DD">
              <w:t>Establish procedures for ongoing identification of risks.</w:t>
            </w:r>
          </w:p>
        </w:tc>
      </w:tr>
      <w:tr w:rsidTr="007C764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F02DD">
            <w:pPr>
              <w:pStyle w:val="BodyText"/>
              <w:rPr>
                <w:lang w:val="en-NZ"/>
              </w:rPr>
            </w:pPr>
            <w:r w:rsidRPr="00EF02DD">
              <w:t>2</w:t>
            </w:r>
          </w:p>
        </w:tc>
        <w:tc>
          <w:tcPr>
            <w:tcW w:w="3000" w:type="dxa"/>
            <w:vMerge w:val="restart"/>
            <w:tcBorders>
              <w:top w:val="nil"/>
              <w:left w:val="nil"/>
              <w:bottom w:val="nil"/>
              <w:right w:val="nil"/>
            </w:tcBorders>
            <w:tcMar>
              <w:top w:w="0" w:type="dxa"/>
              <w:left w:w="62" w:type="dxa"/>
              <w:bottom w:w="0" w:type="dxa"/>
              <w:right w:w="62" w:type="dxa"/>
            </w:tcMar>
          </w:tcPr>
          <w:p w:rsidR="00000000" w:rsidP="00EF02DD">
            <w:pPr>
              <w:pStyle w:val="BodyText"/>
              <w:rPr>
                <w:lang w:val="en-NZ"/>
              </w:rPr>
            </w:pPr>
            <w:r w:rsidRPr="00EF02DD">
              <w:t>Implement risk management strategies</w:t>
            </w:r>
          </w:p>
        </w:tc>
        <w:tc>
          <w:tcPr>
            <w:tcW w:w="500" w:type="dxa"/>
            <w:tcBorders>
              <w:top w:val="nil"/>
              <w:left w:val="nil"/>
              <w:bottom w:val="nil"/>
              <w:right w:val="nil"/>
            </w:tcBorders>
            <w:tcMar>
              <w:top w:w="0" w:type="dxa"/>
              <w:left w:w="62" w:type="dxa"/>
              <w:bottom w:w="0" w:type="dxa"/>
              <w:right w:w="62" w:type="dxa"/>
            </w:tcMar>
          </w:tcPr>
          <w:p w:rsidR="00000000" w:rsidP="00EF02DD">
            <w:pPr>
              <w:pStyle w:val="BodyText"/>
              <w:rPr>
                <w:lang w:val="en-NZ"/>
              </w:rPr>
            </w:pPr>
            <w:r w:rsidRPr="00EF02DD">
              <w:t>2.1</w:t>
            </w:r>
          </w:p>
        </w:tc>
        <w:tc>
          <w:tcPr>
            <w:tcW w:w="5100" w:type="dxa"/>
            <w:tcBorders>
              <w:top w:val="nil"/>
              <w:left w:val="nil"/>
              <w:bottom w:val="nil"/>
              <w:right w:val="nil"/>
            </w:tcBorders>
            <w:tcMar>
              <w:top w:w="0" w:type="dxa"/>
              <w:left w:w="62" w:type="dxa"/>
              <w:bottom w:w="0" w:type="dxa"/>
              <w:right w:w="62" w:type="dxa"/>
            </w:tcMar>
          </w:tcPr>
          <w:p w:rsidR="00000000" w:rsidP="00EF02DD">
            <w:pPr>
              <w:pStyle w:val="BodyText"/>
              <w:rPr>
                <w:lang w:val="en-NZ"/>
              </w:rPr>
            </w:pPr>
            <w:r w:rsidRPr="00EF02DD">
              <w:t>Monitor activities to identify potential risk on a continuous basis.</w:t>
            </w:r>
          </w:p>
        </w:tc>
      </w:tr>
      <w:tr w:rsidTr="007C764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F02DD">
            <w:pPr>
              <w:pStyle w:val="BodyText"/>
              <w:rPr>
                <w:lang w:val="en-NZ"/>
              </w:rPr>
            </w:pPr>
            <w:r w:rsidRPr="00EF02DD">
              <w:t>2.2</w:t>
            </w:r>
          </w:p>
        </w:tc>
        <w:tc>
          <w:tcPr>
            <w:tcW w:w="5100" w:type="dxa"/>
            <w:tcBorders>
              <w:top w:val="nil"/>
              <w:left w:val="nil"/>
              <w:bottom w:val="nil"/>
              <w:right w:val="nil"/>
            </w:tcBorders>
            <w:tcMar>
              <w:top w:w="0" w:type="dxa"/>
              <w:left w:w="62" w:type="dxa"/>
              <w:bottom w:w="0" w:type="dxa"/>
              <w:right w:w="62" w:type="dxa"/>
            </w:tcMar>
          </w:tcPr>
          <w:p w:rsidR="00000000" w:rsidP="00EF02DD">
            <w:pPr>
              <w:pStyle w:val="BodyText"/>
              <w:rPr>
                <w:lang w:val="en-NZ"/>
              </w:rPr>
            </w:pPr>
            <w:r w:rsidRPr="00EF02DD">
              <w:t>Eliminate unacceptable risks wherever practicable in accordance with agreed strategies.</w:t>
            </w:r>
          </w:p>
        </w:tc>
      </w:tr>
      <w:tr w:rsidTr="007C764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F02DD">
            <w:pPr>
              <w:pStyle w:val="BodyText"/>
              <w:rPr>
                <w:lang w:val="en-NZ"/>
              </w:rPr>
            </w:pPr>
            <w:r w:rsidRPr="00EF02DD">
              <w:t>2.3</w:t>
            </w:r>
          </w:p>
        </w:tc>
        <w:tc>
          <w:tcPr>
            <w:tcW w:w="5100" w:type="dxa"/>
            <w:tcBorders>
              <w:top w:val="nil"/>
              <w:left w:val="nil"/>
              <w:bottom w:val="nil"/>
              <w:right w:val="nil"/>
            </w:tcBorders>
            <w:tcMar>
              <w:top w:w="0" w:type="dxa"/>
              <w:left w:w="62" w:type="dxa"/>
              <w:bottom w:w="0" w:type="dxa"/>
              <w:right w:w="62" w:type="dxa"/>
            </w:tcMar>
          </w:tcPr>
          <w:p w:rsidR="00000000" w:rsidP="00EF02DD">
            <w:pPr>
              <w:pStyle w:val="BodyText"/>
              <w:rPr>
                <w:lang w:val="en-NZ"/>
              </w:rPr>
            </w:pPr>
            <w:r w:rsidRPr="00EF02DD">
              <w:t>Minimise risks that cannot be eliminated in accordance with agreed strategies.</w:t>
            </w:r>
          </w:p>
        </w:tc>
      </w:tr>
      <w:tr w:rsidTr="007C764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F02DD">
            <w:pPr>
              <w:pStyle w:val="BodyText"/>
              <w:rPr>
                <w:lang w:val="en-NZ"/>
              </w:rPr>
            </w:pPr>
            <w:r w:rsidRPr="00EF02DD">
              <w:t>2.4</w:t>
            </w:r>
          </w:p>
        </w:tc>
        <w:tc>
          <w:tcPr>
            <w:tcW w:w="5100" w:type="dxa"/>
            <w:tcBorders>
              <w:top w:val="nil"/>
              <w:left w:val="nil"/>
              <w:bottom w:val="nil"/>
              <w:right w:val="nil"/>
            </w:tcBorders>
            <w:tcMar>
              <w:top w:w="0" w:type="dxa"/>
              <w:left w:w="62" w:type="dxa"/>
              <w:bottom w:w="0" w:type="dxa"/>
              <w:right w:w="62" w:type="dxa"/>
            </w:tcMar>
          </w:tcPr>
          <w:p w:rsidR="00000000" w:rsidP="00EF02DD">
            <w:pPr>
              <w:pStyle w:val="BodyText"/>
              <w:rPr>
                <w:lang w:val="en-NZ"/>
              </w:rPr>
            </w:pPr>
            <w:r w:rsidRPr="00EF02DD">
              <w:t>Monitor risks classified as low in accordance with agreed strategies.</w:t>
            </w:r>
          </w:p>
        </w:tc>
      </w:tr>
      <w:tr w:rsidTr="007C764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F02DD">
            <w:pPr>
              <w:pStyle w:val="BodyText"/>
              <w:rPr>
                <w:lang w:val="en-NZ"/>
              </w:rPr>
            </w:pPr>
            <w:r w:rsidRPr="00EF02DD">
              <w:t>3</w:t>
            </w:r>
          </w:p>
        </w:tc>
        <w:tc>
          <w:tcPr>
            <w:tcW w:w="3000" w:type="dxa"/>
            <w:vMerge w:val="restart"/>
            <w:tcBorders>
              <w:top w:val="nil"/>
              <w:left w:val="nil"/>
              <w:bottom w:val="nil"/>
              <w:right w:val="nil"/>
            </w:tcBorders>
            <w:tcMar>
              <w:top w:w="0" w:type="dxa"/>
              <w:left w:w="62" w:type="dxa"/>
              <w:bottom w:w="0" w:type="dxa"/>
              <w:right w:w="62" w:type="dxa"/>
            </w:tcMar>
          </w:tcPr>
          <w:p w:rsidR="00000000" w:rsidP="00EF02DD">
            <w:pPr>
              <w:pStyle w:val="BodyText"/>
              <w:rPr>
                <w:lang w:val="en-NZ"/>
              </w:rPr>
            </w:pPr>
            <w:r w:rsidRPr="00EF02DD">
              <w:t>Monitor risk management strategies</w:t>
            </w:r>
          </w:p>
        </w:tc>
        <w:tc>
          <w:tcPr>
            <w:tcW w:w="500" w:type="dxa"/>
            <w:tcBorders>
              <w:top w:val="nil"/>
              <w:left w:val="nil"/>
              <w:bottom w:val="nil"/>
              <w:right w:val="nil"/>
            </w:tcBorders>
            <w:tcMar>
              <w:top w:w="0" w:type="dxa"/>
              <w:left w:w="62" w:type="dxa"/>
              <w:bottom w:w="0" w:type="dxa"/>
              <w:right w:w="62" w:type="dxa"/>
            </w:tcMar>
          </w:tcPr>
          <w:p w:rsidR="00000000" w:rsidP="00EF02DD">
            <w:pPr>
              <w:pStyle w:val="BodyText"/>
              <w:rPr>
                <w:lang w:val="en-NZ"/>
              </w:rPr>
            </w:pPr>
            <w:r w:rsidRPr="00EF02DD">
              <w:t>3.1</w:t>
            </w:r>
          </w:p>
        </w:tc>
        <w:tc>
          <w:tcPr>
            <w:tcW w:w="5100" w:type="dxa"/>
            <w:tcBorders>
              <w:top w:val="nil"/>
              <w:left w:val="nil"/>
              <w:bottom w:val="nil"/>
              <w:right w:val="nil"/>
            </w:tcBorders>
            <w:tcMar>
              <w:top w:w="0" w:type="dxa"/>
              <w:left w:w="62" w:type="dxa"/>
              <w:bottom w:w="0" w:type="dxa"/>
              <w:right w:w="62" w:type="dxa"/>
            </w:tcMar>
          </w:tcPr>
          <w:p w:rsidR="00000000" w:rsidP="00EF02DD">
            <w:pPr>
              <w:pStyle w:val="BodyText"/>
              <w:rPr>
                <w:lang w:val="en-NZ"/>
              </w:rPr>
            </w:pPr>
            <w:r w:rsidRPr="00EF02DD">
              <w:t>Make evaluation of risk management a key component of all projects/activities.</w:t>
            </w:r>
          </w:p>
        </w:tc>
      </w:tr>
      <w:tr w:rsidTr="007C764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F02DD">
            <w:pPr>
              <w:pStyle w:val="BodyText"/>
              <w:rPr>
                <w:lang w:val="en-NZ"/>
              </w:rPr>
            </w:pPr>
            <w:r w:rsidRPr="00EF02DD">
              <w:t>3.2</w:t>
            </w:r>
          </w:p>
        </w:tc>
        <w:tc>
          <w:tcPr>
            <w:tcW w:w="5100" w:type="dxa"/>
            <w:tcBorders>
              <w:top w:val="nil"/>
              <w:left w:val="nil"/>
              <w:bottom w:val="nil"/>
              <w:right w:val="nil"/>
            </w:tcBorders>
            <w:tcMar>
              <w:top w:w="0" w:type="dxa"/>
              <w:left w:w="62" w:type="dxa"/>
              <w:bottom w:w="0" w:type="dxa"/>
              <w:right w:w="62" w:type="dxa"/>
            </w:tcMar>
          </w:tcPr>
          <w:p w:rsidR="00000000" w:rsidP="00EF02DD">
            <w:pPr>
              <w:pStyle w:val="BodyText"/>
              <w:rPr>
                <w:lang w:val="en-NZ"/>
              </w:rPr>
            </w:pPr>
            <w:r w:rsidRPr="00EF02DD">
              <w:t>Analyse incidents that indicate a "near miss" and re</w:t>
            </w:r>
            <w:r w:rsidRPr="00EF02DD">
              <w:t>view strategies on each occasion.</w:t>
            </w:r>
          </w:p>
        </w:tc>
      </w:tr>
      <w:tr w:rsidTr="007C764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F02DD">
            <w:pPr>
              <w:pStyle w:val="BodyText"/>
              <w:rPr>
                <w:lang w:val="en-NZ"/>
              </w:rPr>
            </w:pPr>
            <w:r w:rsidRPr="00EF02DD">
              <w:t>3.3</w:t>
            </w:r>
          </w:p>
        </w:tc>
        <w:tc>
          <w:tcPr>
            <w:tcW w:w="5100" w:type="dxa"/>
            <w:tcBorders>
              <w:top w:val="nil"/>
              <w:left w:val="nil"/>
              <w:bottom w:val="nil"/>
              <w:right w:val="nil"/>
            </w:tcBorders>
            <w:tcMar>
              <w:top w:w="0" w:type="dxa"/>
              <w:left w:w="62" w:type="dxa"/>
              <w:bottom w:w="0" w:type="dxa"/>
              <w:right w:w="62" w:type="dxa"/>
            </w:tcMar>
          </w:tcPr>
          <w:p w:rsidR="00000000" w:rsidRPr="00EF02DD" w:rsidP="00EF02DD">
            <w:pPr>
              <w:pStyle w:val="BodyText"/>
            </w:pPr>
            <w:r w:rsidRPr="00EF02DD">
              <w:t>Feed information on risk management into the organisation's overall health, safety and security planning processes at timely intervals.</w:t>
            </w:r>
          </w:p>
        </w:tc>
      </w:tr>
    </w:tbl>
    <w:p w:rsidR="00000000" w:rsidRPr="00EF02DD" w:rsidP="00EF02DD">
      <w:pPr>
        <w:pStyle w:val="BodyText"/>
      </w:pPr>
    </w:p>
    <w:p w:rsidR="00000000" w:rsidRPr="00EF02DD" w:rsidP="00EF02DD">
      <w:pPr>
        <w:pStyle w:val="AllowPageBreak"/>
      </w:pPr>
    </w:p>
    <w:p w:rsidR="00000000" w:rsidRPr="00EF02DD" w:rsidP="00EF02DD">
      <w:pPr>
        <w:pStyle w:val="Heading1"/>
      </w:pPr>
      <w:bookmarkStart w:id="9" w:name="O_326602"/>
      <w:bookmarkEnd w:id="9"/>
      <w:r w:rsidRPr="00EF02DD">
        <w:t>Required Skills and Knowledge</w:t>
      </w:r>
    </w:p>
    <w:p w:rsidR="00000000" w:rsidRPr="00EF02DD" w:rsidP="00EF02DD">
      <w:pPr>
        <w:pStyle w:val="BodyText"/>
      </w:pPr>
      <w:r w:rsidRPr="00EF02DD">
        <w:t>Not applicable.</w:t>
      </w:r>
    </w:p>
    <w:p w:rsidR="00000000" w:rsidRPr="00EF02DD" w:rsidP="00EF02DD">
      <w:pPr>
        <w:pStyle w:val="AllowPageBreak"/>
      </w:pPr>
    </w:p>
    <w:p w:rsidR="00000000" w:rsidRPr="00EF02DD" w:rsidP="00EF02DD">
      <w:pPr>
        <w:pStyle w:val="Heading1"/>
      </w:pPr>
      <w:bookmarkStart w:id="10" w:name="O_326601"/>
      <w:bookmarkEnd w:id="10"/>
      <w:r w:rsidRPr="00EF02DD">
        <w:t>Evidence Guide</w:t>
      </w:r>
    </w:p>
    <w:p w:rsidR="00000000" w:rsidRPr="00EF02DD" w:rsidP="00EF02DD">
      <w:pPr>
        <w:pStyle w:val="BodyText"/>
      </w:pPr>
      <w:r w:rsidRPr="00EF02DD">
        <w:rPr>
          <w:rStyle w:val="SpecialBold"/>
        </w:rPr>
        <w:t>Essential Knowledge and Skills to be Assessed</w:t>
      </w:r>
    </w:p>
    <w:p w:rsidR="00000000" w:rsidRPr="00EF02DD" w:rsidP="00EF02DD">
      <w:pPr>
        <w:pStyle w:val="BodyText"/>
      </w:pPr>
      <w:r w:rsidRPr="00EF02DD">
        <w:t>The following knowledge and skills must be assessed as part of this unit:</w:t>
      </w:r>
    </w:p>
    <w:p w:rsidR="00000000" w:rsidRPr="00EF02DD" w:rsidP="00EF02DD">
      <w:pPr>
        <w:pStyle w:val="BodyText"/>
      </w:pPr>
      <w:r w:rsidRPr="00EF02DD">
        <w:t xml:space="preserve">types of risks that apply within a given industry sector or context </w:t>
      </w:r>
    </w:p>
    <w:p w:rsidR="00000000" w:rsidRPr="00EF02DD" w:rsidP="00EF02DD">
      <w:pPr>
        <w:pStyle w:val="BodyText"/>
      </w:pPr>
      <w:r w:rsidRPr="00EF02DD">
        <w:t>legal requirements to be considered within a</w:t>
      </w:r>
      <w:r w:rsidRPr="00EF02DD">
        <w:t xml:space="preserve"> risk management context </w:t>
      </w:r>
    </w:p>
    <w:p w:rsidR="00000000" w:rsidRPr="00EF02DD" w:rsidP="00EF02DD">
      <w:pPr>
        <w:pStyle w:val="BodyText"/>
      </w:pPr>
      <w:r w:rsidRPr="00EF02DD">
        <w:t xml:space="preserve">OH&amp;S and environmental requirements in a given workplace </w:t>
      </w:r>
    </w:p>
    <w:p w:rsidR="00000000" w:rsidRPr="00EF02DD" w:rsidP="00EF02DD">
      <w:pPr>
        <w:pStyle w:val="BodyText"/>
      </w:pPr>
      <w:r w:rsidRPr="00EF02DD">
        <w:t xml:space="preserve">relevant industrial awards and agreement that impact on risk management </w:t>
      </w:r>
    </w:p>
    <w:p w:rsidR="00000000" w:rsidRPr="00EF02DD" w:rsidP="00EF02DD">
      <w:pPr>
        <w:pStyle w:val="BodyText"/>
      </w:pPr>
      <w:r w:rsidRPr="00EF02DD">
        <w:t xml:space="preserve">overall emergency plans that apply to a specific industry context or enterprise </w:t>
      </w:r>
    </w:p>
    <w:p w:rsidR="00000000" w:rsidRPr="00EF02DD" w:rsidP="00EF02DD">
      <w:pPr>
        <w:pStyle w:val="BodyText"/>
      </w:pPr>
      <w:r w:rsidRPr="00EF02DD">
        <w:t>strategic, tactica</w:t>
      </w:r>
      <w:r w:rsidRPr="00EF02DD">
        <w:t>l and operational plans and their impact on risk management in a given context.</w:t>
      </w:r>
    </w:p>
    <w:p w:rsidR="00000000" w:rsidRPr="00EF02DD" w:rsidP="00EF02DD">
      <w:pPr>
        <w:pStyle w:val="BodyText"/>
      </w:pPr>
      <w:r w:rsidRPr="00EF02DD">
        <w:rPr>
          <w:rStyle w:val="SpecialBold"/>
        </w:rPr>
        <w:t>Linkages to Other Units</w:t>
      </w:r>
    </w:p>
    <w:p w:rsidR="00000000" w:rsidRPr="00EF02DD" w:rsidP="00EF02DD">
      <w:pPr>
        <w:pStyle w:val="BodyText"/>
      </w:pPr>
      <w:r w:rsidRPr="00EF02DD">
        <w:t>This unit has strong linkage to many other units and combined assessment and/or training is recommended.  Examples include:</w:t>
      </w:r>
    </w:p>
    <w:p w:rsidR="00000000" w:rsidRPr="00EF02DD" w:rsidP="00EF02DD">
      <w:pPr>
        <w:pStyle w:val="BodyText"/>
      </w:pPr>
      <w:r w:rsidRPr="00EF02DD">
        <w:t xml:space="preserve">All event management units </w:t>
      </w:r>
    </w:p>
    <w:p w:rsidR="00000000" w:rsidRPr="00EF02DD" w:rsidP="00EF02DD">
      <w:pPr>
        <w:pStyle w:val="BodyText"/>
      </w:pPr>
      <w:r w:rsidRPr="00EF02DD">
        <w:t xml:space="preserve">THHGLE20B Develop and maintain the legal knowledge required for business compliance </w:t>
      </w:r>
    </w:p>
    <w:p w:rsidR="00000000" w:rsidRPr="00EF02DD" w:rsidP="00EF02DD">
      <w:pPr>
        <w:pStyle w:val="BodyText"/>
      </w:pPr>
      <w:r w:rsidRPr="00EF02DD">
        <w:t xml:space="preserve">THHGLE04B Establish and maintain a safe and secure workplace </w:t>
      </w:r>
    </w:p>
    <w:p w:rsidR="00000000" w:rsidRPr="00EF02DD" w:rsidP="00EF02DD">
      <w:pPr>
        <w:pStyle w:val="BodyText"/>
      </w:pPr>
      <w:r w:rsidRPr="00EF02DD">
        <w:t>THTFTG04B Co-ordinate and operate a tour</w:t>
      </w:r>
    </w:p>
    <w:p w:rsidR="00000000" w:rsidRPr="00EF02DD" w:rsidP="00EF02DD">
      <w:pPr>
        <w:pStyle w:val="BodyText"/>
      </w:pPr>
      <w:r w:rsidRPr="00EF02DD">
        <w:rPr>
          <w:rStyle w:val="SpecialBold"/>
        </w:rPr>
        <w:t>Critical Aspects of Assessment</w:t>
      </w:r>
    </w:p>
    <w:p w:rsidR="00000000" w:rsidRPr="00EF02DD" w:rsidP="00EF02DD">
      <w:pPr>
        <w:pStyle w:val="BodyText"/>
      </w:pPr>
      <w:r w:rsidRPr="00EF02DD">
        <w:t>Evidence of the following is critical</w:t>
      </w:r>
      <w:r w:rsidRPr="00EF02DD">
        <w:t>:</w:t>
      </w:r>
    </w:p>
    <w:p w:rsidR="00000000" w:rsidRPr="00EF02DD" w:rsidP="00EF02DD">
      <w:pPr>
        <w:pStyle w:val="BodyText"/>
      </w:pPr>
      <w:r w:rsidRPr="00EF02DD">
        <w:t xml:space="preserve">ability to demonstrate a systematic approach to the identification or risks and the development of strategies to address those risks </w:t>
      </w:r>
    </w:p>
    <w:p w:rsidR="00000000" w:rsidRPr="00EF02DD" w:rsidP="00EF02DD">
      <w:pPr>
        <w:pStyle w:val="BodyText"/>
      </w:pPr>
      <w:r w:rsidRPr="00EF02DD">
        <w:t>knowledge of the types of risks of particular relevance to a given industry sector.</w:t>
      </w:r>
    </w:p>
    <w:p w:rsidR="00000000" w:rsidRPr="00EF02DD" w:rsidP="00EF02DD">
      <w:pPr>
        <w:pStyle w:val="BodyText"/>
      </w:pPr>
      <w:r w:rsidRPr="00EF02DD">
        <w:rPr>
          <w:rStyle w:val="SpecialBold"/>
        </w:rPr>
        <w:t>Context of Assessment and Resource I</w:t>
      </w:r>
      <w:r w:rsidRPr="00EF02DD">
        <w:rPr>
          <w:rStyle w:val="SpecialBold"/>
        </w:rPr>
        <w:t>mplications</w:t>
      </w:r>
    </w:p>
    <w:p w:rsidR="00000000" w:rsidRPr="00EF02DD" w:rsidP="00EF02DD">
      <w:pPr>
        <w:pStyle w:val="BodyText"/>
      </w:pPr>
      <w:r w:rsidRPr="00EF02DD">
        <w:t>Assessment must ensure:</w:t>
      </w:r>
    </w:p>
    <w:p w:rsidR="00000000" w:rsidRPr="00EF02DD" w:rsidP="00EF02DD">
      <w:pPr>
        <w:pStyle w:val="BodyText"/>
      </w:pPr>
      <w:r w:rsidRPr="00EF02DD">
        <w:t xml:space="preserve">development of risk management strategies for a nominated workplace, activity or project and implementation within the relevant fully operational commercial environment (eg. at an event location, on tour) </w:t>
      </w:r>
    </w:p>
    <w:p w:rsidR="00000000" w:rsidRPr="00EF02DD" w:rsidP="00EF02DD">
      <w:pPr>
        <w:pStyle w:val="BodyText"/>
      </w:pPr>
      <w:r w:rsidRPr="00EF02DD">
        <w:t>application of</w:t>
      </w:r>
      <w:r w:rsidRPr="00EF02DD">
        <w:t xml:space="preserve"> current industry guidelines, codes of practice and legislation in relation to risk management </w:t>
      </w:r>
    </w:p>
    <w:p w:rsidR="00000000" w:rsidRPr="00EF02DD" w:rsidP="00EF02DD">
      <w:pPr>
        <w:pStyle w:val="BodyText"/>
      </w:pPr>
      <w:r w:rsidRPr="00EF02DD">
        <w:t>involvement of colleagues and stakeholders in the consultation and education process.</w:t>
      </w:r>
    </w:p>
    <w:p w:rsidR="00000000" w:rsidRPr="00EF02DD" w:rsidP="00EF02DD">
      <w:pPr>
        <w:pStyle w:val="BodyText"/>
      </w:pPr>
      <w:r w:rsidRPr="00EF02DD">
        <w:rPr>
          <w:rStyle w:val="SpecialBold"/>
        </w:rPr>
        <w:t>Assessment Methods</w:t>
      </w:r>
    </w:p>
    <w:p w:rsidR="00000000" w:rsidRPr="00EF02DD" w:rsidP="00EF02DD">
      <w:pPr>
        <w:pStyle w:val="BodyText"/>
      </w:pPr>
      <w:r w:rsidRPr="00EF02DD">
        <w:t>Assessment methods must be chosen to ensure that abilit</w:t>
      </w:r>
      <w:r w:rsidRPr="00EF02DD">
        <w:t>y to manage risk can be practically demonstrated. Methods must include assessment of knowledge as well as assessment of practical skills.</w:t>
      </w:r>
    </w:p>
    <w:p w:rsidR="00000000" w:rsidRPr="00EF02DD" w:rsidP="00EF02DD">
      <w:pPr>
        <w:pStyle w:val="BodyText"/>
      </w:pPr>
      <w:r w:rsidRPr="00EF02DD">
        <w:t>The following examples are appropriate for this unit:</w:t>
      </w:r>
    </w:p>
    <w:p w:rsidR="00000000" w:rsidRPr="00EF02DD" w:rsidP="00EF02DD">
      <w:pPr>
        <w:pStyle w:val="BodyText"/>
      </w:pPr>
      <w:r w:rsidRPr="00EF02DD">
        <w:t>evaluation of risk management strategies and procedures prepared</w:t>
      </w:r>
      <w:r w:rsidRPr="00EF02DD">
        <w:t xml:space="preserve"> by the candidate for a given workplace  </w:t>
      </w:r>
    </w:p>
    <w:p w:rsidR="00000000" w:rsidRPr="00EF02DD" w:rsidP="00EF02DD">
      <w:pPr>
        <w:pStyle w:val="BodyText"/>
      </w:pPr>
      <w:r w:rsidRPr="00EF02DD">
        <w:t xml:space="preserve">evaluation of the implementation process through interviews with key stakeholders or review of reports </w:t>
      </w:r>
    </w:p>
    <w:p w:rsidR="00000000" w:rsidRPr="00EF02DD" w:rsidP="00EF02DD">
      <w:pPr>
        <w:pStyle w:val="BodyText"/>
      </w:pPr>
      <w:r w:rsidRPr="00EF02DD">
        <w:t xml:space="preserve">case studies and problem solving to assess application of knowledge to specific operations and situations </w:t>
      </w:r>
    </w:p>
    <w:p w:rsidR="00000000" w:rsidRPr="00EF02DD" w:rsidP="00EF02DD">
      <w:pPr>
        <w:pStyle w:val="BodyText"/>
      </w:pPr>
      <w:r w:rsidRPr="00EF02DD">
        <w:t>rev</w:t>
      </w:r>
      <w:r w:rsidRPr="00EF02DD">
        <w:t>iew of portfolios of evidence and third party workplace reports of on-the-job performance by the candidate.</w:t>
      </w:r>
    </w:p>
    <w:p w:rsidR="00000000" w:rsidRPr="00EF02DD" w:rsidP="00EF02DD">
      <w:pPr>
        <w:pStyle w:val="BodyText"/>
      </w:pPr>
      <w:r w:rsidRPr="00EF02DD">
        <w:rPr>
          <w:rStyle w:val="SpecialBold"/>
        </w:rPr>
        <w:t>Key Competencies in this Unit</w:t>
      </w:r>
    </w:p>
    <w:p w:rsidR="00000000" w:rsidRPr="00EF02DD" w:rsidP="00EF02DD">
      <w:pPr>
        <w:pStyle w:val="BodyText"/>
      </w:pPr>
      <w:r w:rsidRPr="00EF02DD">
        <w:t>Key Competencies are an integral part of all workplace competencies.  The table below describes those applicable to th</w:t>
      </w:r>
      <w:r w:rsidRPr="00EF02DD">
        <w:t>is unit.  Trainers and assessors should ensure that they are addressed in training and assessment.</w:t>
      </w:r>
    </w:p>
    <w:p w:rsidR="00000000" w:rsidRPr="00EF02DD" w:rsidP="00EF02DD">
      <w:pPr>
        <w:pStyle w:val="BodyText"/>
      </w:pPr>
      <w:r w:rsidRPr="00EF02DD">
        <w:t>Level 1 = Perform     Level 2 = Administer and Manage     Level 3 = Design and Evaluate</w:t>
      </w:r>
    </w:p>
    <w:p w:rsidR="00000000" w:rsidRPr="00EF02DD" w:rsidP="00EF02DD">
      <w:pPr>
        <w:pStyle w:val="BodyText"/>
      </w:pPr>
      <w:r w:rsidRPr="00EF02DD">
        <w:rPr>
          <w:rStyle w:val="SpecialBold"/>
        </w:rPr>
        <w:t>Key Competencies</w:t>
      </w:r>
    </w:p>
    <w:p w:rsidR="00000000" w:rsidRPr="00EF02DD" w:rsidP="00EF02DD">
      <w:pPr>
        <w:pStyle w:val="BodyText"/>
      </w:pPr>
      <w:r w:rsidRPr="00EF02DD">
        <w:rPr>
          <w:rStyle w:val="SpecialBold"/>
        </w:rPr>
        <w:t>Collecting</w:t>
      </w:r>
      <w:r w:rsidRPr="00EF02DD">
        <w:t xml:space="preserve">, </w:t>
      </w:r>
      <w:r w:rsidRPr="00EF02DD">
        <w:rPr>
          <w:rStyle w:val="SpecialBold"/>
        </w:rPr>
        <w:t>Organising and Analysing Information</w:t>
      </w:r>
    </w:p>
    <w:p w:rsidR="00000000" w:rsidRPr="00EF02DD" w:rsidP="00EF02DD">
      <w:pPr>
        <w:pStyle w:val="BodyText"/>
      </w:pPr>
      <w:r w:rsidRPr="00EF02DD">
        <w:t>For</w:t>
      </w:r>
      <w:r w:rsidRPr="00EF02DD">
        <w:t xml:space="preserve"> example:</w:t>
      </w:r>
    </w:p>
    <w:p w:rsidR="00000000" w:rsidRPr="00EF02DD" w:rsidP="00EF02DD">
      <w:pPr>
        <w:pStyle w:val="BodyText"/>
      </w:pPr>
      <w:r w:rsidRPr="00EF02DD">
        <w:t>Gathering information to conduct a risk management audit  (3)</w:t>
      </w:r>
    </w:p>
    <w:p w:rsidR="00000000" w:rsidRPr="00EF02DD" w:rsidP="00EF02DD">
      <w:pPr>
        <w:pStyle w:val="BodyText"/>
      </w:pPr>
      <w:r w:rsidRPr="00EF02DD">
        <w:rPr>
          <w:rStyle w:val="SpecialBold"/>
        </w:rPr>
        <w:t>Communicating Ideas and Information</w:t>
      </w:r>
    </w:p>
    <w:p w:rsidR="00000000" w:rsidRPr="00EF02DD" w:rsidP="00EF02DD">
      <w:pPr>
        <w:pStyle w:val="BodyText"/>
      </w:pPr>
      <w:r w:rsidRPr="00EF02DD">
        <w:t>For example:</w:t>
      </w:r>
    </w:p>
    <w:p w:rsidR="00000000" w:rsidRPr="00EF02DD" w:rsidP="00EF02DD">
      <w:pPr>
        <w:pStyle w:val="BodyText"/>
      </w:pPr>
      <w:r w:rsidRPr="00EF02DD">
        <w:t>Educating colleagues about the importance of risk management  (3)</w:t>
      </w:r>
    </w:p>
    <w:p w:rsidR="00000000" w:rsidRPr="00EF02DD" w:rsidP="00EF02DD">
      <w:pPr>
        <w:pStyle w:val="BodyText"/>
      </w:pPr>
      <w:r w:rsidRPr="00EF02DD">
        <w:rPr>
          <w:rStyle w:val="SpecialBold"/>
        </w:rPr>
        <w:t>Planning and Organising Activities</w:t>
      </w:r>
    </w:p>
    <w:p w:rsidR="00000000" w:rsidRPr="00EF02DD" w:rsidP="00EF02DD">
      <w:pPr>
        <w:pStyle w:val="BodyText"/>
      </w:pPr>
      <w:r w:rsidRPr="00EF02DD">
        <w:t>For example:</w:t>
      </w:r>
    </w:p>
    <w:p w:rsidR="00000000" w:rsidRPr="00EF02DD" w:rsidP="00EF02DD">
      <w:pPr>
        <w:pStyle w:val="BodyText"/>
      </w:pPr>
      <w:r w:rsidRPr="00EF02DD">
        <w:t>Developing systems and procedures to eliminate or minimise risk  (3)</w:t>
      </w:r>
    </w:p>
    <w:p w:rsidR="00000000" w:rsidRPr="00EF02DD" w:rsidP="00EF02DD">
      <w:pPr>
        <w:pStyle w:val="BodyText"/>
      </w:pPr>
      <w:r w:rsidRPr="00EF02DD">
        <w:rPr>
          <w:rStyle w:val="SpecialBold"/>
        </w:rPr>
        <w:t>Working with Others and in Teams</w:t>
      </w:r>
    </w:p>
    <w:p w:rsidR="00000000" w:rsidRPr="00EF02DD" w:rsidP="00EF02DD">
      <w:pPr>
        <w:pStyle w:val="BodyText"/>
      </w:pPr>
      <w:r w:rsidRPr="00EF02DD">
        <w:t>For example:</w:t>
      </w:r>
    </w:p>
    <w:p w:rsidR="00000000" w:rsidRPr="00EF02DD" w:rsidP="00EF02DD">
      <w:pPr>
        <w:pStyle w:val="BodyText"/>
      </w:pPr>
      <w:r w:rsidRPr="00EF02DD">
        <w:t>Consulting with colleagues on the effectiveness of strategies  (3)</w:t>
      </w:r>
    </w:p>
    <w:p w:rsidR="00000000" w:rsidRPr="00EF02DD" w:rsidP="00EF02DD">
      <w:pPr>
        <w:pStyle w:val="BodyText"/>
      </w:pPr>
      <w:r w:rsidRPr="00EF02DD">
        <w:rPr>
          <w:rStyle w:val="SpecialBold"/>
        </w:rPr>
        <w:t>Using Mathematical Ideas and Techniques</w:t>
      </w:r>
    </w:p>
    <w:p w:rsidR="00000000" w:rsidRPr="00EF02DD" w:rsidP="00EF02DD">
      <w:pPr>
        <w:pStyle w:val="BodyText"/>
      </w:pPr>
      <w:r w:rsidRPr="00EF02DD">
        <w:t>For example:</w:t>
      </w:r>
    </w:p>
    <w:p w:rsidR="00000000" w:rsidRPr="00EF02DD" w:rsidP="00EF02DD">
      <w:pPr>
        <w:pStyle w:val="BodyText"/>
      </w:pPr>
      <w:r w:rsidRPr="00EF02DD">
        <w:t>Calculating the proba</w:t>
      </w:r>
      <w:r w:rsidRPr="00EF02DD">
        <w:t>bility of risks  (2)</w:t>
      </w:r>
    </w:p>
    <w:p w:rsidR="00000000" w:rsidRPr="00EF02DD" w:rsidP="00EF02DD">
      <w:pPr>
        <w:pStyle w:val="BodyText"/>
      </w:pPr>
      <w:r w:rsidRPr="00EF02DD">
        <w:rPr>
          <w:rStyle w:val="SpecialBold"/>
        </w:rPr>
        <w:t>Solving Problems</w:t>
      </w:r>
    </w:p>
    <w:p w:rsidR="00000000" w:rsidRPr="00EF02DD" w:rsidP="00EF02DD">
      <w:pPr>
        <w:pStyle w:val="BodyText"/>
      </w:pPr>
      <w:r w:rsidRPr="00EF02DD">
        <w:t>For example:</w:t>
      </w:r>
    </w:p>
    <w:p w:rsidR="00000000" w:rsidRPr="00EF02DD" w:rsidP="00EF02DD">
      <w:pPr>
        <w:pStyle w:val="BodyText"/>
      </w:pPr>
      <w:r w:rsidRPr="00EF02DD">
        <w:t>Adjusting a long-established operational procedure to minimise risk  (3)</w:t>
      </w:r>
    </w:p>
    <w:p w:rsidR="00000000" w:rsidRPr="00EF02DD" w:rsidP="00EF02DD">
      <w:pPr>
        <w:pStyle w:val="BodyText"/>
      </w:pPr>
      <w:r w:rsidRPr="00EF02DD">
        <w:rPr>
          <w:rStyle w:val="SpecialBold"/>
        </w:rPr>
        <w:t>Using Technology</w:t>
      </w:r>
    </w:p>
    <w:p w:rsidR="00000000" w:rsidRPr="00EF02DD" w:rsidP="00EF02DD">
      <w:pPr>
        <w:pStyle w:val="BodyText"/>
      </w:pPr>
      <w:r w:rsidRPr="00EF02DD">
        <w:t>For example:</w:t>
      </w:r>
    </w:p>
    <w:p w:rsidR="00000000" w:rsidRPr="00EF02DD" w:rsidP="00EF02DD">
      <w:pPr>
        <w:pStyle w:val="BodyText"/>
      </w:pPr>
      <w:r w:rsidRPr="00EF02DD">
        <w:t>Distributing regular risk management updates across the organisation  (2)</w:t>
      </w:r>
    </w:p>
    <w:p w:rsidR="00000000" w:rsidRPr="00EF02DD" w:rsidP="00EF02DD">
      <w:pPr>
        <w:pStyle w:val="BodyText"/>
      </w:pPr>
      <w:r w:rsidRPr="00EF02DD">
        <w:rPr>
          <w:rStyle w:val="SpecialBold"/>
        </w:rPr>
        <w:t>Essential Knowledge and Skil</w:t>
      </w:r>
      <w:r w:rsidRPr="00EF02DD">
        <w:rPr>
          <w:rStyle w:val="SpecialBold"/>
        </w:rPr>
        <w:t>ls to be Assessed</w:t>
      </w:r>
    </w:p>
    <w:p w:rsidR="00000000" w:rsidRPr="00EF02DD" w:rsidP="00EF02DD">
      <w:pPr>
        <w:pStyle w:val="BodyText"/>
      </w:pPr>
      <w:r w:rsidRPr="00EF02DD">
        <w:t>The following knowledge and skills must be assessed as part of this unit:</w:t>
      </w:r>
    </w:p>
    <w:p w:rsidR="00000000" w:rsidRPr="00EF02DD" w:rsidP="00EF02DD">
      <w:pPr>
        <w:pStyle w:val="BodyText"/>
      </w:pPr>
      <w:r w:rsidRPr="00EF02DD">
        <w:t xml:space="preserve">types of risks that apply within a given industry sector or context </w:t>
      </w:r>
    </w:p>
    <w:p w:rsidR="00000000" w:rsidRPr="00EF02DD" w:rsidP="00EF02DD">
      <w:pPr>
        <w:pStyle w:val="BodyText"/>
      </w:pPr>
      <w:r w:rsidRPr="00EF02DD">
        <w:t xml:space="preserve">legal requirements to be considered within a risk management context </w:t>
      </w:r>
    </w:p>
    <w:p w:rsidR="00000000" w:rsidRPr="00EF02DD" w:rsidP="00EF02DD">
      <w:pPr>
        <w:pStyle w:val="BodyText"/>
      </w:pPr>
      <w:r w:rsidRPr="00EF02DD">
        <w:t>OH&amp;S and environmental re</w:t>
      </w:r>
      <w:r w:rsidRPr="00EF02DD">
        <w:t xml:space="preserve">quirements in a given workplace </w:t>
      </w:r>
    </w:p>
    <w:p w:rsidR="00000000" w:rsidRPr="00EF02DD" w:rsidP="00EF02DD">
      <w:pPr>
        <w:pStyle w:val="BodyText"/>
      </w:pPr>
      <w:r w:rsidRPr="00EF02DD">
        <w:t xml:space="preserve">relevant industrial awards and agreement that impact on risk management </w:t>
      </w:r>
    </w:p>
    <w:p w:rsidR="00000000" w:rsidRPr="00EF02DD" w:rsidP="00EF02DD">
      <w:pPr>
        <w:pStyle w:val="BodyText"/>
      </w:pPr>
      <w:r w:rsidRPr="00EF02DD">
        <w:t xml:space="preserve">overall emergency plans that apply to a specific industry context or enterprise </w:t>
      </w:r>
    </w:p>
    <w:p w:rsidR="00000000" w:rsidRPr="00EF02DD" w:rsidP="00EF02DD">
      <w:pPr>
        <w:pStyle w:val="BodyText"/>
      </w:pPr>
      <w:r w:rsidRPr="00EF02DD">
        <w:t>strategic, tactical and operational plans and their impact on risk ma</w:t>
      </w:r>
      <w:r w:rsidRPr="00EF02DD">
        <w:t>nagement in a given context.</w:t>
      </w:r>
    </w:p>
    <w:p w:rsidR="00000000" w:rsidRPr="00EF02DD" w:rsidP="00EF02DD">
      <w:pPr>
        <w:pStyle w:val="BodyText"/>
      </w:pPr>
      <w:r w:rsidRPr="00EF02DD">
        <w:rPr>
          <w:rStyle w:val="SpecialBold"/>
        </w:rPr>
        <w:t>Linkages to Other Units</w:t>
      </w:r>
    </w:p>
    <w:p w:rsidR="00000000" w:rsidRPr="00EF02DD" w:rsidP="00EF02DD">
      <w:pPr>
        <w:pStyle w:val="BodyText"/>
      </w:pPr>
      <w:r w:rsidRPr="00EF02DD">
        <w:t>This unit has strong linkage to many other units and combined assessment and/or training is recommended.  Examples include:</w:t>
      </w:r>
    </w:p>
    <w:p w:rsidR="00000000" w:rsidRPr="00EF02DD" w:rsidP="00EF02DD">
      <w:pPr>
        <w:pStyle w:val="BodyText"/>
      </w:pPr>
      <w:r w:rsidRPr="00EF02DD">
        <w:t xml:space="preserve">All event management units </w:t>
      </w:r>
    </w:p>
    <w:p w:rsidR="00000000" w:rsidRPr="00EF02DD" w:rsidP="00EF02DD">
      <w:pPr>
        <w:pStyle w:val="BodyText"/>
      </w:pPr>
      <w:r w:rsidRPr="00EF02DD">
        <w:t xml:space="preserve">THHGLE20B Develop and maintain the legal knowledge required for business compliance </w:t>
      </w:r>
    </w:p>
    <w:p w:rsidR="00000000" w:rsidRPr="00EF02DD" w:rsidP="00EF02DD">
      <w:pPr>
        <w:pStyle w:val="BodyText"/>
      </w:pPr>
      <w:r w:rsidRPr="00EF02DD">
        <w:t xml:space="preserve">THHGLE04B Establish and maintain a safe and secure workplace </w:t>
      </w:r>
    </w:p>
    <w:p w:rsidR="00000000" w:rsidRPr="00EF02DD" w:rsidP="00EF02DD">
      <w:pPr>
        <w:pStyle w:val="BodyText"/>
      </w:pPr>
      <w:r w:rsidRPr="00EF02DD">
        <w:t>THTFTG04B Co-ordinate and operate a tour</w:t>
      </w:r>
    </w:p>
    <w:p w:rsidR="00000000" w:rsidRPr="00EF02DD" w:rsidP="00EF02DD">
      <w:pPr>
        <w:pStyle w:val="BodyText"/>
      </w:pPr>
      <w:r w:rsidRPr="00EF02DD">
        <w:rPr>
          <w:rStyle w:val="SpecialBold"/>
        </w:rPr>
        <w:t>Critical Aspects of Assessment</w:t>
      </w:r>
    </w:p>
    <w:p w:rsidR="00000000" w:rsidRPr="00EF02DD" w:rsidP="00EF02DD">
      <w:pPr>
        <w:pStyle w:val="BodyText"/>
      </w:pPr>
      <w:r w:rsidRPr="00EF02DD">
        <w:t>Evidence of the following is critical</w:t>
      </w:r>
      <w:r w:rsidRPr="00EF02DD">
        <w:t>:</w:t>
      </w:r>
    </w:p>
    <w:p w:rsidR="00000000" w:rsidRPr="00EF02DD" w:rsidP="00EF02DD">
      <w:pPr>
        <w:pStyle w:val="BodyText"/>
      </w:pPr>
      <w:r w:rsidRPr="00EF02DD">
        <w:t xml:space="preserve">ability to demonstrate a systematic approach to the identification or risks and the development of strategies to address those risks </w:t>
      </w:r>
    </w:p>
    <w:p w:rsidR="00000000" w:rsidRPr="00EF02DD" w:rsidP="00EF02DD">
      <w:pPr>
        <w:pStyle w:val="BodyText"/>
      </w:pPr>
      <w:r w:rsidRPr="00EF02DD">
        <w:t>knowledge of the types of risks of particular relevance to a given industry sector.</w:t>
      </w:r>
    </w:p>
    <w:p w:rsidR="00000000" w:rsidRPr="00EF02DD" w:rsidP="00EF02DD">
      <w:pPr>
        <w:pStyle w:val="BodyText"/>
      </w:pPr>
      <w:r w:rsidRPr="00EF02DD">
        <w:rPr>
          <w:rStyle w:val="SpecialBold"/>
        </w:rPr>
        <w:t>Context of Assessment and Resource I</w:t>
      </w:r>
      <w:r w:rsidRPr="00EF02DD">
        <w:rPr>
          <w:rStyle w:val="SpecialBold"/>
        </w:rPr>
        <w:t>mplications</w:t>
      </w:r>
    </w:p>
    <w:p w:rsidR="00000000" w:rsidRPr="00EF02DD" w:rsidP="00EF02DD">
      <w:pPr>
        <w:pStyle w:val="BodyText"/>
      </w:pPr>
      <w:r w:rsidRPr="00EF02DD">
        <w:t>Assessment must ensure:</w:t>
      </w:r>
    </w:p>
    <w:p w:rsidR="00000000" w:rsidRPr="00EF02DD" w:rsidP="00EF02DD">
      <w:pPr>
        <w:pStyle w:val="BodyText"/>
      </w:pPr>
      <w:r w:rsidRPr="00EF02DD">
        <w:t xml:space="preserve">development of risk management strategies for a nominated workplace, activity or project and implementation within the relevant fully operational commercial environment (eg. at an event location, on tour) </w:t>
      </w:r>
    </w:p>
    <w:p w:rsidR="00000000" w:rsidRPr="00EF02DD" w:rsidP="00EF02DD">
      <w:pPr>
        <w:pStyle w:val="BodyText"/>
      </w:pPr>
      <w:r w:rsidRPr="00EF02DD">
        <w:t>application of</w:t>
      </w:r>
      <w:r w:rsidRPr="00EF02DD">
        <w:t xml:space="preserve"> current industry guidelines, codes of practice and legislation in relation to risk management </w:t>
      </w:r>
    </w:p>
    <w:p w:rsidR="00000000" w:rsidRPr="00EF02DD" w:rsidP="00EF02DD">
      <w:pPr>
        <w:pStyle w:val="BodyText"/>
      </w:pPr>
      <w:r w:rsidRPr="00EF02DD">
        <w:t>involvement of colleagues and stakeholders in the consultation and education process.</w:t>
      </w:r>
    </w:p>
    <w:p w:rsidR="00000000" w:rsidRPr="00EF02DD" w:rsidP="00EF02DD">
      <w:pPr>
        <w:pStyle w:val="BodyText"/>
      </w:pPr>
      <w:r w:rsidRPr="00EF02DD">
        <w:rPr>
          <w:rStyle w:val="SpecialBold"/>
        </w:rPr>
        <w:t>Assessment Methods</w:t>
      </w:r>
    </w:p>
    <w:p w:rsidR="00000000" w:rsidRPr="00EF02DD" w:rsidP="00EF02DD">
      <w:pPr>
        <w:pStyle w:val="BodyText"/>
      </w:pPr>
      <w:r w:rsidRPr="00EF02DD">
        <w:t>Assessment methods must be chosen to ensure that abilit</w:t>
      </w:r>
      <w:r w:rsidRPr="00EF02DD">
        <w:t xml:space="preserve">y to manage risk can be practically demonstrated. </w:t>
      </w:r>
      <w:r w:rsidRPr="00EF02DD">
        <w:t>Methods must include assessment of knowledge as well as assessment of practical skills.</w:t>
      </w:r>
    </w:p>
    <w:p w:rsidR="00000000" w:rsidRPr="00EF02DD" w:rsidP="00EF02DD">
      <w:pPr>
        <w:pStyle w:val="BodyText"/>
      </w:pPr>
      <w:r w:rsidRPr="00EF02DD">
        <w:t>The following examples are appropriate for this unit:</w:t>
      </w:r>
    </w:p>
    <w:p w:rsidR="00000000" w:rsidRPr="00EF02DD" w:rsidP="00EF02DD">
      <w:pPr>
        <w:pStyle w:val="BodyText"/>
      </w:pPr>
      <w:r w:rsidRPr="00EF02DD">
        <w:t>evaluation of risk management strategies and procedures prepared</w:t>
      </w:r>
      <w:r w:rsidRPr="00EF02DD">
        <w:t xml:space="preserve"> by the candidate for a given workplace  </w:t>
      </w:r>
    </w:p>
    <w:p w:rsidR="00000000" w:rsidRPr="00EF02DD" w:rsidP="00EF02DD">
      <w:pPr>
        <w:pStyle w:val="BodyText"/>
      </w:pPr>
      <w:r w:rsidRPr="00EF02DD">
        <w:t xml:space="preserve">evaluation of the implementation process through interviews with key stakeholders or review of reports </w:t>
      </w:r>
    </w:p>
    <w:p w:rsidR="00000000" w:rsidRPr="00EF02DD" w:rsidP="00EF02DD">
      <w:pPr>
        <w:pStyle w:val="BodyText"/>
      </w:pPr>
      <w:r w:rsidRPr="00EF02DD">
        <w:t xml:space="preserve">case studies and problem solving to assess application of knowledge to specific operations and situations </w:t>
      </w:r>
    </w:p>
    <w:p w:rsidR="00000000" w:rsidRPr="00EF02DD" w:rsidP="00EF02DD">
      <w:pPr>
        <w:pStyle w:val="BodyText"/>
      </w:pPr>
      <w:r w:rsidRPr="00EF02DD">
        <w:t>rev</w:t>
      </w:r>
      <w:r w:rsidRPr="00EF02DD">
        <w:t>iew of portfolios of evidence and third party workplace reports of on-the-job performance by the candidate.</w:t>
      </w:r>
    </w:p>
    <w:p w:rsidR="00000000" w:rsidRPr="00EF02DD" w:rsidP="00EF02DD">
      <w:pPr>
        <w:pStyle w:val="BodyText"/>
      </w:pPr>
      <w:r w:rsidRPr="00EF02DD">
        <w:rPr>
          <w:rStyle w:val="SpecialBold"/>
        </w:rPr>
        <w:t>Key Competencies in this Unit</w:t>
      </w:r>
    </w:p>
    <w:p w:rsidR="00000000" w:rsidRPr="00EF02DD" w:rsidP="00EF02DD">
      <w:pPr>
        <w:pStyle w:val="BodyText"/>
      </w:pPr>
      <w:r w:rsidRPr="00EF02DD">
        <w:t>Key Competencies are an integral part of all workplace competencies.  The table below describes those applicable to th</w:t>
      </w:r>
      <w:r w:rsidRPr="00EF02DD">
        <w:t>is unit.  Trainers and assessors should ensure that they are addressed in training and assessment.</w:t>
      </w:r>
    </w:p>
    <w:p w:rsidR="00000000" w:rsidRPr="00EF02DD" w:rsidP="00EF02DD">
      <w:pPr>
        <w:pStyle w:val="BodyText"/>
      </w:pPr>
      <w:r w:rsidRPr="00EF02DD">
        <w:t>Level 1 = Perform     Level 2 = Administer and Manage     Level 3 = Design and Evaluate</w:t>
      </w:r>
    </w:p>
    <w:p w:rsidR="00000000" w:rsidRPr="00EF02DD" w:rsidP="00EF02DD">
      <w:pPr>
        <w:pStyle w:val="BodyText"/>
      </w:pPr>
      <w:r w:rsidRPr="00EF02DD">
        <w:rPr>
          <w:rStyle w:val="SpecialBold"/>
        </w:rPr>
        <w:t>Key Competencies</w:t>
      </w:r>
    </w:p>
    <w:p w:rsidR="00000000" w:rsidRPr="00EF02DD" w:rsidP="00EF02DD">
      <w:pPr>
        <w:pStyle w:val="BodyText"/>
      </w:pPr>
      <w:r w:rsidRPr="00EF02DD">
        <w:rPr>
          <w:rStyle w:val="SpecialBold"/>
        </w:rPr>
        <w:t>Collecting</w:t>
      </w:r>
      <w:r w:rsidRPr="00EF02DD">
        <w:t xml:space="preserve">, </w:t>
      </w:r>
      <w:r w:rsidRPr="00EF02DD">
        <w:rPr>
          <w:rStyle w:val="SpecialBold"/>
        </w:rPr>
        <w:t>Organising and Analysing Information</w:t>
      </w:r>
    </w:p>
    <w:p w:rsidR="00000000" w:rsidRPr="00EF02DD" w:rsidP="00EF02DD">
      <w:pPr>
        <w:pStyle w:val="BodyText"/>
      </w:pPr>
      <w:r w:rsidRPr="00EF02DD">
        <w:t>For</w:t>
      </w:r>
      <w:r w:rsidRPr="00EF02DD">
        <w:t xml:space="preserve"> example:</w:t>
      </w:r>
    </w:p>
    <w:p w:rsidR="00000000" w:rsidRPr="00EF02DD" w:rsidP="00EF02DD">
      <w:pPr>
        <w:pStyle w:val="BodyText"/>
      </w:pPr>
      <w:r w:rsidRPr="00EF02DD">
        <w:t>Gathering information to conduct a risk management audit  (3)</w:t>
      </w:r>
    </w:p>
    <w:p w:rsidR="00000000" w:rsidRPr="00EF02DD" w:rsidP="00EF02DD">
      <w:pPr>
        <w:pStyle w:val="BodyText"/>
      </w:pPr>
      <w:r w:rsidRPr="00EF02DD">
        <w:rPr>
          <w:rStyle w:val="SpecialBold"/>
        </w:rPr>
        <w:t>Communicating Ideas and Information</w:t>
      </w:r>
    </w:p>
    <w:p w:rsidR="00000000" w:rsidRPr="00EF02DD" w:rsidP="00EF02DD">
      <w:pPr>
        <w:pStyle w:val="BodyText"/>
      </w:pPr>
      <w:r w:rsidRPr="00EF02DD">
        <w:t>For example:</w:t>
      </w:r>
    </w:p>
    <w:p w:rsidR="00000000" w:rsidRPr="00EF02DD" w:rsidP="00EF02DD">
      <w:pPr>
        <w:pStyle w:val="BodyText"/>
      </w:pPr>
      <w:r w:rsidRPr="00EF02DD">
        <w:t>Educating colleagues about the importance of risk management  (3)</w:t>
      </w:r>
    </w:p>
    <w:p w:rsidR="00000000" w:rsidRPr="00EF02DD" w:rsidP="00EF02DD">
      <w:pPr>
        <w:pStyle w:val="BodyText"/>
      </w:pPr>
      <w:r w:rsidRPr="00EF02DD">
        <w:rPr>
          <w:rStyle w:val="SpecialBold"/>
        </w:rPr>
        <w:t>Planning and Organising Activities</w:t>
      </w:r>
    </w:p>
    <w:p w:rsidR="00000000" w:rsidRPr="00EF02DD" w:rsidP="00EF02DD">
      <w:pPr>
        <w:pStyle w:val="BodyText"/>
      </w:pPr>
      <w:r w:rsidRPr="00EF02DD">
        <w:t>For example:</w:t>
      </w:r>
    </w:p>
    <w:p w:rsidR="00000000" w:rsidRPr="00EF02DD" w:rsidP="00EF02DD">
      <w:pPr>
        <w:pStyle w:val="BodyText"/>
      </w:pPr>
      <w:r w:rsidRPr="00EF02DD">
        <w:t>Developing systems and procedures to eliminate or minimise risk  (3)</w:t>
      </w:r>
    </w:p>
    <w:p w:rsidR="00000000" w:rsidRPr="00EF02DD" w:rsidP="00EF02DD">
      <w:pPr>
        <w:pStyle w:val="BodyText"/>
      </w:pPr>
      <w:r w:rsidRPr="00EF02DD">
        <w:rPr>
          <w:rStyle w:val="SpecialBold"/>
        </w:rPr>
        <w:t>Working with Others and in Teams</w:t>
      </w:r>
    </w:p>
    <w:p w:rsidR="00000000" w:rsidRPr="00EF02DD" w:rsidP="00EF02DD">
      <w:pPr>
        <w:pStyle w:val="BodyText"/>
      </w:pPr>
      <w:r w:rsidRPr="00EF02DD">
        <w:t>For example:</w:t>
      </w:r>
    </w:p>
    <w:p w:rsidR="00000000" w:rsidRPr="00EF02DD" w:rsidP="00EF02DD">
      <w:pPr>
        <w:pStyle w:val="BodyText"/>
      </w:pPr>
      <w:r w:rsidRPr="00EF02DD">
        <w:t>Consulting with colleagues on the effectiveness of strategies  (3)</w:t>
      </w:r>
    </w:p>
    <w:p w:rsidR="00000000" w:rsidRPr="00EF02DD" w:rsidP="00EF02DD">
      <w:pPr>
        <w:pStyle w:val="BodyText"/>
      </w:pPr>
      <w:r w:rsidRPr="00EF02DD">
        <w:rPr>
          <w:rStyle w:val="SpecialBold"/>
        </w:rPr>
        <w:t>Using Mathematical Ideas and Techniques</w:t>
      </w:r>
    </w:p>
    <w:p w:rsidR="00000000" w:rsidRPr="00EF02DD" w:rsidP="00EF02DD">
      <w:pPr>
        <w:pStyle w:val="BodyText"/>
      </w:pPr>
      <w:r w:rsidRPr="00EF02DD">
        <w:t>For example:</w:t>
      </w:r>
    </w:p>
    <w:p w:rsidR="00000000" w:rsidRPr="00EF02DD" w:rsidP="00EF02DD">
      <w:pPr>
        <w:pStyle w:val="BodyText"/>
      </w:pPr>
      <w:r w:rsidRPr="00EF02DD">
        <w:t>Calculating the proba</w:t>
      </w:r>
      <w:r w:rsidRPr="00EF02DD">
        <w:t>bility of risks  (2)</w:t>
      </w:r>
    </w:p>
    <w:p w:rsidR="00000000" w:rsidRPr="00EF02DD" w:rsidP="00EF02DD">
      <w:pPr>
        <w:pStyle w:val="BodyText"/>
      </w:pPr>
      <w:r w:rsidRPr="00EF02DD">
        <w:rPr>
          <w:rStyle w:val="SpecialBold"/>
        </w:rPr>
        <w:t>Solving Problems</w:t>
      </w:r>
    </w:p>
    <w:p w:rsidR="00000000" w:rsidRPr="00EF02DD" w:rsidP="00EF02DD">
      <w:pPr>
        <w:pStyle w:val="BodyText"/>
      </w:pPr>
      <w:r w:rsidRPr="00EF02DD">
        <w:t>For example:</w:t>
      </w:r>
    </w:p>
    <w:p w:rsidR="00000000" w:rsidRPr="00EF02DD" w:rsidP="00EF02DD">
      <w:pPr>
        <w:pStyle w:val="BodyText"/>
      </w:pPr>
      <w:r w:rsidRPr="00EF02DD">
        <w:t>Adjusting a long-established operational procedure to minimise risk  (3)</w:t>
      </w:r>
    </w:p>
    <w:p w:rsidR="00000000" w:rsidRPr="00EF02DD" w:rsidP="00EF02DD">
      <w:pPr>
        <w:pStyle w:val="BodyText"/>
      </w:pPr>
      <w:r w:rsidRPr="00EF02DD">
        <w:rPr>
          <w:rStyle w:val="SpecialBold"/>
        </w:rPr>
        <w:t>Using Technology</w:t>
      </w:r>
    </w:p>
    <w:p w:rsidR="00000000" w:rsidRPr="00EF02DD" w:rsidP="00EF02DD">
      <w:pPr>
        <w:pStyle w:val="BodyText"/>
      </w:pPr>
      <w:r w:rsidRPr="00EF02DD">
        <w:t>For example:</w:t>
      </w:r>
    </w:p>
    <w:p w:rsidR="00000000" w:rsidRPr="00EF02DD" w:rsidP="00EF02DD">
      <w:pPr>
        <w:pStyle w:val="BodyText"/>
      </w:pPr>
      <w:r w:rsidRPr="00EF02DD">
        <w:t>Distributing regular risk management updates across the organisation  (2)</w:t>
      </w:r>
    </w:p>
    <w:p w:rsidR="00000000" w:rsidRPr="00EF02DD" w:rsidP="00EF02DD">
      <w:pPr>
        <w:pStyle w:val="AllowPageBreak"/>
      </w:pPr>
    </w:p>
    <w:p w:rsidR="00000000" w:rsidRPr="00EF02DD" w:rsidP="00EF02DD">
      <w:pPr>
        <w:pStyle w:val="Heading1"/>
      </w:pPr>
      <w:bookmarkStart w:id="11" w:name="O_326600"/>
      <w:bookmarkEnd w:id="11"/>
      <w:r w:rsidRPr="00EF02DD">
        <w:t>Range State</w:t>
      </w:r>
      <w:r w:rsidRPr="00EF02DD">
        <w:t>ment</w:t>
      </w:r>
    </w:p>
    <w:p w:rsidR="00000000" w:rsidRPr="00EF02DD" w:rsidP="00EF02DD">
      <w:pPr>
        <w:pStyle w:val="BodyText"/>
      </w:pPr>
      <w:r w:rsidRPr="00EF02DD">
        <w:t>This unit applies to all tourism and hospitality enterprises.  The following explanations identify how this unit may be applied in different workplaces, sectors and circumstances.</w:t>
      </w:r>
    </w:p>
    <w:p w:rsidR="00000000" w:rsidRPr="00EF02DD" w:rsidP="00EF02DD">
      <w:pPr>
        <w:pStyle w:val="BodyText"/>
      </w:pPr>
      <w:r w:rsidRPr="00EF02DD">
        <w:t>For generic pre-employment training and assessment, a range of industry</w:t>
      </w:r>
      <w:r w:rsidRPr="00EF02DD">
        <w:t xml:space="preserve"> contexts must be addressed.  Where the focus is sector or workplace specific, training and assessment must be tailored to meet particular needs.</w:t>
      </w:r>
    </w:p>
    <w:p w:rsidR="00000000" w:rsidRPr="00EF02DD" w:rsidP="00EF02DD">
      <w:pPr>
        <w:pStyle w:val="BodyText"/>
      </w:pPr>
      <w:r w:rsidRPr="00EF02DD">
        <w:rPr>
          <w:rStyle w:val="SpecialBold"/>
        </w:rPr>
        <w:t>Risks may include</w:t>
      </w:r>
      <w:r w:rsidRPr="00EF02DD">
        <w:t>:</w:t>
      </w:r>
    </w:p>
    <w:p w:rsidR="00000000" w:rsidRPr="00EF02DD" w:rsidP="00EF02DD">
      <w:pPr>
        <w:pStyle w:val="BodyText"/>
      </w:pPr>
      <w:r w:rsidRPr="00EF02DD">
        <w:t xml:space="preserve">health  </w:t>
      </w:r>
    </w:p>
    <w:p w:rsidR="00000000" w:rsidRPr="00EF02DD" w:rsidP="00EF02DD">
      <w:pPr>
        <w:pStyle w:val="BodyText"/>
      </w:pPr>
      <w:r w:rsidRPr="00EF02DD">
        <w:t xml:space="preserve">injury </w:t>
      </w:r>
    </w:p>
    <w:p w:rsidR="00000000" w:rsidRPr="00EF02DD" w:rsidP="00EF02DD">
      <w:pPr>
        <w:pStyle w:val="BodyText"/>
      </w:pPr>
      <w:r w:rsidRPr="00EF02DD">
        <w:t xml:space="preserve">product failure </w:t>
      </w:r>
    </w:p>
    <w:p w:rsidR="00000000" w:rsidRPr="00EF02DD" w:rsidP="00EF02DD">
      <w:pPr>
        <w:pStyle w:val="BodyText"/>
      </w:pPr>
      <w:r w:rsidRPr="00EF02DD">
        <w:t xml:space="preserve">damage to property or equipment </w:t>
      </w:r>
    </w:p>
    <w:p w:rsidR="00000000" w:rsidRPr="00EF02DD" w:rsidP="00EF02DD">
      <w:pPr>
        <w:pStyle w:val="BodyText"/>
      </w:pPr>
      <w:r w:rsidRPr="00EF02DD">
        <w:t xml:space="preserve">industrial dispute </w:t>
      </w:r>
    </w:p>
    <w:p w:rsidR="00000000" w:rsidRPr="00EF02DD" w:rsidP="00EF02DD">
      <w:pPr>
        <w:pStyle w:val="BodyText"/>
      </w:pPr>
      <w:r w:rsidRPr="00EF02DD">
        <w:t>prof</w:t>
      </w:r>
      <w:r w:rsidRPr="00EF02DD">
        <w:t xml:space="preserve">essional incompetence </w:t>
      </w:r>
    </w:p>
    <w:p w:rsidR="00000000" w:rsidRPr="00EF02DD" w:rsidP="00EF02DD">
      <w:pPr>
        <w:pStyle w:val="BodyText"/>
      </w:pPr>
      <w:r w:rsidRPr="00EF02DD">
        <w:t xml:space="preserve">natural disasters </w:t>
      </w:r>
    </w:p>
    <w:p w:rsidR="00000000" w:rsidRPr="00EF02DD" w:rsidP="00EF02DD">
      <w:pPr>
        <w:pStyle w:val="BodyText"/>
      </w:pPr>
      <w:r w:rsidRPr="00EF02DD">
        <w:t xml:space="preserve">security failure </w:t>
      </w:r>
    </w:p>
    <w:p w:rsidR="00000000" w:rsidRPr="00EF02DD" w:rsidP="00EF02DD">
      <w:pPr>
        <w:pStyle w:val="BodyText"/>
      </w:pPr>
      <w:r w:rsidRPr="00EF02DD">
        <w:t xml:space="preserve">system or equipment failure </w:t>
      </w:r>
    </w:p>
    <w:p w:rsidR="00000000" w:rsidRPr="00EF02DD" w:rsidP="00EF02DD">
      <w:pPr>
        <w:pStyle w:val="BodyText"/>
      </w:pPr>
      <w:r w:rsidRPr="00EF02DD">
        <w:t xml:space="preserve">financial loss </w:t>
      </w:r>
    </w:p>
    <w:p w:rsidR="00000000" w:rsidRPr="00EF02DD" w:rsidP="00EF02DD">
      <w:pPr>
        <w:pStyle w:val="BodyText"/>
      </w:pPr>
      <w:r w:rsidRPr="00EF02DD">
        <w:t>political events.</w:t>
      </w:r>
    </w:p>
    <w:p w:rsidR="00000000" w:rsidRPr="00EF02DD" w:rsidP="00EF02DD">
      <w:pPr>
        <w:pStyle w:val="BodyText"/>
      </w:pPr>
      <w:r w:rsidRPr="00EF02DD">
        <w:rPr>
          <w:rStyle w:val="SpecialBold"/>
        </w:rPr>
        <w:t>Specific environments may include any environment where workplace activities are undertaken including</w:t>
      </w:r>
      <w:r w:rsidRPr="00EF02DD">
        <w:t>:</w:t>
      </w:r>
    </w:p>
    <w:p w:rsidR="00000000" w:rsidRPr="00EF02DD" w:rsidP="00EF02DD">
      <w:pPr>
        <w:pStyle w:val="BodyText"/>
      </w:pPr>
      <w:r w:rsidRPr="00EF02DD">
        <w:t xml:space="preserve">offices </w:t>
      </w:r>
    </w:p>
    <w:p w:rsidR="00000000" w:rsidRPr="00EF02DD" w:rsidP="00EF02DD">
      <w:pPr>
        <w:pStyle w:val="BodyText"/>
      </w:pPr>
      <w:r w:rsidRPr="00EF02DD">
        <w:t xml:space="preserve">kitchens </w:t>
      </w:r>
    </w:p>
    <w:p w:rsidR="00000000" w:rsidRPr="00EF02DD" w:rsidP="00EF02DD">
      <w:pPr>
        <w:pStyle w:val="BodyText"/>
      </w:pPr>
      <w:r w:rsidRPr="00EF02DD">
        <w:t xml:space="preserve">bars and restaurants </w:t>
      </w:r>
    </w:p>
    <w:p w:rsidR="00000000" w:rsidRPr="00EF02DD" w:rsidP="00EF02DD">
      <w:pPr>
        <w:pStyle w:val="BodyText"/>
      </w:pPr>
      <w:r w:rsidRPr="00EF02DD">
        <w:t xml:space="preserve">accommodation establishments </w:t>
      </w:r>
    </w:p>
    <w:p w:rsidR="00000000" w:rsidRPr="00EF02DD" w:rsidP="00EF02DD">
      <w:pPr>
        <w:pStyle w:val="BodyText"/>
      </w:pPr>
      <w:r w:rsidRPr="00EF02DD">
        <w:t xml:space="preserve">event venues  </w:t>
      </w:r>
    </w:p>
    <w:p w:rsidR="00000000" w:rsidRPr="00EF02DD" w:rsidP="00EF02DD">
      <w:pPr>
        <w:pStyle w:val="BodyText"/>
      </w:pPr>
      <w:r w:rsidRPr="00EF02DD">
        <w:t xml:space="preserve">outdoor event venues </w:t>
      </w:r>
    </w:p>
    <w:p w:rsidR="00000000" w:rsidRPr="00EF02DD" w:rsidP="00EF02DD">
      <w:pPr>
        <w:pStyle w:val="BodyText"/>
      </w:pPr>
      <w:r w:rsidRPr="00EF02DD">
        <w:t xml:space="preserve">natural environments </w:t>
      </w:r>
    </w:p>
    <w:p w:rsidR="00000000" w:rsidRPr="00EF02DD" w:rsidP="00EF02DD">
      <w:pPr>
        <w:pStyle w:val="BodyText"/>
      </w:pPr>
      <w:r w:rsidRPr="00EF02DD">
        <w:t xml:space="preserve">grandstands </w:t>
      </w:r>
    </w:p>
    <w:p w:rsidR="00000000" w:rsidRPr="00EF02DD" w:rsidP="00EF02DD">
      <w:pPr>
        <w:pStyle w:val="BodyText"/>
      </w:pPr>
      <w:r w:rsidRPr="00EF02DD">
        <w:t xml:space="preserve">mosh pits </w:t>
      </w:r>
    </w:p>
    <w:p w:rsidR="00000000" w:rsidRPr="00EF02DD" w:rsidP="00EF02DD">
      <w:pPr>
        <w:pStyle w:val="BodyText"/>
      </w:pPr>
      <w:r w:rsidRPr="00EF02DD">
        <w:t xml:space="preserve">racecourses </w:t>
      </w:r>
    </w:p>
    <w:p w:rsidR="00000000" w:rsidRPr="00EF02DD" w:rsidP="00EF02DD">
      <w:pPr>
        <w:pStyle w:val="BodyText"/>
      </w:pPr>
      <w:r w:rsidRPr="00EF02DD">
        <w:t xml:space="preserve">attractions and theme parks </w:t>
      </w:r>
    </w:p>
    <w:p w:rsidR="00000000" w:rsidRPr="00EF02DD" w:rsidP="00EF02DD">
      <w:pPr>
        <w:pStyle w:val="BodyText"/>
      </w:pPr>
      <w:r w:rsidRPr="00EF02DD">
        <w:t>aquatic venues.</w:t>
      </w:r>
    </w:p>
    <w:p w:rsidR="00000000" w:rsidRPr="00EF02DD" w:rsidP="00EF02DD">
      <w:pPr>
        <w:pStyle w:val="BodyText"/>
      </w:pPr>
      <w:r w:rsidRPr="00EF02DD">
        <w:rPr>
          <w:rStyle w:val="SpecialBold"/>
        </w:rPr>
        <w:t>Stakeholders may include</w:t>
      </w:r>
      <w:r w:rsidRPr="00EF02DD">
        <w:t>:</w:t>
      </w:r>
    </w:p>
    <w:p w:rsidR="00000000" w:rsidRPr="00EF02DD" w:rsidP="00EF02DD">
      <w:pPr>
        <w:pStyle w:val="BodyText"/>
      </w:pPr>
      <w:r w:rsidRPr="00EF02DD">
        <w:t xml:space="preserve">customers </w:t>
      </w:r>
    </w:p>
    <w:p w:rsidR="00000000" w:rsidRPr="00EF02DD" w:rsidP="00EF02DD">
      <w:pPr>
        <w:pStyle w:val="BodyText"/>
      </w:pPr>
      <w:r w:rsidRPr="00EF02DD">
        <w:t xml:space="preserve">colleagues </w:t>
      </w:r>
    </w:p>
    <w:p w:rsidR="00000000" w:rsidRPr="00EF02DD" w:rsidP="00EF02DD">
      <w:pPr>
        <w:pStyle w:val="BodyText"/>
      </w:pPr>
      <w:r w:rsidRPr="00EF02DD">
        <w:t>suppliers/cont</w:t>
      </w:r>
      <w:r w:rsidRPr="00EF02DD">
        <w:t xml:space="preserve">ractors </w:t>
      </w:r>
    </w:p>
    <w:p w:rsidR="00000000" w:rsidRPr="00EF02DD" w:rsidP="00EF02DD">
      <w:pPr>
        <w:pStyle w:val="BodyText"/>
      </w:pPr>
      <w:r w:rsidRPr="00EF02DD">
        <w:t xml:space="preserve">athletes </w:t>
      </w:r>
    </w:p>
    <w:p w:rsidR="00000000" w:rsidRPr="00EF02DD" w:rsidP="00EF02DD">
      <w:pPr>
        <w:pStyle w:val="BodyText"/>
      </w:pPr>
      <w:r w:rsidRPr="00EF02DD">
        <w:t xml:space="preserve">performers </w:t>
      </w:r>
    </w:p>
    <w:p w:rsidR="00000000" w:rsidRPr="00EF02DD" w:rsidP="00EF02DD">
      <w:pPr>
        <w:pStyle w:val="BodyText"/>
      </w:pPr>
      <w:r w:rsidRPr="00EF02DD">
        <w:t xml:space="preserve">participants </w:t>
      </w:r>
    </w:p>
    <w:p w:rsidR="00000000" w:rsidRPr="00EF02DD" w:rsidP="00EF02DD">
      <w:pPr>
        <w:pStyle w:val="BodyText"/>
      </w:pPr>
      <w:r w:rsidRPr="00EF02DD">
        <w:t>audience.</w:t>
      </w:r>
    </w:p>
    <w:p w:rsidR="00000000" w:rsidRPr="00EF02DD" w:rsidP="00EF02DD">
      <w:pPr>
        <w:pStyle w:val="BodyText"/>
      </w:pPr>
      <w:r w:rsidRPr="00EF02DD">
        <w:t>A "near miss" refers to an event or incident which in other circumstances may have resulted in an injury to a person, damage to property or some other negative impact on the organisation or community.</w:t>
      </w:r>
    </w:p>
    <w:p w:rsidR="00000000" w:rsidRPr="00EF02DD" w:rsidP="00EF02DD">
      <w:pPr>
        <w:pStyle w:val="BodyText"/>
      </w:pPr>
      <w:r w:rsidRPr="00EF02DD">
        <w:t>This unit applies to all tourism and hospitality enterprises.  The following explanations identify how this unit may be applied in different workplaces, sectors and circumstances.</w:t>
      </w:r>
    </w:p>
    <w:p w:rsidR="00000000" w:rsidRPr="00EF02DD" w:rsidP="00EF02DD">
      <w:pPr>
        <w:pStyle w:val="BodyText"/>
      </w:pPr>
      <w:r w:rsidRPr="00EF02DD">
        <w:t>For generic pre-employment training and assessment, a range of industry cont</w:t>
      </w:r>
      <w:r w:rsidRPr="00EF02DD">
        <w:t>exts must be addressed.  Where the focus is sector or workplace specific, training and assessment must be tailored to meet particular needs.</w:t>
      </w:r>
    </w:p>
    <w:p w:rsidR="00000000" w:rsidRPr="00EF02DD" w:rsidP="00EF02DD">
      <w:pPr>
        <w:pStyle w:val="BodyText"/>
      </w:pPr>
      <w:r w:rsidRPr="00EF02DD">
        <w:rPr>
          <w:rStyle w:val="SpecialBold"/>
        </w:rPr>
        <w:t>Risks may include</w:t>
      </w:r>
      <w:r w:rsidRPr="00EF02DD">
        <w:t>:</w:t>
      </w:r>
    </w:p>
    <w:p w:rsidR="00000000" w:rsidRPr="00EF02DD" w:rsidP="00EF02DD">
      <w:pPr>
        <w:pStyle w:val="BodyText"/>
      </w:pPr>
      <w:r w:rsidRPr="00EF02DD">
        <w:t xml:space="preserve">health  </w:t>
      </w:r>
    </w:p>
    <w:p w:rsidR="00000000" w:rsidRPr="00EF02DD" w:rsidP="00EF02DD">
      <w:pPr>
        <w:pStyle w:val="BodyText"/>
      </w:pPr>
      <w:r w:rsidRPr="00EF02DD">
        <w:t xml:space="preserve">injury </w:t>
      </w:r>
    </w:p>
    <w:p w:rsidR="00000000" w:rsidRPr="00EF02DD" w:rsidP="00EF02DD">
      <w:pPr>
        <w:pStyle w:val="BodyText"/>
      </w:pPr>
      <w:r w:rsidRPr="00EF02DD">
        <w:t xml:space="preserve">product failure </w:t>
      </w:r>
    </w:p>
    <w:p w:rsidR="00000000" w:rsidRPr="00EF02DD" w:rsidP="00EF02DD">
      <w:pPr>
        <w:pStyle w:val="BodyText"/>
      </w:pPr>
      <w:r w:rsidRPr="00EF02DD">
        <w:t xml:space="preserve">damage to property or equipment </w:t>
      </w:r>
    </w:p>
    <w:p w:rsidR="00000000" w:rsidRPr="00EF02DD" w:rsidP="00EF02DD">
      <w:pPr>
        <w:pStyle w:val="BodyText"/>
      </w:pPr>
      <w:r w:rsidRPr="00EF02DD">
        <w:t xml:space="preserve">industrial dispute </w:t>
      </w:r>
    </w:p>
    <w:p w:rsidR="00000000" w:rsidRPr="00EF02DD" w:rsidP="00EF02DD">
      <w:pPr>
        <w:pStyle w:val="BodyText"/>
      </w:pPr>
      <w:r w:rsidRPr="00EF02DD">
        <w:t xml:space="preserve">professional incompetence </w:t>
      </w:r>
    </w:p>
    <w:p w:rsidR="00000000" w:rsidRPr="00EF02DD" w:rsidP="00EF02DD">
      <w:pPr>
        <w:pStyle w:val="BodyText"/>
      </w:pPr>
      <w:r w:rsidRPr="00EF02DD">
        <w:t xml:space="preserve">natural disasters </w:t>
      </w:r>
    </w:p>
    <w:p w:rsidR="00000000" w:rsidRPr="00EF02DD" w:rsidP="00EF02DD">
      <w:pPr>
        <w:pStyle w:val="BodyText"/>
      </w:pPr>
      <w:r w:rsidRPr="00EF02DD">
        <w:t xml:space="preserve">security failure </w:t>
      </w:r>
    </w:p>
    <w:p w:rsidR="00000000" w:rsidRPr="00EF02DD" w:rsidP="00EF02DD">
      <w:pPr>
        <w:pStyle w:val="BodyText"/>
      </w:pPr>
      <w:r w:rsidRPr="00EF02DD">
        <w:t xml:space="preserve">system or equipment failure </w:t>
      </w:r>
    </w:p>
    <w:p w:rsidR="00000000" w:rsidRPr="00EF02DD" w:rsidP="00EF02DD">
      <w:pPr>
        <w:pStyle w:val="BodyText"/>
      </w:pPr>
      <w:r w:rsidRPr="00EF02DD">
        <w:t xml:space="preserve">financial loss </w:t>
      </w:r>
    </w:p>
    <w:p w:rsidR="00000000" w:rsidRPr="00EF02DD" w:rsidP="00EF02DD">
      <w:pPr>
        <w:pStyle w:val="BodyText"/>
      </w:pPr>
      <w:r w:rsidRPr="00EF02DD">
        <w:t>political events.</w:t>
      </w:r>
    </w:p>
    <w:p w:rsidR="00000000" w:rsidRPr="00EF02DD" w:rsidP="00EF02DD">
      <w:pPr>
        <w:pStyle w:val="BodyText"/>
      </w:pPr>
      <w:r w:rsidRPr="00EF02DD">
        <w:rPr>
          <w:rStyle w:val="SpecialBold"/>
        </w:rPr>
        <w:t>Specific environments may include any environment where workplace activities are undertaken including</w:t>
      </w:r>
      <w:r w:rsidRPr="00EF02DD">
        <w:t>:</w:t>
      </w:r>
    </w:p>
    <w:p w:rsidR="00000000" w:rsidRPr="00EF02DD" w:rsidP="00EF02DD">
      <w:pPr>
        <w:pStyle w:val="BodyText"/>
      </w:pPr>
      <w:r w:rsidRPr="00EF02DD">
        <w:t xml:space="preserve">offices </w:t>
      </w:r>
    </w:p>
    <w:p w:rsidR="00000000" w:rsidRPr="00EF02DD" w:rsidP="00EF02DD">
      <w:pPr>
        <w:pStyle w:val="BodyText"/>
      </w:pPr>
      <w:r w:rsidRPr="00EF02DD">
        <w:t xml:space="preserve">kitchens </w:t>
      </w:r>
    </w:p>
    <w:p w:rsidR="00000000" w:rsidRPr="00EF02DD" w:rsidP="00EF02DD">
      <w:pPr>
        <w:pStyle w:val="BodyText"/>
      </w:pPr>
      <w:r w:rsidRPr="00EF02DD">
        <w:t>bars an</w:t>
      </w:r>
      <w:r w:rsidRPr="00EF02DD">
        <w:t xml:space="preserve">d restaurants </w:t>
      </w:r>
    </w:p>
    <w:p w:rsidR="00000000" w:rsidRPr="00EF02DD" w:rsidP="00EF02DD">
      <w:pPr>
        <w:pStyle w:val="BodyText"/>
      </w:pPr>
      <w:r w:rsidRPr="00EF02DD">
        <w:t xml:space="preserve">accommodation establishments </w:t>
      </w:r>
    </w:p>
    <w:p w:rsidR="00000000" w:rsidRPr="00EF02DD" w:rsidP="00EF02DD">
      <w:pPr>
        <w:pStyle w:val="BodyText"/>
      </w:pPr>
      <w:r w:rsidRPr="00EF02DD">
        <w:t xml:space="preserve">event venues  </w:t>
      </w:r>
    </w:p>
    <w:p w:rsidR="00000000" w:rsidRPr="00EF02DD" w:rsidP="00EF02DD">
      <w:pPr>
        <w:pStyle w:val="BodyText"/>
      </w:pPr>
      <w:r w:rsidRPr="00EF02DD">
        <w:t xml:space="preserve">outdoor event venues </w:t>
      </w:r>
    </w:p>
    <w:p w:rsidR="00000000" w:rsidRPr="00EF02DD" w:rsidP="00EF02DD">
      <w:pPr>
        <w:pStyle w:val="BodyText"/>
      </w:pPr>
      <w:r w:rsidRPr="00EF02DD">
        <w:t xml:space="preserve">natural environments </w:t>
      </w:r>
    </w:p>
    <w:p w:rsidR="00000000" w:rsidRPr="00EF02DD" w:rsidP="00EF02DD">
      <w:pPr>
        <w:pStyle w:val="BodyText"/>
      </w:pPr>
      <w:r w:rsidRPr="00EF02DD">
        <w:t xml:space="preserve">grandstands </w:t>
      </w:r>
    </w:p>
    <w:p w:rsidR="00000000" w:rsidRPr="00EF02DD" w:rsidP="00EF02DD">
      <w:pPr>
        <w:pStyle w:val="BodyText"/>
      </w:pPr>
      <w:r w:rsidRPr="00EF02DD">
        <w:t xml:space="preserve">mosh pits </w:t>
      </w:r>
    </w:p>
    <w:p w:rsidR="00000000" w:rsidRPr="00EF02DD" w:rsidP="00EF02DD">
      <w:pPr>
        <w:pStyle w:val="BodyText"/>
      </w:pPr>
      <w:r w:rsidRPr="00EF02DD">
        <w:t xml:space="preserve">racecourses </w:t>
      </w:r>
    </w:p>
    <w:p w:rsidR="00000000" w:rsidRPr="00EF02DD" w:rsidP="00EF02DD">
      <w:pPr>
        <w:pStyle w:val="BodyText"/>
      </w:pPr>
      <w:r w:rsidRPr="00EF02DD">
        <w:t xml:space="preserve">attractions and theme parks </w:t>
      </w:r>
    </w:p>
    <w:p w:rsidR="00000000" w:rsidRPr="00EF02DD" w:rsidP="00EF02DD">
      <w:pPr>
        <w:pStyle w:val="BodyText"/>
      </w:pPr>
      <w:r w:rsidRPr="00EF02DD">
        <w:t>aquatic venues.</w:t>
      </w:r>
    </w:p>
    <w:p w:rsidR="00000000" w:rsidRPr="00EF02DD" w:rsidP="00EF02DD">
      <w:pPr>
        <w:pStyle w:val="BodyText"/>
      </w:pPr>
      <w:r w:rsidRPr="00EF02DD">
        <w:rPr>
          <w:rStyle w:val="SpecialBold"/>
        </w:rPr>
        <w:t>Stakeholders may include</w:t>
      </w:r>
      <w:r w:rsidRPr="00EF02DD">
        <w:t>:</w:t>
      </w:r>
    </w:p>
    <w:p w:rsidR="00000000" w:rsidRPr="00EF02DD" w:rsidP="00EF02DD">
      <w:pPr>
        <w:pStyle w:val="BodyText"/>
      </w:pPr>
      <w:r w:rsidRPr="00EF02DD">
        <w:t xml:space="preserve">customers </w:t>
      </w:r>
    </w:p>
    <w:p w:rsidR="00000000" w:rsidRPr="00EF02DD" w:rsidP="00EF02DD">
      <w:pPr>
        <w:pStyle w:val="BodyText"/>
      </w:pPr>
      <w:r w:rsidRPr="00EF02DD">
        <w:t xml:space="preserve">colleagues </w:t>
      </w:r>
    </w:p>
    <w:p w:rsidR="00000000" w:rsidRPr="00EF02DD" w:rsidP="00EF02DD">
      <w:pPr>
        <w:pStyle w:val="BodyText"/>
      </w:pPr>
      <w:r w:rsidRPr="00EF02DD">
        <w:t>suppliers/contractors</w:t>
      </w:r>
      <w:r w:rsidRPr="00EF02DD">
        <w:t xml:space="preserve"> </w:t>
      </w:r>
    </w:p>
    <w:p w:rsidR="00000000" w:rsidRPr="00EF02DD" w:rsidP="00EF02DD">
      <w:pPr>
        <w:pStyle w:val="BodyText"/>
      </w:pPr>
      <w:r w:rsidRPr="00EF02DD">
        <w:t xml:space="preserve">athletes </w:t>
      </w:r>
    </w:p>
    <w:p w:rsidR="00000000" w:rsidRPr="00EF02DD" w:rsidP="00EF02DD">
      <w:pPr>
        <w:pStyle w:val="BodyText"/>
      </w:pPr>
      <w:r w:rsidRPr="00EF02DD">
        <w:t xml:space="preserve">performers </w:t>
      </w:r>
    </w:p>
    <w:p w:rsidR="00000000" w:rsidRPr="00EF02DD" w:rsidP="00EF02DD">
      <w:pPr>
        <w:pStyle w:val="BodyText"/>
      </w:pPr>
      <w:r w:rsidRPr="00EF02DD">
        <w:t xml:space="preserve">participants </w:t>
      </w:r>
    </w:p>
    <w:p w:rsidR="00000000" w:rsidRPr="00EF02DD" w:rsidP="00EF02DD">
      <w:pPr>
        <w:pStyle w:val="BodyText"/>
      </w:pPr>
      <w:r w:rsidRPr="00EF02DD">
        <w:t>audience.</w:t>
      </w:r>
    </w:p>
    <w:p w:rsidR="00000000" w:rsidRPr="00EF02DD" w:rsidP="00EF02DD">
      <w:pPr>
        <w:pStyle w:val="BodyText"/>
      </w:pPr>
      <w:r w:rsidRPr="00EF02DD">
        <w:t>A "near miss" refers to an event or incident which in other circumstances may have resulted in an injury to a person, damage to property or some other negative impact on the organisation or community.</w:t>
      </w:r>
    </w:p>
    <w:p w:rsidR="00000000" w:rsidRPr="00EF02DD" w:rsidP="00EF02DD">
      <w:pPr>
        <w:pStyle w:val="AllowPageBreak"/>
      </w:pPr>
    </w:p>
    <w:p w:rsidR="00000000" w:rsidRPr="00EF02DD" w:rsidP="00EF02DD">
      <w:pPr>
        <w:pStyle w:val="Heading1"/>
      </w:pPr>
      <w:bookmarkStart w:id="12" w:name="O_326599"/>
      <w:bookmarkEnd w:id="12"/>
      <w:r w:rsidRPr="00EF02DD">
        <w:t>Unit Sector(s)</w:t>
      </w:r>
    </w:p>
    <w:p w:rsidR="00000000" w:rsidRPr="00EF02DD" w:rsidP="00EF02DD">
      <w:pPr>
        <w:pStyle w:val="BodyText"/>
      </w:pPr>
      <w:r w:rsidRPr="00EF02DD">
        <w:t>Not applicable.</w:t>
      </w:r>
    </w:p>
    <w:p w:rsidR="00000000" w:rsidRPr="00EF02DD" w:rsidP="00EF02DD"/>
    <w:sectPr w:rsidSect="00EF02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2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764D" w:rsidP="007C76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2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64D" w:rsidP="00EF02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C764D" w:rsidP="00EF02D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7C764D" w:rsidP="00EF02D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2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764D" w:rsidP="007C764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2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64D" w:rsidP="00EF02DD">
    <w:pPr>
      <w:pStyle w:val="Header"/>
      <w:framePr w:wrap="around"/>
    </w:pPr>
    <w:r>
      <w:fldChar w:fldCharType="begin"/>
    </w:r>
    <w:r>
      <w:instrText xml:space="preserve"> TITLE   \* MERGEFORMAT </w:instrText>
    </w:r>
    <w:r>
      <w:fldChar w:fldCharType="separate"/>
    </w:r>
    <w:r>
      <w:t>THHGLE22A Manage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C764D" w:rsidP="00EF02D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02D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F02DD"/>
    <w:pPr>
      <w:spacing w:before="360" w:after="60"/>
      <w:outlineLvl w:val="0"/>
    </w:pPr>
    <w:rPr>
      <w:sz w:val="32"/>
    </w:rPr>
  </w:style>
  <w:style w:type="paragraph" w:styleId="Heading2">
    <w:name w:val="heading 2"/>
    <w:basedOn w:val="HeadingBase"/>
    <w:next w:val="BodyText"/>
    <w:link w:val="Heading2Char"/>
    <w:qFormat/>
    <w:rsid w:val="00EF02DD"/>
    <w:pPr>
      <w:keepLines/>
      <w:spacing w:before="240" w:after="120"/>
      <w:outlineLvl w:val="1"/>
    </w:pPr>
    <w:rPr>
      <w:sz w:val="28"/>
      <w:szCs w:val="40"/>
    </w:rPr>
  </w:style>
  <w:style w:type="paragraph" w:styleId="Heading3">
    <w:name w:val="heading 3"/>
    <w:basedOn w:val="HeadingBase"/>
    <w:next w:val="BodyText"/>
    <w:link w:val="Heading3Char"/>
    <w:qFormat/>
    <w:rsid w:val="00EF02DD"/>
    <w:pPr>
      <w:spacing w:before="180" w:after="120"/>
      <w:outlineLvl w:val="2"/>
    </w:pPr>
    <w:rPr>
      <w:spacing w:val="-10"/>
      <w:kern w:val="32"/>
    </w:rPr>
  </w:style>
  <w:style w:type="paragraph" w:styleId="Heading4">
    <w:name w:val="heading 4"/>
    <w:basedOn w:val="HeadingBase"/>
    <w:next w:val="BodyText"/>
    <w:link w:val="Heading4Char"/>
    <w:qFormat/>
    <w:rsid w:val="00EF02DD"/>
    <w:pPr>
      <w:spacing w:before="160" w:after="120"/>
      <w:outlineLvl w:val="3"/>
    </w:pPr>
    <w:rPr>
      <w:sz w:val="22"/>
    </w:rPr>
  </w:style>
  <w:style w:type="paragraph" w:styleId="Heading5">
    <w:name w:val="heading 5"/>
    <w:basedOn w:val="HeadingBase"/>
    <w:next w:val="Normal"/>
    <w:link w:val="Heading5Char"/>
    <w:qFormat/>
    <w:rsid w:val="00EF02DD"/>
    <w:pPr>
      <w:spacing w:before="80"/>
      <w:outlineLvl w:val="4"/>
    </w:pPr>
    <w:rPr>
      <w:color w:val="918585"/>
      <w:sz w:val="20"/>
    </w:rPr>
  </w:style>
  <w:style w:type="paragraph" w:styleId="Heading6">
    <w:name w:val="heading 6"/>
    <w:basedOn w:val="HeadingBase"/>
    <w:next w:val="Normal"/>
    <w:link w:val="Heading6Char"/>
    <w:qFormat/>
    <w:rsid w:val="00EF02DD"/>
    <w:pPr>
      <w:spacing w:before="60"/>
      <w:outlineLvl w:val="5"/>
    </w:pPr>
    <w:rPr>
      <w:color w:val="918585"/>
      <w:sz w:val="20"/>
    </w:rPr>
  </w:style>
  <w:style w:type="paragraph" w:styleId="Heading7">
    <w:name w:val="heading 7"/>
    <w:basedOn w:val="Normal"/>
    <w:next w:val="Normal"/>
    <w:link w:val="Heading7Char"/>
    <w:qFormat/>
    <w:rsid w:val="00EF02DD"/>
    <w:pPr>
      <w:ind w:left="720"/>
      <w:outlineLvl w:val="6"/>
    </w:pPr>
    <w:rPr>
      <w:i/>
    </w:rPr>
  </w:style>
  <w:style w:type="paragraph" w:styleId="Heading8">
    <w:name w:val="heading 8"/>
    <w:basedOn w:val="Normal"/>
    <w:next w:val="Normal"/>
    <w:link w:val="Heading8Char"/>
    <w:qFormat/>
    <w:rsid w:val="00EF02DD"/>
    <w:pPr>
      <w:ind w:left="720"/>
      <w:outlineLvl w:val="7"/>
    </w:pPr>
    <w:rPr>
      <w:i/>
    </w:rPr>
  </w:style>
  <w:style w:type="paragraph" w:styleId="Heading9">
    <w:name w:val="heading 9"/>
    <w:basedOn w:val="Normal"/>
    <w:next w:val="Normal"/>
    <w:link w:val="Heading9Char"/>
    <w:qFormat/>
    <w:rsid w:val="00EF02DD"/>
    <w:pPr>
      <w:ind w:left="720"/>
      <w:outlineLvl w:val="8"/>
    </w:pPr>
    <w:rPr>
      <w:i/>
    </w:rPr>
  </w:style>
  <w:style w:type="character" w:default="1" w:styleId="DefaultParagraphFont">
    <w:name w:val="Default Paragraph Font"/>
    <w:uiPriority w:val="1"/>
    <w:unhideWhenUsed/>
    <w:rsid w:val="00EF02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02DD"/>
  </w:style>
  <w:style w:type="character" w:customStyle="1" w:styleId="Heading1Char">
    <w:name w:val="Heading 1 Char"/>
    <w:basedOn w:val="DefaultParagraphFont"/>
    <w:link w:val="Heading1"/>
    <w:rsid w:val="00EF02DD"/>
    <w:rPr>
      <w:rFonts w:ascii="Times New Roman" w:eastAsia="Times New Roman" w:hAnsi="Times New Roman" w:cs="Times New Roman"/>
      <w:b/>
      <w:sz w:val="32"/>
      <w:szCs w:val="20"/>
      <w:lang w:eastAsia="en-US"/>
    </w:rPr>
  </w:style>
  <w:style w:type="paragraph" w:styleId="BodyText">
    <w:name w:val="Body Text"/>
    <w:basedOn w:val="Normal"/>
    <w:link w:val="BodyTextChar"/>
    <w:rsid w:val="00EF02D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F02DD"/>
    <w:rPr>
      <w:rFonts w:ascii="Times New Roman" w:eastAsia="Times New Roman" w:hAnsi="Times New Roman" w:cs="Times New Roman"/>
      <w:sz w:val="24"/>
      <w:lang w:val="en-US" w:eastAsia="en-US"/>
    </w:rPr>
  </w:style>
  <w:style w:type="paragraph" w:styleId="Footer">
    <w:name w:val="footer"/>
    <w:basedOn w:val="Normal"/>
    <w:link w:val="FooterChar"/>
    <w:rsid w:val="00EF02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02DD"/>
    <w:rPr>
      <w:rFonts w:ascii="Times New Roman" w:eastAsia="Times New Roman" w:hAnsi="Times New Roman" w:cs="Times New Roman"/>
      <w:sz w:val="16"/>
      <w:lang w:val="en-US" w:eastAsia="en-US"/>
    </w:rPr>
  </w:style>
  <w:style w:type="character" w:customStyle="1" w:styleId="SpecialBold">
    <w:name w:val="Special Bold"/>
    <w:basedOn w:val="DefaultParagraphFont"/>
    <w:rsid w:val="00EF02DD"/>
    <w:rPr>
      <w:b/>
      <w:spacing w:val="0"/>
    </w:rPr>
  </w:style>
  <w:style w:type="paragraph" w:styleId="Header">
    <w:name w:val="header"/>
    <w:basedOn w:val="Normal"/>
    <w:link w:val="HeaderChar"/>
    <w:rsid w:val="00EF02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02D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F02DD"/>
    <w:pPr>
      <w:spacing w:before="240" w:after="120"/>
      <w:outlineLvl w:val="0"/>
    </w:pPr>
    <w:rPr>
      <w:rFonts w:ascii="Times New Roman" w:hAnsi="Times New Roman"/>
      <w:b/>
      <w:sz w:val="28"/>
    </w:rPr>
  </w:style>
  <w:style w:type="paragraph" w:customStyle="1" w:styleId="AllowPageBreak">
    <w:name w:val="AllowPageBreak"/>
    <w:rsid w:val="00EF02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02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02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02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02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02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02D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F02D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F02DD"/>
    <w:rPr>
      <w:rFonts w:ascii="Courier New" w:eastAsia="Times New Roman" w:hAnsi="Courier New" w:cs="Times New Roman"/>
      <w:i/>
      <w:szCs w:val="20"/>
      <w:lang w:val="en-US" w:eastAsia="en-US"/>
    </w:rPr>
  </w:style>
  <w:style w:type="paragraph" w:customStyle="1" w:styleId="HeadingBase">
    <w:name w:val="Heading Base"/>
    <w:rsid w:val="00EF02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02DD"/>
    <w:pPr>
      <w:tabs>
        <w:tab w:val="right" w:leader="dot" w:pos="9072"/>
      </w:tabs>
      <w:ind w:left="567"/>
    </w:pPr>
    <w:rPr>
      <w:szCs w:val="22"/>
    </w:rPr>
  </w:style>
  <w:style w:type="paragraph" w:customStyle="1" w:styleId="TOCBase">
    <w:name w:val="TOC Base"/>
    <w:rsid w:val="00EF02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02DD"/>
    <w:pPr>
      <w:tabs>
        <w:tab w:val="right" w:leader="dot" w:pos="9072"/>
      </w:tabs>
      <w:spacing w:before="40" w:after="40"/>
      <w:ind w:left="284"/>
    </w:pPr>
    <w:rPr>
      <w:rFonts w:ascii="Times New Roman" w:hAnsi="Times New Roman"/>
    </w:rPr>
  </w:style>
  <w:style w:type="paragraph" w:styleId="TOC1">
    <w:name w:val="toc 1"/>
    <w:basedOn w:val="TOCBase"/>
    <w:next w:val="Normal"/>
    <w:rsid w:val="00EF02D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F02DD"/>
    <w:pPr>
      <w:spacing w:before="5040"/>
      <w:jc w:val="center"/>
    </w:pPr>
    <w:rPr>
      <w:sz w:val="48"/>
      <w:szCs w:val="72"/>
      <w:lang w:val="en-US"/>
    </w:rPr>
  </w:style>
  <w:style w:type="character" w:customStyle="1" w:styleId="TitleChar">
    <w:name w:val="Title Char"/>
    <w:basedOn w:val="DefaultParagraphFont"/>
    <w:link w:val="Title"/>
    <w:rsid w:val="00EF02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02DD"/>
    <w:pPr>
      <w:tabs>
        <w:tab w:val="left" w:pos="3600"/>
        <w:tab w:val="left" w:pos="3958"/>
      </w:tabs>
    </w:pPr>
  </w:style>
  <w:style w:type="paragraph" w:styleId="List">
    <w:name w:val="List"/>
    <w:basedOn w:val="BodyText"/>
    <w:next w:val="BodyText"/>
    <w:rsid w:val="00EF02DD"/>
    <w:pPr>
      <w:tabs>
        <w:tab w:val="left" w:pos="340"/>
      </w:tabs>
      <w:spacing w:before="60" w:after="60"/>
      <w:ind w:left="340" w:hanging="340"/>
    </w:pPr>
  </w:style>
  <w:style w:type="paragraph" w:styleId="ListBullet">
    <w:name w:val="List Bullet"/>
    <w:basedOn w:val="List"/>
    <w:rsid w:val="00EF02DD"/>
    <w:pPr>
      <w:numPr>
        <w:numId w:val="11"/>
      </w:numPr>
      <w:tabs>
        <w:tab w:val="clear" w:pos="340"/>
      </w:tabs>
      <w:spacing w:before="40" w:after="40"/>
    </w:pPr>
  </w:style>
  <w:style w:type="paragraph" w:customStyle="1" w:styleId="Note">
    <w:name w:val="Note"/>
    <w:basedOn w:val="BodyText"/>
    <w:rsid w:val="00EF02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02DD"/>
    <w:pPr>
      <w:framePr w:wrap="auto" w:hAnchor="text" w:y="6049"/>
    </w:pPr>
    <w:rPr>
      <w:color w:val="000000"/>
      <w:sz w:val="40"/>
    </w:rPr>
  </w:style>
  <w:style w:type="paragraph" w:customStyle="1" w:styleId="TOCTitle">
    <w:name w:val="TOCTitle"/>
    <w:basedOn w:val="Heading1"/>
    <w:rsid w:val="00EF02DD"/>
    <w:pPr>
      <w:spacing w:after="240"/>
      <w:jc w:val="center"/>
      <w:outlineLvl w:val="9"/>
    </w:pPr>
    <w:rPr>
      <w:caps/>
    </w:rPr>
  </w:style>
  <w:style w:type="paragraph" w:customStyle="1" w:styleId="Version">
    <w:name w:val="Version"/>
    <w:rsid w:val="00EF02D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02DD"/>
    <w:pPr>
      <w:numPr>
        <w:numId w:val="12"/>
      </w:numPr>
      <w:tabs>
        <w:tab w:val="clear" w:pos="680"/>
      </w:tabs>
    </w:pPr>
  </w:style>
  <w:style w:type="paragraph" w:styleId="Index1">
    <w:name w:val="index 1"/>
    <w:basedOn w:val="Normal"/>
    <w:next w:val="Normal"/>
    <w:semiHidden/>
    <w:rsid w:val="00EF02DD"/>
    <w:pPr>
      <w:keepNext w:val="0"/>
      <w:tabs>
        <w:tab w:val="right" w:pos="4176"/>
      </w:tabs>
      <w:ind w:left="198" w:hanging="198"/>
    </w:pPr>
    <w:rPr>
      <w:rFonts w:ascii="Garamond" w:hAnsi="Garamond"/>
    </w:rPr>
  </w:style>
  <w:style w:type="paragraph" w:styleId="IndexHeading">
    <w:name w:val="index heading"/>
    <w:basedOn w:val="Normal"/>
    <w:next w:val="Index1"/>
    <w:semiHidden/>
    <w:rsid w:val="00EF02DD"/>
    <w:pPr>
      <w:spacing w:before="120" w:after="120"/>
    </w:pPr>
    <w:rPr>
      <w:rFonts w:ascii="Arial" w:hAnsi="Arial"/>
      <w:b/>
      <w:color w:val="918585"/>
      <w:sz w:val="24"/>
    </w:rPr>
  </w:style>
  <w:style w:type="paragraph" w:customStyle="1" w:styleId="Chapter">
    <w:name w:val="Chapter"/>
    <w:basedOn w:val="Normal"/>
    <w:rsid w:val="00EF02DD"/>
    <w:pPr>
      <w:spacing w:before="240"/>
    </w:pPr>
    <w:rPr>
      <w:rFonts w:ascii="Times New Roman" w:hAnsi="Times New Roman"/>
      <w:smallCaps/>
      <w:spacing w:val="80"/>
      <w:sz w:val="28"/>
    </w:rPr>
  </w:style>
  <w:style w:type="paragraph" w:customStyle="1" w:styleId="InChapter">
    <w:name w:val="InChapter"/>
    <w:basedOn w:val="Heading3"/>
    <w:rsid w:val="00EF02DD"/>
    <w:pPr>
      <w:spacing w:after="240"/>
      <w:outlineLvl w:val="9"/>
    </w:pPr>
    <w:rPr>
      <w:noProof/>
    </w:rPr>
  </w:style>
  <w:style w:type="paragraph" w:styleId="Index2">
    <w:name w:val="index 2"/>
    <w:basedOn w:val="Normal"/>
    <w:next w:val="Normal"/>
    <w:semiHidden/>
    <w:rsid w:val="00EF02DD"/>
    <w:pPr>
      <w:tabs>
        <w:tab w:val="right" w:pos="4176"/>
      </w:tabs>
      <w:ind w:left="568" w:hanging="284"/>
    </w:pPr>
    <w:rPr>
      <w:rFonts w:ascii="Garamond" w:hAnsi="Garamond"/>
    </w:rPr>
  </w:style>
  <w:style w:type="paragraph" w:customStyle="1" w:styleId="Byline">
    <w:name w:val="Byline"/>
    <w:rsid w:val="00EF02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02DD"/>
    <w:pPr>
      <w:tabs>
        <w:tab w:val="clear" w:pos="3600"/>
        <w:tab w:val="clear" w:pos="3958"/>
      </w:tabs>
      <w:jc w:val="right"/>
    </w:pPr>
  </w:style>
  <w:style w:type="character" w:styleId="Emphasis">
    <w:name w:val="Emphasis"/>
    <w:basedOn w:val="DefaultParagraphFont"/>
    <w:qFormat/>
    <w:rsid w:val="00EF02DD"/>
    <w:rPr>
      <w:i/>
    </w:rPr>
  </w:style>
  <w:style w:type="paragraph" w:styleId="Caption">
    <w:name w:val="caption"/>
    <w:basedOn w:val="BodyText"/>
    <w:next w:val="Normal"/>
    <w:qFormat/>
    <w:rsid w:val="00EF02DD"/>
    <w:pPr>
      <w:framePr w:w="2268" w:hSpace="181" w:vSpace="181" w:wrap="around" w:vAnchor="text" w:hAnchor="page" w:x="1135" w:y="285" w:anchorLock="1"/>
    </w:pPr>
    <w:rPr>
      <w:i/>
    </w:rPr>
  </w:style>
  <w:style w:type="paragraph" w:customStyle="1" w:styleId="MiniTOCTitle">
    <w:name w:val="MiniTOCTitle"/>
    <w:basedOn w:val="Heading4"/>
    <w:rsid w:val="00EF02DD"/>
    <w:pPr>
      <w:spacing w:before="240"/>
      <w:outlineLvl w:val="9"/>
    </w:pPr>
    <w:rPr>
      <w:noProof/>
      <w:sz w:val="24"/>
    </w:rPr>
  </w:style>
  <w:style w:type="paragraph" w:customStyle="1" w:styleId="MiniTOCItem">
    <w:name w:val="MiniTOCItem"/>
    <w:basedOn w:val="ListBullet"/>
    <w:rsid w:val="00EF02DD"/>
    <w:pPr>
      <w:numPr>
        <w:numId w:val="0"/>
      </w:numPr>
      <w:tabs>
        <w:tab w:val="right" w:leader="dot" w:pos="6521"/>
      </w:tabs>
      <w:spacing w:before="0" w:after="0"/>
    </w:pPr>
  </w:style>
  <w:style w:type="paragraph" w:customStyle="1" w:styleId="TOFTitle">
    <w:name w:val="TOFTitle"/>
    <w:basedOn w:val="TOCTitle"/>
    <w:rsid w:val="00EF02DD"/>
  </w:style>
  <w:style w:type="paragraph" w:styleId="TableofFigures">
    <w:name w:val="table of figures"/>
    <w:basedOn w:val="Normal"/>
    <w:next w:val="Normal"/>
    <w:semiHidden/>
    <w:rsid w:val="00EF02DD"/>
    <w:pPr>
      <w:tabs>
        <w:tab w:val="right" w:leader="dot" w:pos="9072"/>
      </w:tabs>
      <w:ind w:left="970" w:hanging="403"/>
    </w:pPr>
    <w:rPr>
      <w:rFonts w:ascii="Times New Roman" w:hAnsi="Times New Roman"/>
      <w:b/>
    </w:rPr>
  </w:style>
  <w:style w:type="paragraph" w:styleId="ListNumber">
    <w:name w:val="List Number"/>
    <w:basedOn w:val="List"/>
    <w:rsid w:val="00EF02DD"/>
    <w:pPr>
      <w:numPr>
        <w:numId w:val="9"/>
      </w:numPr>
    </w:pPr>
  </w:style>
  <w:style w:type="character" w:customStyle="1" w:styleId="WingdingSymbols">
    <w:name w:val="Wingding Symbols"/>
    <w:rsid w:val="00EF02DD"/>
    <w:rPr>
      <w:rFonts w:ascii="Wingdings" w:hAnsi="Wingdings"/>
    </w:rPr>
  </w:style>
  <w:style w:type="paragraph" w:customStyle="1" w:styleId="TableHeading">
    <w:name w:val="Table Heading"/>
    <w:basedOn w:val="HeadingBase"/>
    <w:rsid w:val="00EF02DD"/>
    <w:pPr>
      <w:keepLines/>
      <w:pBdr>
        <w:bottom w:val="single" w:sz="6" w:space="1" w:color="918585"/>
      </w:pBdr>
      <w:spacing w:before="240"/>
    </w:pPr>
  </w:style>
  <w:style w:type="character" w:customStyle="1" w:styleId="HotSpot">
    <w:name w:val="HotSpot"/>
    <w:rsid w:val="00EF02DD"/>
    <w:rPr>
      <w:color w:val="0033CC"/>
      <w:u w:val="none"/>
    </w:rPr>
  </w:style>
  <w:style w:type="paragraph" w:customStyle="1" w:styleId="BodyTextRight">
    <w:name w:val="Body Text Right"/>
    <w:basedOn w:val="BodyText"/>
    <w:rsid w:val="00EF02DD"/>
    <w:pPr>
      <w:spacing w:before="0" w:after="0"/>
      <w:jc w:val="right"/>
    </w:pPr>
  </w:style>
  <w:style w:type="paragraph" w:styleId="Index3">
    <w:name w:val="index 3"/>
    <w:basedOn w:val="ListNumber2"/>
    <w:next w:val="Normal"/>
    <w:semiHidden/>
    <w:rsid w:val="00EF02DD"/>
    <w:pPr>
      <w:numPr>
        <w:numId w:val="0"/>
      </w:numPr>
      <w:tabs>
        <w:tab w:val="right" w:leader="dot" w:pos="4176"/>
      </w:tabs>
    </w:pPr>
  </w:style>
  <w:style w:type="paragraph" w:styleId="ListNumber2">
    <w:name w:val="List Number 2"/>
    <w:basedOn w:val="List2"/>
    <w:rsid w:val="00EF02DD"/>
    <w:pPr>
      <w:numPr>
        <w:numId w:val="8"/>
      </w:numPr>
      <w:tabs>
        <w:tab w:val="clear" w:pos="1060"/>
      </w:tabs>
    </w:pPr>
  </w:style>
  <w:style w:type="paragraph" w:customStyle="1" w:styleId="MarginNote">
    <w:name w:val="Margin Note"/>
    <w:basedOn w:val="BodyText"/>
    <w:rsid w:val="00EF02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02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02D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F02DD"/>
    <w:rPr>
      <w:sz w:val="32"/>
    </w:rPr>
  </w:style>
  <w:style w:type="paragraph" w:customStyle="1" w:styleId="HeadingProcedure">
    <w:name w:val="Heading Procedure"/>
    <w:basedOn w:val="HeadingBase"/>
    <w:next w:val="Normal"/>
    <w:rsid w:val="00EF02DD"/>
    <w:pPr>
      <w:tabs>
        <w:tab w:val="left" w:pos="0"/>
      </w:tabs>
      <w:spacing w:before="120" w:after="60"/>
    </w:pPr>
    <w:rPr>
      <w:i/>
      <w:color w:val="918585"/>
      <w:sz w:val="22"/>
    </w:rPr>
  </w:style>
  <w:style w:type="paragraph" w:customStyle="1" w:styleId="TableBodyText">
    <w:name w:val="Table Body Text"/>
    <w:basedOn w:val="BodyText"/>
    <w:rsid w:val="00EF02DD"/>
    <w:pPr>
      <w:spacing w:before="60" w:after="60"/>
    </w:pPr>
  </w:style>
  <w:style w:type="paragraph" w:styleId="ListContinue">
    <w:name w:val="List Continue"/>
    <w:basedOn w:val="List"/>
    <w:rsid w:val="00EF02DD"/>
    <w:pPr>
      <w:ind w:firstLine="0"/>
    </w:pPr>
  </w:style>
  <w:style w:type="paragraph" w:customStyle="1" w:styleId="ListNote">
    <w:name w:val="List Note"/>
    <w:basedOn w:val="List"/>
    <w:rsid w:val="00EF02DD"/>
    <w:pPr>
      <w:pBdr>
        <w:top w:val="single" w:sz="6" w:space="2" w:color="918585"/>
        <w:bottom w:val="single" w:sz="6" w:space="2" w:color="918585"/>
      </w:pBdr>
      <w:tabs>
        <w:tab w:val="left" w:pos="1021"/>
      </w:tabs>
      <w:ind w:firstLine="0"/>
    </w:pPr>
  </w:style>
  <w:style w:type="paragraph" w:customStyle="1" w:styleId="Warning">
    <w:name w:val="Warning"/>
    <w:basedOn w:val="BodyText"/>
    <w:rsid w:val="00EF02DD"/>
    <w:pPr>
      <w:shd w:val="clear" w:color="auto" w:fill="D9D9D9"/>
      <w:tabs>
        <w:tab w:val="left" w:pos="992"/>
      </w:tabs>
      <w:ind w:left="119" w:right="119"/>
    </w:pPr>
    <w:rPr>
      <w:sz w:val="20"/>
    </w:rPr>
  </w:style>
  <w:style w:type="paragraph" w:customStyle="1" w:styleId="MarginIcons">
    <w:name w:val="Margin Icons"/>
    <w:basedOn w:val="BodyText"/>
    <w:rsid w:val="00EF02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02DD"/>
    <w:rPr>
      <w:rFonts w:ascii="Courier New" w:hAnsi="Courier New"/>
    </w:rPr>
  </w:style>
  <w:style w:type="paragraph" w:customStyle="1" w:styleId="NoteBullet">
    <w:name w:val="Note Bullet"/>
    <w:basedOn w:val="Note"/>
    <w:rsid w:val="00EF02DD"/>
    <w:pPr>
      <w:tabs>
        <w:tab w:val="clear" w:pos="680"/>
      </w:tabs>
      <w:spacing w:before="60" w:after="60"/>
    </w:pPr>
  </w:style>
  <w:style w:type="paragraph" w:customStyle="1" w:styleId="SubHeading2">
    <w:name w:val="SubHeading2"/>
    <w:basedOn w:val="HeadingBase"/>
    <w:rsid w:val="00EF02DD"/>
    <w:pPr>
      <w:spacing w:before="240" w:after="60"/>
    </w:pPr>
    <w:rPr>
      <w:sz w:val="20"/>
    </w:rPr>
  </w:style>
  <w:style w:type="paragraph" w:customStyle="1" w:styleId="SubHeading1">
    <w:name w:val="SubHeading1"/>
    <w:basedOn w:val="HeadingBase"/>
    <w:rsid w:val="00EF02DD"/>
    <w:pPr>
      <w:spacing w:before="240" w:after="60"/>
    </w:pPr>
    <w:rPr>
      <w:color w:val="918585"/>
      <w:sz w:val="22"/>
    </w:rPr>
  </w:style>
  <w:style w:type="paragraph" w:customStyle="1" w:styleId="SideHeading">
    <w:name w:val="Side Heading"/>
    <w:basedOn w:val="HeadingBase"/>
    <w:rsid w:val="00EF02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02DD"/>
    <w:pPr>
      <w:numPr>
        <w:numId w:val="10"/>
      </w:numPr>
    </w:pPr>
  </w:style>
  <w:style w:type="paragraph" w:styleId="PlainText">
    <w:name w:val="Plain Text"/>
    <w:basedOn w:val="Normal"/>
    <w:link w:val="PlainTextChar"/>
    <w:rsid w:val="00EF02DD"/>
    <w:rPr>
      <w:sz w:val="20"/>
    </w:rPr>
  </w:style>
  <w:style w:type="character" w:customStyle="1" w:styleId="PlainTextChar">
    <w:name w:val="Plain Text Char"/>
    <w:basedOn w:val="DefaultParagraphFont"/>
    <w:link w:val="PlainText"/>
    <w:rsid w:val="00EF02D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F02DD"/>
    <w:rPr>
      <w:b/>
      <w:smallCaps/>
    </w:rPr>
  </w:style>
  <w:style w:type="paragraph" w:customStyle="1" w:styleId="TableListNumber">
    <w:name w:val="Table List Number"/>
    <w:basedOn w:val="ListNumber"/>
    <w:rsid w:val="00EF02DD"/>
    <w:pPr>
      <w:numPr>
        <w:numId w:val="0"/>
      </w:numPr>
    </w:pPr>
  </w:style>
  <w:style w:type="paragraph" w:styleId="TOC4">
    <w:name w:val="toc 4"/>
    <w:basedOn w:val="TOCBase"/>
    <w:next w:val="Normal"/>
    <w:semiHidden/>
    <w:rsid w:val="00EF02DD"/>
    <w:pPr>
      <w:tabs>
        <w:tab w:val="right" w:leader="dot" w:pos="9071"/>
      </w:tabs>
      <w:ind w:left="1701"/>
    </w:pPr>
  </w:style>
  <w:style w:type="paragraph" w:customStyle="1" w:styleId="ListAlpha">
    <w:name w:val="List Alpha"/>
    <w:basedOn w:val="List"/>
    <w:rsid w:val="00EF02DD"/>
    <w:pPr>
      <w:numPr>
        <w:numId w:val="7"/>
      </w:numPr>
    </w:pPr>
  </w:style>
  <w:style w:type="paragraph" w:customStyle="1" w:styleId="ListAlpha2">
    <w:name w:val="List Alpha 2"/>
    <w:basedOn w:val="List2"/>
    <w:rsid w:val="00EF02DD"/>
    <w:pPr>
      <w:numPr>
        <w:numId w:val="6"/>
      </w:numPr>
    </w:pPr>
  </w:style>
  <w:style w:type="paragraph" w:styleId="List2">
    <w:name w:val="List 2"/>
    <w:basedOn w:val="BodyText"/>
    <w:rsid w:val="00EF02DD"/>
    <w:pPr>
      <w:tabs>
        <w:tab w:val="left" w:pos="680"/>
      </w:tabs>
      <w:spacing w:before="60" w:after="60"/>
      <w:ind w:left="680" w:hanging="340"/>
    </w:pPr>
  </w:style>
  <w:style w:type="paragraph" w:styleId="List3">
    <w:name w:val="List 3"/>
    <w:basedOn w:val="BodyText"/>
    <w:rsid w:val="00EF02DD"/>
    <w:pPr>
      <w:tabs>
        <w:tab w:val="left" w:pos="1021"/>
      </w:tabs>
      <w:spacing w:before="60" w:after="60"/>
      <w:ind w:left="1020" w:hanging="340"/>
    </w:pPr>
  </w:style>
  <w:style w:type="paragraph" w:styleId="List4">
    <w:name w:val="List 4"/>
    <w:basedOn w:val="BodyText"/>
    <w:rsid w:val="00EF02DD"/>
    <w:pPr>
      <w:tabs>
        <w:tab w:val="left" w:pos="1361"/>
      </w:tabs>
      <w:spacing w:before="60" w:after="60"/>
      <w:ind w:left="1361" w:hanging="340"/>
    </w:pPr>
  </w:style>
  <w:style w:type="paragraph" w:styleId="List5">
    <w:name w:val="List 5"/>
    <w:basedOn w:val="BodyText"/>
    <w:rsid w:val="00EF02DD"/>
    <w:pPr>
      <w:tabs>
        <w:tab w:val="left" w:pos="1701"/>
      </w:tabs>
      <w:spacing w:before="60" w:after="60"/>
      <w:ind w:left="1701" w:hanging="340"/>
    </w:pPr>
  </w:style>
  <w:style w:type="paragraph" w:styleId="ListBullet3">
    <w:name w:val="List Bullet 3"/>
    <w:basedOn w:val="List3"/>
    <w:rsid w:val="00EF02DD"/>
    <w:pPr>
      <w:numPr>
        <w:numId w:val="13"/>
      </w:numPr>
      <w:tabs>
        <w:tab w:val="clear" w:pos="1021"/>
      </w:tabs>
      <w:ind w:left="1037" w:hanging="357"/>
    </w:pPr>
  </w:style>
  <w:style w:type="paragraph" w:styleId="ListBullet4">
    <w:name w:val="List Bullet 4"/>
    <w:basedOn w:val="List4"/>
    <w:rsid w:val="00EF02DD"/>
    <w:pPr>
      <w:numPr>
        <w:numId w:val="1"/>
      </w:numPr>
    </w:pPr>
  </w:style>
  <w:style w:type="paragraph" w:styleId="ListBullet5">
    <w:name w:val="List Bullet 5"/>
    <w:basedOn w:val="List5"/>
    <w:rsid w:val="00EF02DD"/>
    <w:pPr>
      <w:numPr>
        <w:numId w:val="2"/>
      </w:numPr>
    </w:pPr>
  </w:style>
  <w:style w:type="paragraph" w:styleId="ListContinue2">
    <w:name w:val="List Continue 2"/>
    <w:basedOn w:val="List2"/>
    <w:rsid w:val="00EF02DD"/>
    <w:pPr>
      <w:ind w:firstLine="0"/>
    </w:pPr>
  </w:style>
  <w:style w:type="paragraph" w:styleId="ListContinue3">
    <w:name w:val="List Continue 3"/>
    <w:basedOn w:val="List3"/>
    <w:rsid w:val="00EF02DD"/>
    <w:pPr>
      <w:ind w:left="1021" w:firstLine="0"/>
    </w:pPr>
  </w:style>
  <w:style w:type="paragraph" w:styleId="ListContinue4">
    <w:name w:val="List Continue 4"/>
    <w:basedOn w:val="List4"/>
    <w:rsid w:val="00EF02DD"/>
    <w:pPr>
      <w:ind w:firstLine="0"/>
    </w:pPr>
  </w:style>
  <w:style w:type="paragraph" w:styleId="ListContinue5">
    <w:name w:val="List Continue 5"/>
    <w:basedOn w:val="List5"/>
    <w:rsid w:val="00EF02DD"/>
    <w:pPr>
      <w:ind w:firstLine="0"/>
    </w:pPr>
  </w:style>
  <w:style w:type="paragraph" w:styleId="ListNumber3">
    <w:name w:val="List Number 3"/>
    <w:basedOn w:val="List3"/>
    <w:rsid w:val="00EF02DD"/>
    <w:pPr>
      <w:numPr>
        <w:numId w:val="3"/>
      </w:numPr>
    </w:pPr>
  </w:style>
  <w:style w:type="paragraph" w:styleId="ListNumber4">
    <w:name w:val="List Number 4"/>
    <w:basedOn w:val="List4"/>
    <w:rsid w:val="00EF02DD"/>
    <w:pPr>
      <w:numPr>
        <w:numId w:val="4"/>
      </w:numPr>
    </w:pPr>
  </w:style>
  <w:style w:type="paragraph" w:styleId="ListNumber5">
    <w:name w:val="List Number 5"/>
    <w:basedOn w:val="List5"/>
    <w:rsid w:val="00EF02DD"/>
    <w:pPr>
      <w:numPr>
        <w:numId w:val="5"/>
      </w:numPr>
    </w:pPr>
  </w:style>
  <w:style w:type="paragraph" w:styleId="BlockText">
    <w:name w:val="Block Text"/>
    <w:basedOn w:val="Normal"/>
    <w:rsid w:val="00EF02DD"/>
    <w:pPr>
      <w:spacing w:after="120"/>
      <w:ind w:left="1440" w:right="1440"/>
    </w:pPr>
  </w:style>
  <w:style w:type="character" w:customStyle="1" w:styleId="Subscript">
    <w:name w:val="Subscript"/>
    <w:basedOn w:val="DefaultParagraphFont"/>
    <w:rsid w:val="00EF02DD"/>
    <w:rPr>
      <w:sz w:val="16"/>
      <w:vertAlign w:val="subscript"/>
    </w:rPr>
  </w:style>
  <w:style w:type="character" w:customStyle="1" w:styleId="Superscript">
    <w:name w:val="Superscript"/>
    <w:basedOn w:val="DefaultParagraphFont"/>
    <w:rsid w:val="00EF02DD"/>
    <w:rPr>
      <w:sz w:val="16"/>
      <w:vertAlign w:val="superscript"/>
    </w:rPr>
  </w:style>
  <w:style w:type="character" w:customStyle="1" w:styleId="Symbols">
    <w:name w:val="Symbols"/>
    <w:basedOn w:val="DefaultParagraphFont"/>
    <w:rsid w:val="00EF02DD"/>
    <w:rPr>
      <w:rFonts w:ascii="Symbol" w:hAnsi="Symbol"/>
    </w:rPr>
  </w:style>
  <w:style w:type="character" w:customStyle="1" w:styleId="MenuOptions">
    <w:name w:val="Menu Options"/>
    <w:basedOn w:val="DefaultParagraphFont"/>
    <w:rsid w:val="00EF02DD"/>
    <w:rPr>
      <w:rFonts w:ascii="Arial Narrow" w:hAnsi="Arial Narrow"/>
      <w:smallCaps/>
    </w:rPr>
  </w:style>
  <w:style w:type="character" w:customStyle="1" w:styleId="Buttons">
    <w:name w:val="Buttons"/>
    <w:basedOn w:val="DefaultParagraphFont"/>
    <w:rsid w:val="00EF02DD"/>
    <w:rPr>
      <w:b/>
    </w:rPr>
  </w:style>
  <w:style w:type="character" w:customStyle="1" w:styleId="Underlined">
    <w:name w:val="Underlined"/>
    <w:basedOn w:val="DefaultParagraphFont"/>
    <w:rsid w:val="00EF02DD"/>
    <w:rPr>
      <w:u w:val="single"/>
    </w:rPr>
  </w:style>
  <w:style w:type="paragraph" w:customStyle="1" w:styleId="TableBodyTextRight">
    <w:name w:val="Table Body Text Right"/>
    <w:basedOn w:val="TableBodyText"/>
    <w:rsid w:val="00EF02DD"/>
    <w:pPr>
      <w:widowControl w:val="0"/>
      <w:autoSpaceDE w:val="0"/>
      <w:autoSpaceDN w:val="0"/>
      <w:adjustRightInd w:val="0"/>
      <w:jc w:val="right"/>
    </w:pPr>
    <w:rPr>
      <w:rFonts w:cs="Arial"/>
      <w:szCs w:val="18"/>
    </w:rPr>
  </w:style>
  <w:style w:type="paragraph" w:customStyle="1" w:styleId="CopyrightText">
    <w:name w:val="Copyright Text"/>
    <w:basedOn w:val="BodyText"/>
    <w:rsid w:val="00EF02DD"/>
    <w:rPr>
      <w:sz w:val="18"/>
    </w:rPr>
  </w:style>
  <w:style w:type="paragraph" w:customStyle="1" w:styleId="BodySmallRight">
    <w:name w:val="Body Small Right"/>
    <w:basedOn w:val="BodyTextRight"/>
    <w:rsid w:val="00EF02DD"/>
    <w:rPr>
      <w:sz w:val="18"/>
      <w:szCs w:val="18"/>
    </w:rPr>
  </w:style>
  <w:style w:type="paragraph" w:customStyle="1" w:styleId="MarginEdition">
    <w:name w:val="Margin Edition"/>
    <w:basedOn w:val="MarginNote"/>
    <w:rsid w:val="00EF02DD"/>
    <w:pPr>
      <w:spacing w:before="0" w:after="0"/>
    </w:pPr>
    <w:rPr>
      <w:rFonts w:ascii="Times New Roman" w:hAnsi="Times New Roman"/>
      <w:color w:val="999999"/>
    </w:rPr>
  </w:style>
  <w:style w:type="paragraph" w:customStyle="1" w:styleId="Spacer">
    <w:name w:val="Spacer"/>
    <w:basedOn w:val="Normal"/>
    <w:rsid w:val="00EF02DD"/>
    <w:rPr>
      <w:sz w:val="2"/>
      <w:szCs w:val="2"/>
    </w:rPr>
  </w:style>
  <w:style w:type="character" w:customStyle="1" w:styleId="Small">
    <w:name w:val="Small"/>
    <w:basedOn w:val="DefaultParagraphFont"/>
    <w:rsid w:val="00EF02DD"/>
    <w:rPr>
      <w:sz w:val="16"/>
    </w:rPr>
  </w:style>
  <w:style w:type="paragraph" w:customStyle="1" w:styleId="WideTable">
    <w:name w:val="Wide Table"/>
    <w:basedOn w:val="Normal"/>
    <w:rsid w:val="00EF02DD"/>
    <w:pPr>
      <w:ind w:left="-1418"/>
    </w:pPr>
    <w:rPr>
      <w:sz w:val="2"/>
      <w:szCs w:val="2"/>
    </w:rPr>
  </w:style>
  <w:style w:type="character" w:styleId="PageNumber">
    <w:name w:val="page number"/>
    <w:basedOn w:val="DefaultParagraphFont"/>
    <w:rsid w:val="00EF02DD"/>
  </w:style>
  <w:style w:type="paragraph" w:styleId="Quote">
    <w:name w:val="Quote"/>
    <w:basedOn w:val="Heading1"/>
    <w:link w:val="QuoteChar"/>
    <w:qFormat/>
    <w:rsid w:val="00EF02DD"/>
    <w:rPr>
      <w:b w:val="0"/>
      <w:sz w:val="72"/>
      <w:szCs w:val="72"/>
      <w:lang w:val="en-NZ"/>
    </w:rPr>
  </w:style>
  <w:style w:type="character" w:customStyle="1" w:styleId="QuoteChar">
    <w:name w:val="Quote Char"/>
    <w:basedOn w:val="DefaultParagraphFont"/>
    <w:link w:val="Quote"/>
    <w:rsid w:val="00EF02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02DD"/>
    <w:pPr>
      <w:pageBreakBefore/>
    </w:pPr>
  </w:style>
  <w:style w:type="paragraph" w:customStyle="1" w:styleId="Border">
    <w:name w:val="Border"/>
    <w:basedOn w:val="Normal"/>
    <w:qFormat/>
    <w:rsid w:val="00EF02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02DD"/>
    <w:rPr>
      <w:b/>
      <w:bCs/>
      <w:i/>
      <w:iCs/>
      <w:color w:val="auto"/>
    </w:rPr>
  </w:style>
  <w:style w:type="paragraph" w:styleId="IntenseQuote">
    <w:name w:val="Intense Quote"/>
    <w:basedOn w:val="Normal"/>
    <w:next w:val="Normal"/>
    <w:link w:val="IntenseQuoteChar"/>
    <w:uiPriority w:val="30"/>
    <w:qFormat/>
    <w:rsid w:val="00EF02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02D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F02DD"/>
    <w:rPr>
      <w:smallCaps/>
      <w:color w:val="auto"/>
      <w:u w:val="single"/>
    </w:rPr>
  </w:style>
  <w:style w:type="character" w:styleId="IntenseReference">
    <w:name w:val="Intense Reference"/>
    <w:basedOn w:val="DefaultParagraphFont"/>
    <w:uiPriority w:val="32"/>
    <w:qFormat/>
    <w:rsid w:val="00EF02DD"/>
    <w:rPr>
      <w:b/>
      <w:bCs/>
      <w:smallCaps/>
      <w:color w:val="auto"/>
      <w:spacing w:val="5"/>
      <w:u w:val="single"/>
    </w:rPr>
  </w:style>
  <w:style w:type="paragraph" w:customStyle="1" w:styleId="2ColumnHeading">
    <w:name w:val="2Column Heading"/>
    <w:basedOn w:val="BodyText"/>
    <w:qFormat/>
    <w:rsid w:val="00EF02DD"/>
    <w:pPr>
      <w:spacing w:after="60"/>
      <w:ind w:left="-2268"/>
    </w:pPr>
    <w:rPr>
      <w:b/>
    </w:rPr>
  </w:style>
  <w:style w:type="paragraph" w:customStyle="1" w:styleId="Heading1TOC">
    <w:name w:val="Heading1 TOC"/>
    <w:basedOn w:val="Normal"/>
    <w:qFormat/>
    <w:rsid w:val="00EF02DD"/>
    <w:pPr>
      <w:spacing w:before="240" w:after="120"/>
    </w:pPr>
    <w:rPr>
      <w:rFonts w:ascii="Times New Roman" w:hAnsi="Times New Roman"/>
      <w:b/>
      <w:sz w:val="32"/>
    </w:rPr>
  </w:style>
  <w:style w:type="paragraph" w:customStyle="1" w:styleId="Heading2TOC">
    <w:name w:val="Heading2 TOC"/>
    <w:basedOn w:val="Normal"/>
    <w:qFormat/>
    <w:rsid w:val="00EF02DD"/>
    <w:pPr>
      <w:spacing w:before="240" w:after="60"/>
    </w:pPr>
    <w:rPr>
      <w:rFonts w:ascii="Times New Roman" w:hAnsi="Times New Roman"/>
      <w:b/>
      <w:sz w:val="28"/>
    </w:rPr>
  </w:style>
  <w:style w:type="character" w:customStyle="1" w:styleId="Underline">
    <w:name w:val="Underline"/>
    <w:basedOn w:val="DefaultParagraphFont"/>
    <w:qFormat/>
    <w:rsid w:val="00EF02DD"/>
    <w:rPr>
      <w:u w:val="single"/>
    </w:rPr>
  </w:style>
  <w:style w:type="character" w:customStyle="1" w:styleId="BoldandItalics">
    <w:name w:val="Bold and Italics"/>
    <w:qFormat/>
    <w:rsid w:val="00EF02DD"/>
    <w:rPr>
      <w:b/>
      <w:i/>
      <w:u w:val="none"/>
    </w:rPr>
  </w:style>
  <w:style w:type="paragraph" w:styleId="BalloonText">
    <w:name w:val="Balloon Text"/>
    <w:basedOn w:val="Normal"/>
    <w:link w:val="BalloonTextChar"/>
    <w:rsid w:val="00EF02DD"/>
    <w:rPr>
      <w:rFonts w:ascii="Tahoma" w:hAnsi="Tahoma" w:cs="Tahoma"/>
      <w:sz w:val="16"/>
      <w:szCs w:val="16"/>
    </w:rPr>
  </w:style>
  <w:style w:type="character" w:customStyle="1" w:styleId="BalloonTextChar">
    <w:name w:val="Balloon Text Char"/>
    <w:basedOn w:val="DefaultParagraphFont"/>
    <w:link w:val="BalloonText"/>
    <w:rsid w:val="00EF02D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F02D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F02D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1770</Words>
  <Characters>10753</Characters>
  <Application>Microsoft Office Word</Application>
  <DocSecurity>0</DocSecurity>
  <Lines>348</Lines>
  <Paragraphs>242</Paragraphs>
  <ScaleCrop>false</ScaleCrop>
  <Company>Author-it Software Corporation Ltd.</Company>
  <LinksUpToDate>false</LinksUpToDate>
  <CharactersWithSpaces>12414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THHGLE22A Manage risk</dc:title>
  <dc:subject>Approved</dc:subject>
  <dc:creator>Service Skills Australia</dc:creator>
  <cp:keywords>Release: 1</cp:keywords>
  <dc:description>Copyright © 1996-2007 Author-it Software Corporation Ltd., all rights reserved.</dc:description>
  <cp:lastModifiedBy>Windows User</cp:lastModifiedBy>
  <cp:revision>3</cp:revision>
  <dcterms:created xsi:type="dcterms:W3CDTF">2012-05-27T03:17:00Z</dcterms:created>
  <dcterms:modified xsi:type="dcterms:W3CDTF">2012-05-27T03:17:00Z</dcterms:modified>
</cp:coreProperties>
</file>