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B9E" w:rsidP="00B96B9E">
      <w:pPr>
        <w:pStyle w:val="Title"/>
      </w:pPr>
      <w:r>
        <w:fldChar w:fldCharType="begin"/>
      </w:r>
      <w:r>
        <w:instrText xml:space="preserve"> TITLE   \* MERGEFORMAT </w:instrText>
      </w:r>
      <w:r>
        <w:fldChar w:fldCharType="separate"/>
      </w:r>
      <w:r>
        <w:t>TDMMU407B ENSURE COMPLIANCE WITH POLLUTION PREVENTION MEASURES</w:t>
      </w:r>
      <w:r>
        <w:fldChar w:fldCharType="end"/>
      </w:r>
    </w:p>
    <w:p w:rsidR="00B96B9E" w:rsidP="00B96B9E">
      <w:pPr>
        <w:pStyle w:val="Version"/>
        <w:sectPr w:rsidSect="001706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706F2" w:rsidP="001706F2">
      <w:pPr>
        <w:pStyle w:val="SuperHeading"/>
      </w:pPr>
      <w:r w:rsidRPr="001706F2">
        <w:t>TDMMU407B ENSURE COMPLIANCE WITH POLLUTION PREVENTION MEASURES</w:t>
      </w:r>
    </w:p>
    <w:p w:rsidR="00000000" w:rsidRPr="001706F2" w:rsidP="001706F2">
      <w:pPr>
        <w:pStyle w:val="SuperHeading"/>
      </w:pPr>
    </w:p>
    <w:p w:rsidR="00000000" w:rsidRPr="001706F2" w:rsidP="001706F2">
      <w:pPr>
        <w:pStyle w:val="Heading1"/>
      </w:pPr>
      <w:bookmarkStart w:id="1" w:name="O_152367"/>
      <w:bookmarkEnd w:id="1"/>
      <w:r w:rsidRPr="001706F2">
        <w:t>Modification History</w:t>
      </w:r>
    </w:p>
    <w:p w:rsidR="00000000" w:rsidRPr="001706F2" w:rsidP="001706F2">
      <w:pPr>
        <w:pStyle w:val="BodyText"/>
      </w:pPr>
      <w:r w:rsidRPr="001706F2">
        <w:t>Not applicable.</w:t>
      </w:r>
    </w:p>
    <w:p w:rsidR="00000000" w:rsidRPr="001706F2" w:rsidP="001706F2">
      <w:pPr>
        <w:pStyle w:val="AllowPageBreak"/>
      </w:pPr>
    </w:p>
    <w:p w:rsidR="00000000" w:rsidRPr="001706F2" w:rsidP="001706F2">
      <w:pPr>
        <w:pStyle w:val="Heading1"/>
      </w:pPr>
      <w:bookmarkStart w:id="2" w:name="O_152368"/>
      <w:bookmarkEnd w:id="2"/>
      <w:r w:rsidRPr="001706F2">
        <w:t>Unit Descriptor</w:t>
      </w:r>
    </w:p>
    <w:tbl>
      <w:tblPr>
        <w:tblW w:w="0" w:type="auto"/>
        <w:tblLayout w:type="fixed"/>
        <w:tblCellMar>
          <w:left w:w="62" w:type="dxa"/>
          <w:right w:w="62" w:type="dxa"/>
        </w:tblCellMar>
        <w:tblLook w:val="0000"/>
      </w:tblPr>
      <w:tblGrid>
        <w:gridCol w:w="1974"/>
        <w:gridCol w:w="6481"/>
      </w:tblGrid>
      <w:tr w:rsidTr="00B96B9E">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F2" w:rsidP="001706F2">
            <w:pPr>
              <w:pStyle w:val="BodyText"/>
            </w:pPr>
            <w:r w:rsidRPr="001706F2">
              <w:t>UNIT DESCRIPTOR:</w:t>
            </w:r>
          </w:p>
          <w:p w:rsidR="00000000" w:rsidP="001706F2">
            <w:pPr>
              <w:pStyle w:val="BodyText"/>
              <w:rPr>
                <w:lang w:val="en-NZ"/>
              </w:rPr>
            </w:pPr>
            <w:r w:rsidRPr="001706F2">
              <w:rPr>
                <w:rStyle w:val="SpecialBold"/>
              </w:rPr>
              <w:t>This unit involves the skills and knowledge required to ensure compliance</w:t>
            </w:r>
            <w:r w:rsidRPr="001706F2">
              <w:rPr>
                <w:rStyle w:val="SpecialBold"/>
              </w:rPr>
              <w:t xml:space="preserve"> with international and Australian legislative requirements and measures to ensure the protection of the marine environment during operations of an ocean-going vessel</w:t>
            </w:r>
            <w:r w:rsidRPr="001706F2">
              <w:t xml:space="preserve">, </w:t>
            </w:r>
            <w:r w:rsidRPr="001706F2">
              <w:rPr>
                <w:rStyle w:val="SpecialBold"/>
              </w:rPr>
              <w:t>including preventative and precautionary procedures</w:t>
            </w:r>
            <w:r w:rsidRPr="001706F2">
              <w:t xml:space="preserve">, </w:t>
            </w:r>
            <w:r w:rsidRPr="001706F2">
              <w:rPr>
                <w:rStyle w:val="SpecialBold"/>
              </w:rPr>
              <w:t>checking of compliance and remedyin</w:t>
            </w:r>
            <w:r w:rsidRPr="001706F2">
              <w:rPr>
                <w:rStyle w:val="SpecialBold"/>
              </w:rPr>
              <w:t>g non-compliance</w:t>
            </w:r>
            <w:r w:rsidRPr="001706F2">
              <w:t>.</w:t>
            </w:r>
          </w:p>
        </w:tc>
      </w:tr>
      <w:tr w:rsidTr="00B96B9E">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1706F2" w:rsidP="001706F2">
            <w:pPr>
              <w:pStyle w:val="BodyText"/>
            </w:pPr>
          </w:p>
        </w:tc>
      </w:tr>
    </w:tbl>
    <w:p w:rsidR="00000000" w:rsidRPr="001706F2" w:rsidP="001706F2">
      <w:pPr>
        <w:pStyle w:val="BodyText"/>
      </w:pPr>
    </w:p>
    <w:p w:rsidR="00000000" w:rsidRPr="001706F2" w:rsidP="001706F2">
      <w:pPr>
        <w:pStyle w:val="AllowPageBreak"/>
      </w:pPr>
    </w:p>
    <w:p w:rsidR="00000000" w:rsidRPr="001706F2" w:rsidP="001706F2">
      <w:pPr>
        <w:pStyle w:val="Heading1"/>
      </w:pPr>
      <w:bookmarkStart w:id="3" w:name="O_152369"/>
      <w:bookmarkEnd w:id="3"/>
      <w:r w:rsidRPr="001706F2">
        <w:t>Application of the Unit</w:t>
      </w:r>
    </w:p>
    <w:tbl>
      <w:tblPr>
        <w:tblW w:w="0" w:type="auto"/>
        <w:tblLayout w:type="fixed"/>
        <w:tblCellMar>
          <w:left w:w="62" w:type="dxa"/>
          <w:right w:w="62" w:type="dxa"/>
        </w:tblCellMar>
        <w:tblLook w:val="0000"/>
      </w:tblPr>
      <w:tblGrid>
        <w:gridCol w:w="1974"/>
        <w:gridCol w:w="6481"/>
      </w:tblGrid>
      <w:tr w:rsidTr="00B96B9E">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F2" w:rsidP="001706F2">
            <w:pPr>
              <w:pStyle w:val="BodyText"/>
            </w:pPr>
            <w:r w:rsidRPr="001706F2">
              <w:t xml:space="preserve">The unit has application in the qualifications for a Master 4, Skipper 2, Watchkeeper (Deck), Master (Less than 500 GT), Engineer Watchkeeper </w:t>
            </w:r>
            <w:r w:rsidRPr="001706F2">
              <w:t>and Integrated Rating, i.e. Certificate IV in Transport&amp;Distribution (Coastal Maritime Operations), Diploma of Transport&amp;Distribution (Maritime Operations - Deck Watchkeeper), Diploma of Transport&amp;Distribution (Marine Engineering - Engineer Watchkeeper) an</w:t>
            </w:r>
            <w:r w:rsidRPr="001706F2">
              <w:t>d Certificate IV in Maritime Operations - Integrated Rating)</w:t>
            </w:r>
          </w:p>
        </w:tc>
      </w:tr>
    </w:tbl>
    <w:p w:rsidR="00000000" w:rsidRPr="001706F2" w:rsidP="001706F2">
      <w:pPr>
        <w:pStyle w:val="BodyText"/>
      </w:pPr>
    </w:p>
    <w:p w:rsidR="00000000" w:rsidRPr="001706F2" w:rsidP="001706F2">
      <w:pPr>
        <w:pStyle w:val="AllowPageBreak"/>
      </w:pPr>
    </w:p>
    <w:p w:rsidR="00000000" w:rsidRPr="001706F2" w:rsidP="001706F2">
      <w:pPr>
        <w:pStyle w:val="Heading1"/>
      </w:pPr>
      <w:bookmarkStart w:id="4" w:name="O_152370"/>
      <w:bookmarkEnd w:id="4"/>
      <w:r w:rsidRPr="001706F2">
        <w:t>Licensing/Regulatory Information</w:t>
      </w:r>
    </w:p>
    <w:tbl>
      <w:tblPr>
        <w:tblW w:w="0" w:type="auto"/>
        <w:tblLayout w:type="fixed"/>
        <w:tblCellMar>
          <w:left w:w="62" w:type="dxa"/>
          <w:right w:w="62" w:type="dxa"/>
        </w:tblCellMar>
        <w:tblLook w:val="0000"/>
      </w:tblPr>
      <w:tblGrid>
        <w:gridCol w:w="1974"/>
        <w:gridCol w:w="6481"/>
      </w:tblGrid>
      <w:tr w:rsidTr="00B96B9E">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Licensing</w:t>
            </w:r>
            <w:r w:rsidRPr="001706F2">
              <w:t>/</w:t>
            </w:r>
            <w:r w:rsidRPr="001706F2">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F2" w:rsidP="001706F2">
            <w:pPr>
              <w:pStyle w:val="BodyText"/>
            </w:pPr>
            <w:r w:rsidRPr="001706F2">
              <w:t xml:space="preserve">The unit is consistent with the relevant sections of State and Territory marine regulations, NSCV, USL Code, STCW 95, the IMO MARPOL Convention and Marine Orders under the Australian Navigation Act 1912, describing requirements for prevention of pollution </w:t>
            </w:r>
            <w:r w:rsidRPr="001706F2">
              <w:t>of the environment.</w:t>
            </w:r>
          </w:p>
        </w:tc>
      </w:tr>
    </w:tbl>
    <w:p w:rsidR="00000000" w:rsidRPr="001706F2" w:rsidP="001706F2">
      <w:pPr>
        <w:pStyle w:val="BodyText"/>
      </w:pPr>
    </w:p>
    <w:p w:rsidR="00000000" w:rsidRPr="001706F2" w:rsidP="001706F2">
      <w:pPr>
        <w:pStyle w:val="AllowPageBreak"/>
      </w:pPr>
    </w:p>
    <w:p w:rsidR="00000000" w:rsidRPr="001706F2" w:rsidP="001706F2">
      <w:pPr>
        <w:pStyle w:val="Heading1"/>
      </w:pPr>
      <w:bookmarkStart w:id="5" w:name="O_152371"/>
      <w:bookmarkEnd w:id="5"/>
      <w:r w:rsidRPr="001706F2">
        <w:t>Pre-Requisites</w:t>
      </w:r>
    </w:p>
    <w:p w:rsidR="00000000" w:rsidRPr="001706F2" w:rsidP="001706F2">
      <w:pPr>
        <w:pStyle w:val="BodyText"/>
      </w:pPr>
      <w:r w:rsidRPr="001706F2">
        <w:t>Not applicable.</w:t>
      </w:r>
    </w:p>
    <w:p w:rsidR="00000000" w:rsidRPr="001706F2" w:rsidP="001706F2">
      <w:pPr>
        <w:pStyle w:val="AllowPageBreak"/>
      </w:pPr>
    </w:p>
    <w:p w:rsidR="00000000" w:rsidRPr="001706F2" w:rsidP="001706F2">
      <w:pPr>
        <w:pStyle w:val="Heading1"/>
      </w:pPr>
      <w:bookmarkStart w:id="6" w:name="O_152372"/>
      <w:bookmarkEnd w:id="6"/>
      <w:r w:rsidRPr="001706F2">
        <w:t>Employability Skills Information</w:t>
      </w:r>
    </w:p>
    <w:p w:rsidR="00000000" w:rsidRPr="001706F2" w:rsidP="001706F2">
      <w:pPr>
        <w:pStyle w:val="BodyText"/>
      </w:pPr>
      <w:r w:rsidRPr="001706F2">
        <w:t>Not applicable.</w:t>
      </w:r>
    </w:p>
    <w:p w:rsidR="00000000" w:rsidRPr="001706F2" w:rsidP="001706F2">
      <w:pPr>
        <w:pStyle w:val="AllowPageBreak"/>
      </w:pPr>
    </w:p>
    <w:p w:rsidR="00000000" w:rsidRPr="001706F2" w:rsidP="001706F2">
      <w:pPr>
        <w:pStyle w:val="Heading1"/>
      </w:pPr>
      <w:bookmarkStart w:id="7" w:name="O_152373"/>
      <w:bookmarkEnd w:id="7"/>
      <w:r w:rsidRPr="001706F2">
        <w:t>Elements and Performance Criteria Pre-Content</w:t>
      </w:r>
    </w:p>
    <w:tbl>
      <w:tblPr>
        <w:tblW w:w="0" w:type="auto"/>
        <w:tblLayout w:type="fixed"/>
        <w:tblCellMar>
          <w:left w:w="62" w:type="dxa"/>
          <w:right w:w="62" w:type="dxa"/>
        </w:tblCellMar>
        <w:tblLook w:val="0000"/>
      </w:tblPr>
      <w:tblGrid>
        <w:gridCol w:w="1944"/>
        <w:gridCol w:w="6367"/>
      </w:tblGrid>
      <w:tr w:rsidTr="00B96B9E">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1706F2" w:rsidP="001706F2">
            <w:pPr>
              <w:pStyle w:val="BodyText"/>
            </w:pPr>
            <w:r w:rsidRPr="001706F2">
              <w:rPr>
                <w:rStyle w:val="Emphasis"/>
              </w:rPr>
              <w:t>Elements describe the essential outcomes of a unit of com</w:t>
            </w:r>
            <w:r w:rsidRPr="001706F2">
              <w:rPr>
                <w:rStyle w:val="Emphasis"/>
              </w:rPr>
              <w:t>petency</w:t>
            </w:r>
            <w:r w:rsidRPr="001706F2">
              <w:t>.</w:t>
            </w:r>
          </w:p>
        </w:tc>
        <w:tc>
          <w:tcPr>
            <w:tcW w:w="6367" w:type="dxa"/>
            <w:tcBorders>
              <w:top w:val="single" w:sz="6" w:space="0" w:color="auto"/>
              <w:left w:val="single" w:sz="6" w:space="0" w:color="auto"/>
              <w:bottom w:val="nil"/>
              <w:right w:val="nil"/>
            </w:tcBorders>
            <w:tcMar>
              <w:top w:w="0" w:type="dxa"/>
              <w:left w:w="62" w:type="dxa"/>
              <w:bottom w:w="0" w:type="dxa"/>
              <w:right w:w="62" w:type="dxa"/>
            </w:tcMar>
          </w:tcPr>
          <w:p w:rsidR="00000000" w:rsidRPr="001706F2" w:rsidP="001706F2">
            <w:pPr>
              <w:pStyle w:val="BodyText"/>
            </w:pPr>
            <w:r w:rsidRPr="001706F2">
              <w:rPr>
                <w:rStyle w:val="Emphasis"/>
              </w:rPr>
              <w:t>Performance Criteria describe the required performance needed to demonstrate achievement of the element</w:t>
            </w:r>
            <w:r w:rsidRPr="001706F2">
              <w:t xml:space="preserve">. </w:t>
            </w:r>
            <w:r w:rsidRPr="001706F2">
              <w:rPr>
                <w:rStyle w:val="Emphasis"/>
              </w:rPr>
              <w:t>Assessment of performance is to be consistent with the Evidence Guide</w:t>
            </w:r>
            <w:r w:rsidRPr="001706F2">
              <w:t>.</w:t>
            </w:r>
          </w:p>
        </w:tc>
      </w:tr>
    </w:tbl>
    <w:p w:rsidR="00000000" w:rsidRPr="001706F2" w:rsidP="001706F2">
      <w:pPr>
        <w:pStyle w:val="BodyText"/>
      </w:pPr>
    </w:p>
    <w:p w:rsidR="00000000" w:rsidRPr="001706F2" w:rsidP="001706F2">
      <w:pPr>
        <w:pStyle w:val="AllowPageBreak"/>
      </w:pPr>
    </w:p>
    <w:p w:rsidR="00000000" w:rsidRPr="001706F2" w:rsidP="001706F2">
      <w:pPr>
        <w:pStyle w:val="Heading1"/>
      </w:pPr>
      <w:bookmarkStart w:id="8" w:name="O_152374"/>
      <w:bookmarkEnd w:id="8"/>
      <w:r w:rsidRPr="001706F2">
        <w:t>Elements and Performance Criteria</w:t>
      </w:r>
    </w:p>
    <w:tbl>
      <w:tblPr>
        <w:tblW w:w="0" w:type="auto"/>
        <w:tblLayout w:type="fixed"/>
        <w:tblCellMar>
          <w:left w:w="62" w:type="dxa"/>
          <w:right w:w="62" w:type="dxa"/>
        </w:tblCellMar>
        <w:tblLook w:val="0000"/>
      </w:tblPr>
      <w:tblGrid>
        <w:gridCol w:w="340"/>
        <w:gridCol w:w="1604"/>
        <w:gridCol w:w="340"/>
        <w:gridCol w:w="20"/>
        <w:gridCol w:w="6007"/>
        <w:gridCol w:w="31"/>
      </w:tblGrid>
      <w:tr w:rsidTr="00B96B9E">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706F2" w:rsidP="001706F2">
            <w:pPr>
              <w:pStyle w:val="BodyText"/>
            </w:pPr>
            <w:r w:rsidRPr="001706F2">
              <w:rPr>
                <w:rStyle w:val="SpecialBold"/>
              </w:rPr>
              <w:t>ELEMENT</w:t>
            </w:r>
          </w:p>
        </w:tc>
        <w:tc>
          <w:tcPr>
            <w:tcW w:w="6398"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rPr>
                <w:rStyle w:val="SpecialBold"/>
              </w:rPr>
              <w:t>PERFORMANCE CRITERIA</w:t>
            </w:r>
          </w:p>
        </w:tc>
      </w:tr>
      <w:tr w:rsidTr="00B96B9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rPr>
                <w:rStyle w:val="SpecialBold"/>
              </w:rPr>
              <w:t>1</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Maintain compliance with legislative requirements for protection of the marine environment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a</w:t>
            </w:r>
          </w:p>
        </w:tc>
        <w:tc>
          <w:tcPr>
            <w:tcW w:w="6038"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Relevant regulations and procedures for the protection of the marine environment are identified</w:t>
            </w:r>
          </w:p>
        </w:tc>
      </w:tr>
      <w:tr w:rsidTr="00B96B9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b</w:t>
            </w:r>
          </w:p>
        </w:tc>
        <w:tc>
          <w:tcPr>
            <w:tcW w:w="6038"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Appropriate action is taken in day-to-day work to ensure compliance with relevant regulations and procedures for the protection of the marine environment as required</w:t>
            </w:r>
          </w:p>
        </w:tc>
      </w:tr>
      <w:tr w:rsidTr="00B96B9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c</w:t>
            </w:r>
          </w:p>
        </w:tc>
        <w:tc>
          <w:tcPr>
            <w:tcW w:w="6038"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Appropriate action is taken where incidences of non-compliance or potential non-compliance are identified in accordance with regulations and procedures</w:t>
            </w:r>
          </w:p>
        </w:tc>
      </w:tr>
      <w:tr w:rsidTr="00B96B9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d</w:t>
            </w:r>
          </w:p>
        </w:tc>
        <w:tc>
          <w:tcPr>
            <w:tcW w:w="6038"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Any breach of regulations and procedures concerning protection of the marine environment is rectifi</w:t>
            </w:r>
            <w:r w:rsidRPr="001706F2">
              <w:t>ed and/or reported as required within the limits of the officer's responsibility</w:t>
            </w:r>
          </w:p>
        </w:tc>
      </w:tr>
      <w:tr w:rsidTr="00B96B9E">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7" w:type="dxa"/>
            <w:gridSpan w:val="2"/>
            <w:tcBorders>
              <w:top w:val="single" w:sz="6" w:space="0" w:color="auto"/>
              <w:left w:val="nil"/>
              <w:bottom w:val="nil"/>
              <w:right w:val="nil"/>
            </w:tcBorders>
            <w:tcMar>
              <w:top w:w="0" w:type="dxa"/>
              <w:left w:w="62" w:type="dxa"/>
              <w:bottom w:w="0" w:type="dxa"/>
              <w:right w:w="62" w:type="dxa"/>
            </w:tcMar>
          </w:tcPr>
          <w:p w:rsidR="00000000" w:rsidP="001706F2">
            <w:pPr>
              <w:pStyle w:val="BodyText"/>
              <w:rPr>
                <w:lang w:val="en-NZ"/>
              </w:rPr>
            </w:pPr>
          </w:p>
        </w:tc>
      </w:tr>
      <w:tr w:rsidTr="00B96B9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rPr>
                <w:rStyle w:val="SpecialBold"/>
              </w:rPr>
              <w:t>2</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Implement</w:t>
            </w:r>
            <w:r w:rsidRPr="001706F2">
              <w:t xml:space="preserve"> </w:t>
            </w:r>
            <w:r w:rsidRPr="001706F2">
              <w:rPr>
                <w:rStyle w:val="SpecialBold"/>
              </w:rPr>
              <w:t>anti-pollution procedures</w:t>
            </w:r>
            <w:r w:rsidRPr="001706F2">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a</w:t>
            </w:r>
          </w:p>
        </w:tc>
        <w:tc>
          <w:tcPr>
            <w:tcW w:w="6058"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Anti-pollution procedures applicable to vessel operations are followed in the course of day-to-day work</w:t>
            </w:r>
          </w:p>
        </w:tc>
      </w:tr>
      <w:tr w:rsidTr="00B96B9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b</w:t>
            </w:r>
          </w:p>
        </w:tc>
        <w:tc>
          <w:tcPr>
            <w:tcW w:w="6058" w:type="dxa"/>
            <w:gridSpan w:val="3"/>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t>Appropriate preventative measures are implemented to prevent pollution of the marine environment in accordance with regulations and procedures</w:t>
            </w:r>
          </w:p>
        </w:tc>
      </w:tr>
    </w:tbl>
    <w:p w:rsidR="00000000" w:rsidRPr="001706F2" w:rsidP="001706F2">
      <w:pPr>
        <w:pStyle w:val="BodyText"/>
      </w:pPr>
    </w:p>
    <w:tbl>
      <w:tblPr>
        <w:tblW w:w="0" w:type="auto"/>
        <w:tblLayout w:type="fixed"/>
        <w:tblCellMar>
          <w:left w:w="62" w:type="dxa"/>
          <w:right w:w="62" w:type="dxa"/>
        </w:tblCellMar>
        <w:tblLook w:val="0000"/>
      </w:tblPr>
      <w:tblGrid>
        <w:gridCol w:w="340"/>
        <w:gridCol w:w="1604"/>
        <w:gridCol w:w="340"/>
        <w:gridCol w:w="20"/>
        <w:gridCol w:w="6007"/>
        <w:gridCol w:w="30"/>
      </w:tblGrid>
      <w:tr w:rsidTr="00B96B9E">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706F2" w:rsidP="001706F2">
            <w:pPr>
              <w:pStyle w:val="BodyText"/>
            </w:pPr>
          </w:p>
          <w:p w:rsidR="00000000" w:rsidRPr="001706F2" w:rsidP="001706F2">
            <w:pPr>
              <w:pStyle w:val="BodyText"/>
            </w:pPr>
            <w:r w:rsidRPr="001706F2">
              <w:rPr>
                <w:rStyle w:val="SpecialBold"/>
              </w:rPr>
              <w:t>ELEMENT</w:t>
            </w:r>
          </w:p>
        </w:tc>
        <w:tc>
          <w:tcPr>
            <w:tcW w:w="6367"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rPr>
                <w:rStyle w:val="SpecialBold"/>
              </w:rPr>
              <w:t>PERFORMANCE CRITERIA</w:t>
            </w:r>
          </w:p>
        </w:tc>
      </w:tr>
      <w:tr w:rsidTr="00B96B9E">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7" w:type="dxa"/>
            <w:gridSpan w:val="2"/>
            <w:tcBorders>
              <w:top w:val="single" w:sz="6" w:space="0" w:color="auto"/>
              <w:left w:val="nil"/>
              <w:bottom w:val="nil"/>
              <w:right w:val="nil"/>
            </w:tcBorders>
            <w:tcMar>
              <w:top w:w="0" w:type="dxa"/>
              <w:left w:w="62" w:type="dxa"/>
              <w:bottom w:w="0" w:type="dxa"/>
              <w:right w:w="62" w:type="dxa"/>
            </w:tcMar>
          </w:tcPr>
          <w:p w:rsidR="00000000" w:rsidP="001706F2">
            <w:pPr>
              <w:pStyle w:val="BodyText"/>
              <w:rPr>
                <w:lang w:val="en-NZ"/>
              </w:rPr>
            </w:pPr>
          </w:p>
        </w:tc>
      </w:tr>
      <w:tr w:rsidTr="00B96B9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rPr>
                <w:rStyle w:val="SpecialBold"/>
              </w:rPr>
              <w:t>3</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Maintain documentation related to legislative requirements for the protection of the environment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a</w:t>
            </w:r>
          </w:p>
        </w:tc>
        <w:tc>
          <w:tcPr>
            <w:tcW w:w="6037"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 xml:space="preserve">Requirements for reports and other documentation related to the protection of the marine environment and any breaches of relevant regulations are identified </w:t>
            </w:r>
            <w:r w:rsidRPr="001706F2">
              <w:t>and interpreted as required</w:t>
            </w:r>
          </w:p>
        </w:tc>
      </w:tr>
      <w:tr w:rsidTr="00B96B9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b</w:t>
            </w:r>
          </w:p>
        </w:tc>
        <w:tc>
          <w:tcPr>
            <w:tcW w:w="6037" w:type="dxa"/>
            <w:gridSpan w:val="2"/>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t>All required documentation related to the protection of the marine environment and any breaches of environmental regulations is completed in accordance with regulations and procedures</w:t>
            </w:r>
          </w:p>
        </w:tc>
      </w:tr>
    </w:tbl>
    <w:p w:rsidR="00000000" w:rsidRPr="001706F2" w:rsidP="001706F2">
      <w:pPr>
        <w:pStyle w:val="BodyText"/>
      </w:pPr>
    </w:p>
    <w:p w:rsidR="00000000" w:rsidRPr="001706F2" w:rsidP="001706F2">
      <w:pPr>
        <w:pStyle w:val="AllowPageBreak"/>
      </w:pPr>
    </w:p>
    <w:p w:rsidR="00000000" w:rsidRPr="001706F2" w:rsidP="001706F2">
      <w:pPr>
        <w:pStyle w:val="Heading1"/>
      </w:pPr>
      <w:bookmarkStart w:id="9" w:name="O_152375"/>
      <w:bookmarkEnd w:id="9"/>
      <w:r w:rsidRPr="001706F2">
        <w:t>Required Skills and Knowledge</w:t>
      </w:r>
    </w:p>
    <w:tbl>
      <w:tblPr>
        <w:tblW w:w="0" w:type="auto"/>
        <w:tblLayout w:type="fixed"/>
        <w:tblCellMar>
          <w:left w:w="62" w:type="dxa"/>
          <w:right w:w="62" w:type="dxa"/>
        </w:tblCellMar>
        <w:tblLook w:val="0000"/>
      </w:tblPr>
      <w:tblGrid>
        <w:gridCol w:w="423"/>
        <w:gridCol w:w="7906"/>
        <w:gridCol w:w="12"/>
      </w:tblGrid>
      <w:tr w:rsidTr="00B96B9E">
        <w:tblPrEx>
          <w:tblW w:w="0" w:type="auto"/>
          <w:tblLayout w:type="fixed"/>
          <w:tblCellMar>
            <w:left w:w="62" w:type="dxa"/>
            <w:right w:w="62" w:type="dxa"/>
          </w:tblCellMar>
          <w:tblLook w:val="0000"/>
        </w:tblPrEx>
        <w:trPr>
          <w:tblHeader/>
        </w:trPr>
        <w:tc>
          <w:tcPr>
            <w:tcW w:w="8341"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rPr>
                <w:rStyle w:val="SpecialBold"/>
              </w:rPr>
              <w:t>REQUIRED SKILLS AND KNOWLEDGE</w:t>
            </w:r>
          </w:p>
        </w:tc>
      </w:tr>
      <w:tr w:rsidTr="00B96B9E">
        <w:tblPrEx>
          <w:tblW w:w="0" w:type="auto"/>
          <w:tblLayout w:type="fixed"/>
          <w:tblCellMar>
            <w:left w:w="62" w:type="dxa"/>
            <w:right w:w="62" w:type="dxa"/>
          </w:tblCellMar>
          <w:tblLook w:val="0000"/>
        </w:tblPrEx>
        <w:tc>
          <w:tcPr>
            <w:tcW w:w="8341"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rPr>
                <w:rStyle w:val="SpecialBold"/>
              </w:rPr>
              <w:t>REQUIRED KNOWLEDGE</w:t>
            </w:r>
          </w:p>
        </w:tc>
      </w:tr>
      <w:tr w:rsidTr="00B96B9E">
        <w:tblPrEx>
          <w:tblW w:w="0" w:type="auto"/>
          <w:tblLayout w:type="fixed"/>
          <w:tblCellMar>
            <w:left w:w="62" w:type="dxa"/>
            <w:right w:w="62" w:type="dxa"/>
          </w:tblCellMar>
          <w:tblLook w:val="0000"/>
        </w:tblPrEx>
        <w:tc>
          <w:tcPr>
            <w:tcW w:w="8341"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rPr>
                <w:rStyle w:val="Emphasis"/>
              </w:rPr>
              <w:t>This describes the knowledge required for this unit</w:t>
            </w:r>
            <w:r w:rsidRPr="001706F2">
              <w:t>.</w:t>
            </w:r>
          </w:p>
        </w:tc>
      </w:tr>
      <w:tr w:rsidTr="00B96B9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1</w:t>
            </w:r>
          </w:p>
        </w:tc>
        <w:tc>
          <w:tcPr>
            <w:tcW w:w="7918"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Relevant legislation, codes of practice, policies and procedures to protect the marine environment</w:t>
            </w:r>
          </w:p>
        </w:tc>
      </w:tr>
      <w:tr w:rsidTr="00B96B9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2</w:t>
            </w:r>
          </w:p>
        </w:tc>
        <w:tc>
          <w:tcPr>
            <w:tcW w:w="7918"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Effects on the marine environment of various possible pollution incidents</w:t>
            </w:r>
          </w:p>
        </w:tc>
      </w:tr>
      <w:tr w:rsidTr="00B96B9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3</w:t>
            </w:r>
          </w:p>
        </w:tc>
        <w:tc>
          <w:tcPr>
            <w:tcW w:w="7918"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 xml:space="preserve">Pollution control problems and related measures to protect the marine environment </w:t>
            </w:r>
          </w:p>
        </w:tc>
      </w:tr>
      <w:tr w:rsidTr="00B96B9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4</w:t>
            </w:r>
          </w:p>
        </w:tc>
        <w:tc>
          <w:tcPr>
            <w:tcW w:w="7918"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Certificates and other documents required by relevant Australian and/or international legisla</w:t>
            </w:r>
            <w:r w:rsidRPr="001706F2">
              <w:t xml:space="preserve">tion and conventions for the protection of the marine environment </w:t>
            </w:r>
          </w:p>
        </w:tc>
      </w:tr>
      <w:tr w:rsidTr="00B96B9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5</w:t>
            </w:r>
          </w:p>
        </w:tc>
        <w:tc>
          <w:tcPr>
            <w:tcW w:w="7918"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 xml:space="preserve">Operational characteristics of emission control equipment used on various types and sizes of vessels </w:t>
            </w:r>
          </w:p>
        </w:tc>
      </w:tr>
      <w:tr w:rsidTr="00B96B9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6</w:t>
            </w:r>
          </w:p>
        </w:tc>
        <w:tc>
          <w:tcPr>
            <w:tcW w:w="7918"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Operational requirements of water, bilge, waste, pollution and recycling management processes used on various types and sizes of vessels</w:t>
            </w:r>
          </w:p>
        </w:tc>
      </w:tr>
      <w:tr w:rsidTr="00B96B9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7</w:t>
            </w:r>
          </w:p>
        </w:tc>
        <w:tc>
          <w:tcPr>
            <w:tcW w:w="7918"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Requirements under Australian and/or international legislation and conventions for reporting incidents related to br</w:t>
            </w:r>
            <w:r w:rsidRPr="001706F2">
              <w:t>eaches of the statutory codes and measures for the protection of the marine environment</w:t>
            </w:r>
          </w:p>
        </w:tc>
      </w:tr>
      <w:tr w:rsidTr="00B96B9E">
        <w:tblPrEx>
          <w:tblW w:w="0" w:type="auto"/>
          <w:tblLayout w:type="fixed"/>
          <w:tblCellMar>
            <w:left w:w="62" w:type="dxa"/>
            <w:right w:w="62" w:type="dxa"/>
          </w:tblCellMar>
          <w:tblLook w:val="0000"/>
        </w:tblPrEx>
        <w:trPr>
          <w:gridAfter w:val="1"/>
          <w:wAfter w:w="12" w:type="dxa"/>
        </w:trPr>
        <w:tc>
          <w:tcPr>
            <w:tcW w:w="8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96B9E">
        <w:tblPrEx>
          <w:tblW w:w="0" w:type="auto"/>
          <w:tblLayout w:type="fixed"/>
          <w:tblCellMar>
            <w:left w:w="62" w:type="dxa"/>
            <w:right w:w="62" w:type="dxa"/>
          </w:tblCellMar>
          <w:tblLook w:val="0000"/>
        </w:tblPrEx>
        <w:trPr>
          <w:gridAfter w:val="1"/>
          <w:wAfter w:w="12" w:type="dxa"/>
        </w:trPr>
        <w:tc>
          <w:tcPr>
            <w:tcW w:w="8329" w:type="dxa"/>
            <w:gridSpan w:val="2"/>
            <w:tcBorders>
              <w:top w:val="nil"/>
              <w:left w:val="nil"/>
              <w:bottom w:val="nil"/>
              <w:right w:val="nil"/>
            </w:tcBorders>
            <w:tcMar>
              <w:top w:w="0" w:type="dxa"/>
              <w:left w:w="62" w:type="dxa"/>
              <w:bottom w:w="0" w:type="dxa"/>
              <w:right w:w="62" w:type="dxa"/>
            </w:tcMar>
          </w:tcPr>
          <w:p w:rsidR="00000000" w:rsidRPr="001706F2" w:rsidP="001706F2">
            <w:pPr>
              <w:pStyle w:val="BodyText"/>
            </w:pPr>
          </w:p>
          <w:p w:rsidR="00000000" w:rsidP="001706F2">
            <w:pPr>
              <w:pStyle w:val="BodyText"/>
              <w:rPr>
                <w:lang w:val="en-NZ"/>
              </w:rPr>
            </w:pPr>
            <w:r w:rsidRPr="001706F2">
              <w:rPr>
                <w:rStyle w:val="SpecialBold"/>
              </w:rPr>
              <w:t>REQUIRED SKILLS</w:t>
            </w:r>
          </w:p>
        </w:tc>
      </w:tr>
      <w:tr w:rsidTr="00B96B9E">
        <w:tblPrEx>
          <w:tblW w:w="0" w:type="auto"/>
          <w:tblLayout w:type="fixed"/>
          <w:tblCellMar>
            <w:left w:w="62" w:type="dxa"/>
            <w:right w:w="62" w:type="dxa"/>
          </w:tblCellMar>
          <w:tblLook w:val="0000"/>
        </w:tblPrEx>
        <w:trPr>
          <w:gridAfter w:val="1"/>
          <w:wAfter w:w="12" w:type="dxa"/>
        </w:trPr>
        <w:tc>
          <w:tcPr>
            <w:tcW w:w="8329"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rPr>
                <w:rStyle w:val="Emphasis"/>
              </w:rPr>
              <w:t>This describes the basic skills required for this unit</w:t>
            </w:r>
            <w:r w:rsidRPr="001706F2">
              <w:t>.</w:t>
            </w:r>
          </w:p>
        </w:tc>
      </w:tr>
      <w:tr w:rsidTr="00B96B9E">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1</w:t>
            </w:r>
          </w:p>
        </w:tc>
        <w:tc>
          <w:tcPr>
            <w:tcW w:w="7906"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Read and interpret instructions, procedures and information relevant to legislative requirements and measures to ensure the protection of the environment during vessel operations</w:t>
            </w:r>
          </w:p>
        </w:tc>
      </w:tr>
      <w:tr w:rsidTr="00B96B9E">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2</w:t>
            </w:r>
          </w:p>
        </w:tc>
        <w:tc>
          <w:tcPr>
            <w:tcW w:w="7906"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Select and use appropriate communications equipment during environmental p</w:t>
            </w:r>
            <w:r w:rsidRPr="001706F2">
              <w:t>rotection operations</w:t>
            </w:r>
          </w:p>
        </w:tc>
      </w:tr>
      <w:tr w:rsidTr="00B96B9E">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3</w:t>
            </w:r>
          </w:p>
        </w:tc>
        <w:tc>
          <w:tcPr>
            <w:tcW w:w="7906"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Work as a team with others on matters related to the environmental protection during vessel operations</w:t>
            </w:r>
          </w:p>
        </w:tc>
      </w:tr>
      <w:tr w:rsidTr="00B96B9E">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4</w:t>
            </w:r>
          </w:p>
        </w:tc>
        <w:tc>
          <w:tcPr>
            <w:tcW w:w="7906"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Take appropriate initiatives related to the protection of the environment during vessel operations</w:t>
            </w:r>
          </w:p>
        </w:tc>
      </w:tr>
      <w:tr w:rsidTr="00B96B9E">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5</w:t>
            </w:r>
          </w:p>
        </w:tc>
        <w:tc>
          <w:tcPr>
            <w:tcW w:w="7906"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Interpret and apply prac</w:t>
            </w:r>
            <w:r w:rsidRPr="001706F2">
              <w:t>tices and regulations for pollution control on a vessel</w:t>
            </w:r>
          </w:p>
        </w:tc>
      </w:tr>
      <w:tr w:rsidTr="00B96B9E">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6</w:t>
            </w:r>
          </w:p>
        </w:tc>
        <w:tc>
          <w:tcPr>
            <w:tcW w:w="7906"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 xml:space="preserve">Communicate effectively with others on matters related to environmental protection </w:t>
            </w:r>
          </w:p>
        </w:tc>
      </w:tr>
      <w:tr w:rsidTr="00B96B9E">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7</w:t>
            </w:r>
          </w:p>
        </w:tc>
        <w:tc>
          <w:tcPr>
            <w:tcW w:w="7906"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Modify activities dependent on differing workplace contingencies, risk situations and environments</w:t>
            </w:r>
          </w:p>
        </w:tc>
      </w:tr>
      <w:tr w:rsidTr="00B96B9E">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8</w:t>
            </w:r>
          </w:p>
        </w:tc>
        <w:tc>
          <w:tcPr>
            <w:tcW w:w="7906"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Identify and solve problems associated with the protection of the environment during vessel operations and report pollution and environmental issues and take appropriate action based on available information</w:t>
            </w:r>
          </w:p>
        </w:tc>
      </w:tr>
      <w:tr w:rsidTr="00B96B9E">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9</w:t>
            </w:r>
          </w:p>
        </w:tc>
        <w:tc>
          <w:tcPr>
            <w:tcW w:w="7906" w:type="dxa"/>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t>Monitor and anticipate problems and risks rel</w:t>
            </w:r>
            <w:r w:rsidRPr="001706F2">
              <w:t>ated to the protection of the environment during vessel operations, and take appropriate action</w:t>
            </w:r>
          </w:p>
        </w:tc>
      </w:tr>
    </w:tbl>
    <w:p w:rsidR="00000000" w:rsidRPr="001706F2" w:rsidP="001706F2">
      <w:pPr>
        <w:pStyle w:val="BodyText"/>
      </w:pPr>
    </w:p>
    <w:p w:rsidR="00000000" w:rsidRPr="001706F2" w:rsidP="001706F2">
      <w:pPr>
        <w:pStyle w:val="AllowPageBreak"/>
      </w:pPr>
    </w:p>
    <w:p w:rsidR="00000000" w:rsidRPr="001706F2" w:rsidP="001706F2">
      <w:pPr>
        <w:pStyle w:val="Heading1"/>
      </w:pPr>
      <w:bookmarkStart w:id="10" w:name="O_152376"/>
      <w:bookmarkEnd w:id="10"/>
      <w:r w:rsidRPr="001706F2">
        <w:t>Evidence Guide</w:t>
      </w:r>
    </w:p>
    <w:tbl>
      <w:tblPr>
        <w:tblW w:w="0" w:type="auto"/>
        <w:tblLayout w:type="fixed"/>
        <w:tblCellMar>
          <w:left w:w="62" w:type="dxa"/>
          <w:right w:w="62" w:type="dxa"/>
        </w:tblCellMar>
        <w:tblLook w:val="0000"/>
      </w:tblPr>
      <w:tblGrid>
        <w:gridCol w:w="303"/>
        <w:gridCol w:w="1788"/>
        <w:gridCol w:w="360"/>
        <w:gridCol w:w="357"/>
        <w:gridCol w:w="5503"/>
        <w:gridCol w:w="167"/>
        <w:gridCol w:w="15"/>
      </w:tblGrid>
      <w:tr w:rsidTr="00B96B9E">
        <w:tblPrEx>
          <w:tblW w:w="0" w:type="auto"/>
          <w:tblLayout w:type="fixed"/>
          <w:tblCellMar>
            <w:left w:w="62" w:type="dxa"/>
            <w:right w:w="62" w:type="dxa"/>
          </w:tblCellMar>
          <w:tblLook w:val="0000"/>
        </w:tblPrEx>
        <w:trPr>
          <w:gridAfter w:val="2"/>
          <w:wAfter w:w="182" w:type="dxa"/>
          <w:tblHeader/>
        </w:trPr>
        <w:tc>
          <w:tcPr>
            <w:tcW w:w="8311"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706F2" w:rsidP="001706F2">
            <w:pPr>
              <w:pStyle w:val="BodyText"/>
            </w:pPr>
            <w:r w:rsidRPr="001706F2">
              <w:rPr>
                <w:rStyle w:val="SpecialBold"/>
              </w:rPr>
              <w:t>Evidence Guide</w:t>
            </w:r>
            <w:r w:rsidRPr="001706F2">
              <w:t xml:space="preserve"> </w:t>
            </w:r>
          </w:p>
          <w:p w:rsidR="00000000" w:rsidP="001706F2">
            <w:pPr>
              <w:pStyle w:val="BodyText"/>
              <w:rPr>
                <w:lang w:val="en-NZ"/>
              </w:rPr>
            </w:pPr>
            <w:r w:rsidRPr="001706F2">
              <w:rPr>
                <w:rStyle w:val="SpecialBold"/>
              </w:rPr>
              <w:t>TDMMU407B ENSURE COMPLIANCE WITH POLLUTION PREVENTION MEASURES</w:t>
            </w:r>
          </w:p>
        </w:tc>
      </w:tr>
      <w:tr w:rsidTr="00B96B9E">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1706F2" w:rsidP="001706F2">
            <w:pPr>
              <w:pStyle w:val="BodyText"/>
            </w:pPr>
          </w:p>
          <w:p w:rsidR="00000000" w:rsidP="001706F2">
            <w:pPr>
              <w:pStyle w:val="BodyText"/>
              <w:rPr>
                <w:lang w:val="en-NZ"/>
              </w:rPr>
            </w:pPr>
            <w:r w:rsidRPr="001706F2">
              <w:rPr>
                <w:rStyle w:val="Emphasis"/>
              </w:rPr>
              <w:t>The Evidence Guide provides advice on assessment and must be read in conjunction with the Performance Criteria</w:t>
            </w:r>
            <w:r w:rsidRPr="001706F2">
              <w:t xml:space="preserve">, </w:t>
            </w:r>
            <w:r w:rsidRPr="001706F2">
              <w:rPr>
                <w:rStyle w:val="Emphasis"/>
              </w:rPr>
              <w:t>Required Skills and Knowledge</w:t>
            </w:r>
            <w:r w:rsidRPr="001706F2">
              <w:t xml:space="preserve">, </w:t>
            </w:r>
            <w:r w:rsidRPr="001706F2">
              <w:rPr>
                <w:rStyle w:val="Emphasis"/>
              </w:rPr>
              <w:t>the Range Statement and the Assessment Guidelines for this Training Package</w:t>
            </w:r>
            <w:r w:rsidRPr="001706F2">
              <w:t>.</w:t>
            </w:r>
          </w:p>
        </w:tc>
      </w:tr>
      <w:tr w:rsidTr="00B96B9E">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1706F2" w:rsidP="001706F2">
            <w:pPr>
              <w:pStyle w:val="BodyText"/>
            </w:pPr>
            <w:r w:rsidRPr="001706F2">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 xml:space="preserve">Critical aspects of evidence </w:t>
            </w:r>
            <w:r w:rsidRPr="001706F2">
              <w:rPr>
                <w:rStyle w:val="SpecialBold"/>
              </w:rPr>
              <w:t>required to demonstrate competency in this unit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Assessment must confirm appropriate knowledge and skills to:</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a</w:t>
            </w:r>
          </w:p>
        </w:tc>
        <w:tc>
          <w:tcPr>
            <w:tcW w:w="6027"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 xml:space="preserve">Maintain compliance with regulations for protection of the marine environment </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b</w:t>
            </w:r>
          </w:p>
        </w:tc>
        <w:tc>
          <w:tcPr>
            <w:tcW w:w="6027"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Impleme</w:t>
            </w:r>
            <w:r w:rsidRPr="001706F2">
              <w:t>nt preventative and remedial anti-pollution procedures as per relevant regulations and procedures</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c</w:t>
            </w:r>
          </w:p>
        </w:tc>
        <w:tc>
          <w:tcPr>
            <w:tcW w:w="6027"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Identify typical pollution control problems and take appropriate action</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d</w:t>
            </w:r>
          </w:p>
        </w:tc>
        <w:tc>
          <w:tcPr>
            <w:tcW w:w="6027"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Maintain all records concerning anti-pollution measures and breaches of anti-pollution regulations</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t>e</w:t>
            </w:r>
          </w:p>
        </w:tc>
        <w:tc>
          <w:tcPr>
            <w:tcW w:w="6027" w:type="dxa"/>
            <w:gridSpan w:val="3"/>
            <w:tcBorders>
              <w:top w:val="nil"/>
              <w:left w:val="nil"/>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t>Communicate effectively with others concerning measures to protect the marine environment</w:t>
            </w:r>
          </w:p>
        </w:tc>
      </w:tr>
      <w:tr w:rsidTr="00B96B9E">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96B9E">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a</w:t>
            </w:r>
          </w:p>
        </w:tc>
        <w:tc>
          <w:tcPr>
            <w:tcW w:w="6027"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Performance is demonstrated consistently over a period of time and in a suitable range of contexts</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b</w:t>
            </w:r>
          </w:p>
        </w:tc>
        <w:tc>
          <w:tcPr>
            <w:tcW w:w="6027"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Consistently applies underpinning knowledge and skills when:</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1</w:t>
            </w:r>
          </w:p>
        </w:tc>
        <w:tc>
          <w:tcPr>
            <w:tcW w:w="5670"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completing activities aimed at compliance with relevant regulatory requirements for protection of the marine environment</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2</w:t>
            </w:r>
          </w:p>
        </w:tc>
        <w:tc>
          <w:tcPr>
            <w:tcW w:w="5670"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identifying and evaluating problems related to relevant regulations for environmental protection and determining appropriate courses of action</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3</w:t>
            </w:r>
          </w:p>
        </w:tc>
        <w:tc>
          <w:tcPr>
            <w:tcW w:w="5670"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following anti-pollution procedures</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4</w:t>
            </w:r>
          </w:p>
        </w:tc>
        <w:tc>
          <w:tcPr>
            <w:tcW w:w="5670"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assessing compliance of vessel with relevant regulatory requirements for protection of the marine environment</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c</w:t>
            </w:r>
          </w:p>
        </w:tc>
        <w:tc>
          <w:tcPr>
            <w:tcW w:w="6027"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Shows evidence of application of relevant workplace procedures, including:</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1</w:t>
            </w:r>
          </w:p>
        </w:tc>
        <w:tc>
          <w:tcPr>
            <w:tcW w:w="5670"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relevant regulatory requirements dealing with environmental protection</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2</w:t>
            </w:r>
          </w:p>
        </w:tc>
        <w:tc>
          <w:tcPr>
            <w:tcW w:w="5670"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 xml:space="preserve">OH&amp;S regulations and hazard prevention policies and procedures </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3</w:t>
            </w:r>
          </w:p>
        </w:tc>
        <w:tc>
          <w:tcPr>
            <w:tcW w:w="5670"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job procedures and work instructions related to environmental protection</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4</w:t>
            </w:r>
          </w:p>
        </w:tc>
        <w:tc>
          <w:tcPr>
            <w:tcW w:w="5670"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following on-board housekeeping processes</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5</w:t>
            </w:r>
          </w:p>
        </w:tc>
        <w:tc>
          <w:tcPr>
            <w:tcW w:w="5670"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waste, pollution and recycling management processes, where relevant</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d</w:t>
            </w:r>
          </w:p>
        </w:tc>
        <w:tc>
          <w:tcPr>
            <w:tcW w:w="6027"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 xml:space="preserve">Action is taken promptly to report and/or rectify breaches of environmental protection regulations </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e</w:t>
            </w:r>
          </w:p>
        </w:tc>
        <w:tc>
          <w:tcPr>
            <w:tcW w:w="6027"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Work is completed systematically with required attention to detail</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f</w:t>
            </w:r>
          </w:p>
        </w:tc>
        <w:tc>
          <w:tcPr>
            <w:tcW w:w="6027" w:type="dxa"/>
            <w:gridSpan w:val="3"/>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t>Recognises and adapts appropriately to cultural differences in the workplace, including modes of behaviour and interactions between crew and others</w:t>
            </w:r>
          </w:p>
        </w:tc>
      </w:tr>
    </w:tbl>
    <w:p w:rsidR="00000000" w:rsidRPr="001706F2" w:rsidP="001706F2">
      <w:pPr>
        <w:pStyle w:val="BodyText"/>
      </w:pPr>
    </w:p>
    <w:tbl>
      <w:tblPr>
        <w:tblW w:w="0" w:type="auto"/>
        <w:tblLayout w:type="fixed"/>
        <w:tblCellMar>
          <w:left w:w="62" w:type="dxa"/>
          <w:right w:w="62" w:type="dxa"/>
        </w:tblCellMar>
        <w:tblLook w:val="0000"/>
      </w:tblPr>
      <w:tblGrid>
        <w:gridCol w:w="303"/>
        <w:gridCol w:w="1788"/>
        <w:gridCol w:w="360"/>
        <w:gridCol w:w="357"/>
        <w:gridCol w:w="357"/>
        <w:gridCol w:w="5146"/>
        <w:gridCol w:w="167"/>
        <w:gridCol w:w="15"/>
      </w:tblGrid>
      <w:tr w:rsidTr="00B96B9E">
        <w:tblPrEx>
          <w:tblW w:w="0" w:type="auto"/>
          <w:tblLayout w:type="fixed"/>
          <w:tblCellMar>
            <w:left w:w="62" w:type="dxa"/>
            <w:right w:w="62" w:type="dxa"/>
          </w:tblCellMar>
          <w:tblLook w:val="0000"/>
        </w:tblPrEx>
        <w:trPr>
          <w:gridAfter w:val="2"/>
          <w:wAfter w:w="182" w:type="dxa"/>
          <w:tblHeader/>
        </w:trPr>
        <w:tc>
          <w:tcPr>
            <w:tcW w:w="8311"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706F2" w:rsidP="001706F2">
            <w:pPr>
              <w:pStyle w:val="BodyText"/>
            </w:pPr>
            <w:r w:rsidRPr="001706F2">
              <w:rPr>
                <w:rStyle w:val="SpecialBold"/>
              </w:rPr>
              <w:t>Evidence Guide</w:t>
            </w:r>
            <w:r w:rsidRPr="001706F2">
              <w:t xml:space="preserve"> (</w:t>
            </w:r>
            <w:r w:rsidRPr="001706F2">
              <w:rPr>
                <w:rStyle w:val="SpecialBold"/>
              </w:rPr>
              <w:t>continued</w:t>
            </w:r>
            <w:r w:rsidRPr="001706F2">
              <w:t xml:space="preserve">) </w:t>
            </w:r>
          </w:p>
          <w:p w:rsidR="00000000" w:rsidP="001706F2">
            <w:pPr>
              <w:pStyle w:val="BodyText"/>
              <w:rPr>
                <w:lang w:val="en-NZ"/>
              </w:rPr>
            </w:pPr>
            <w:r w:rsidRPr="001706F2">
              <w:rPr>
                <w:rStyle w:val="SpecialBold"/>
              </w:rPr>
              <w:t>TDMMU407B ENSURE COMPLIANCE WITH POLLUTION PREVENTION MEASURES</w:t>
            </w:r>
          </w:p>
        </w:tc>
      </w:tr>
      <w:tr w:rsidTr="00B96B9E">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1706F2" w:rsidP="001706F2">
            <w:pPr>
              <w:pStyle w:val="BodyText"/>
            </w:pPr>
          </w:p>
          <w:p w:rsidR="00000000" w:rsidRPr="001706F2" w:rsidP="001706F2">
            <w:pPr>
              <w:pStyle w:val="BodyText"/>
            </w:pPr>
            <w:r w:rsidRPr="001706F2">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a</w:t>
            </w:r>
          </w:p>
        </w:tc>
        <w:tc>
          <w:tcPr>
            <w:tcW w:w="6027"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Assessment of competency must comply with the assessment requirements of the relevant maritime regulations</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b</w:t>
            </w:r>
          </w:p>
        </w:tc>
        <w:tc>
          <w:tcPr>
            <w:tcW w:w="6027"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Assessment of this unit must be undertaken within relevant marine authority approved and audited arrangements by a registered training organisation:</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1</w:t>
            </w:r>
          </w:p>
        </w:tc>
        <w:tc>
          <w:tcPr>
            <w:tcW w:w="5670"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As a minimum, assessment of knowledge must be conducted through appropriate written/oral examinations, and</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2</w:t>
            </w:r>
          </w:p>
        </w:tc>
        <w:tc>
          <w:tcPr>
            <w:tcW w:w="5670" w:type="dxa"/>
            <w:gridSpan w:val="3"/>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Appropriate practical assessment must occur:</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i</w:t>
            </w:r>
          </w:p>
        </w:tc>
        <w:tc>
          <w:tcPr>
            <w:tcW w:w="5313"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 xml:space="preserve">at the registered training organisation; and/or </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t>on an appropriate working or training vessel</w:t>
            </w:r>
          </w:p>
        </w:tc>
      </w:tr>
      <w:tr w:rsidTr="00B96B9E">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96B9E">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rPr>
                <w:rStyle w:val="SpecialBold"/>
              </w:rPr>
              <w:t>4</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Access is required to opportunities to:</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a</w:t>
            </w:r>
          </w:p>
        </w:tc>
        <w:tc>
          <w:tcPr>
            <w:tcW w:w="6027"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demonstrate performance in suitably simulated activities aimed at the protection of the marine environment covering an appropriate range of situations experienced on a vessel and/or</w:t>
            </w:r>
          </w:p>
        </w:tc>
      </w:tr>
      <w:tr w:rsidTr="00B96B9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b</w:t>
            </w:r>
          </w:p>
        </w:tc>
        <w:tc>
          <w:tcPr>
            <w:tcW w:w="6027" w:type="dxa"/>
            <w:gridSpan w:val="4"/>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t>contribute to measures to protect the marine environment on a vessel in an appropriate range of situations, weather and loading conditions</w:t>
            </w:r>
          </w:p>
        </w:tc>
      </w:tr>
    </w:tbl>
    <w:p w:rsidR="00000000" w:rsidRPr="001706F2" w:rsidP="001706F2">
      <w:pPr>
        <w:pStyle w:val="BodyText"/>
      </w:pPr>
    </w:p>
    <w:p w:rsidR="00000000" w:rsidRPr="001706F2" w:rsidP="001706F2">
      <w:pPr>
        <w:pStyle w:val="AllowPageBreak"/>
      </w:pPr>
    </w:p>
    <w:p w:rsidR="00000000" w:rsidRPr="001706F2" w:rsidP="001706F2">
      <w:pPr>
        <w:pStyle w:val="Heading1"/>
      </w:pPr>
      <w:bookmarkStart w:id="11" w:name="O_152377"/>
      <w:bookmarkEnd w:id="11"/>
      <w:r w:rsidRPr="001706F2">
        <w:t>Range Statement</w:t>
      </w:r>
    </w:p>
    <w:tbl>
      <w:tblPr>
        <w:tblW w:w="0" w:type="auto"/>
        <w:tblLayout w:type="fixed"/>
        <w:tblCellMar>
          <w:left w:w="62" w:type="dxa"/>
          <w:right w:w="62" w:type="dxa"/>
        </w:tblCellMar>
        <w:tblLook w:val="0000"/>
      </w:tblPr>
      <w:tblGrid>
        <w:gridCol w:w="340"/>
        <w:gridCol w:w="6"/>
        <w:gridCol w:w="1744"/>
        <w:gridCol w:w="357"/>
        <w:gridCol w:w="11"/>
        <w:gridCol w:w="5853"/>
        <w:gridCol w:w="164"/>
        <w:gridCol w:w="18"/>
        <w:gridCol w:w="28"/>
      </w:tblGrid>
      <w:tr w:rsidTr="00B96B9E">
        <w:tblPrEx>
          <w:tblW w:w="0" w:type="auto"/>
          <w:tblLayout w:type="fixed"/>
          <w:tblCellMar>
            <w:left w:w="62" w:type="dxa"/>
            <w:right w:w="62" w:type="dxa"/>
          </w:tblCellMar>
          <w:tblLook w:val="0000"/>
        </w:tblPrEx>
        <w:trPr>
          <w:gridAfter w:val="3"/>
          <w:wAfter w:w="210" w:type="dxa"/>
          <w:tblHeader/>
        </w:trPr>
        <w:tc>
          <w:tcPr>
            <w:tcW w:w="8311"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706F2" w:rsidP="001706F2">
            <w:pPr>
              <w:pStyle w:val="BodyText"/>
            </w:pPr>
            <w:r w:rsidRPr="001706F2">
              <w:rPr>
                <w:rStyle w:val="SpecialBold"/>
              </w:rPr>
              <w:t>Range Statement</w:t>
            </w:r>
          </w:p>
          <w:p w:rsidR="00000000" w:rsidP="001706F2">
            <w:pPr>
              <w:pStyle w:val="BodyText"/>
              <w:rPr>
                <w:lang w:val="en-NZ"/>
              </w:rPr>
            </w:pPr>
            <w:r w:rsidRPr="001706F2">
              <w:rPr>
                <w:rStyle w:val="SpecialBold"/>
              </w:rPr>
              <w:t>TDMMU407B ENSURE COMPLIANCE WITH POLLUTION PREVENTION MEASURES</w:t>
            </w:r>
          </w:p>
        </w:tc>
      </w:tr>
      <w:tr w:rsidTr="00B96B9E">
        <w:tblPrEx>
          <w:tblW w:w="0" w:type="auto"/>
          <w:tblLayout w:type="fixed"/>
          <w:tblCellMar>
            <w:left w:w="62" w:type="dxa"/>
            <w:right w:w="62" w:type="dxa"/>
          </w:tblCellMar>
          <w:tblLook w:val="0000"/>
        </w:tblPrEx>
        <w:tc>
          <w:tcPr>
            <w:tcW w:w="8521" w:type="dxa"/>
            <w:gridSpan w:val="9"/>
            <w:tcBorders>
              <w:top w:val="single" w:sz="6" w:space="0" w:color="auto"/>
              <w:left w:val="nil"/>
              <w:bottom w:val="nil"/>
              <w:right w:val="nil"/>
            </w:tcBorders>
            <w:tcMar>
              <w:top w:w="0" w:type="dxa"/>
              <w:left w:w="62" w:type="dxa"/>
              <w:bottom w:w="0" w:type="dxa"/>
              <w:right w:w="62" w:type="dxa"/>
            </w:tcMar>
          </w:tcPr>
          <w:p w:rsidR="00000000" w:rsidRPr="001706F2" w:rsidP="001706F2">
            <w:pPr>
              <w:pStyle w:val="BodyText"/>
            </w:pPr>
          </w:p>
          <w:p w:rsidR="00000000" w:rsidP="001706F2">
            <w:pPr>
              <w:pStyle w:val="BodyText"/>
              <w:rPr>
                <w:lang w:val="en-NZ"/>
              </w:rPr>
            </w:pPr>
            <w:r w:rsidRPr="001706F2">
              <w:rPr>
                <w:rStyle w:val="Emphasis"/>
              </w:rPr>
              <w:t>The Range Statement relates to the unit of competency as a whole</w:t>
            </w:r>
            <w:r w:rsidRPr="001706F2">
              <w:t xml:space="preserve">. </w:t>
            </w:r>
            <w:r w:rsidRPr="001706F2">
              <w:rPr>
                <w:rStyle w:val="Emphasis"/>
              </w:rPr>
              <w:t>It allows for different work environments and situations that may affect performance</w:t>
            </w:r>
            <w:r w:rsidRPr="001706F2">
              <w:t>.</w:t>
            </w:r>
          </w:p>
        </w:tc>
      </w:tr>
      <w:tr w:rsidTr="00B96B9E">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1706F2" w:rsidP="001706F2">
            <w:pPr>
              <w:pStyle w:val="BodyText"/>
            </w:pPr>
            <w:r w:rsidRPr="001706F2">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rPr>
                <w:rStyle w:val="SpecialBold"/>
              </w:rPr>
              <w:t>SCOPE</w:t>
            </w:r>
          </w:p>
        </w:tc>
      </w:tr>
      <w:tr w:rsidTr="00B96B9E">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rPr>
                <w:rStyle w:val="SpecialBold"/>
              </w:rPr>
              <w:t>1</w:t>
            </w:r>
            <w:r w:rsidRPr="001706F2">
              <w:t>.</w:t>
            </w:r>
            <w:r w:rsidRPr="001706F2">
              <w:tab/>
            </w:r>
            <w:r w:rsidRPr="001706F2">
              <w:rPr>
                <w:rStyle w:val="SpecialBold"/>
              </w:rPr>
              <w:t>GENERAL CONTEXT</w:t>
            </w:r>
          </w:p>
        </w:tc>
      </w:tr>
      <w:tr w:rsidTr="00B96B9E">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96B9E">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706F2" w:rsidP="001706F2">
            <w:pPr>
              <w:pStyle w:val="BodyText"/>
            </w:pPr>
            <w:r w:rsidRPr="001706F2">
              <w:rPr>
                <w:rStyle w:val="SpecialBold"/>
              </w:rPr>
              <w:t>a</w:t>
            </w:r>
            <w:r w:rsidRPr="001706F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Work must be carried out</w:t>
            </w:r>
            <w:r w:rsidRPr="001706F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t>in compliance with the relevant Work must be carried out in compliance with mandatory rules and regulations concerning protection of the marine environment.</w:t>
            </w:r>
          </w:p>
        </w:tc>
      </w:tr>
      <w:tr w:rsidTr="00B96B9E">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96B9E">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706F2" w:rsidP="001706F2">
            <w:pPr>
              <w:pStyle w:val="BodyText"/>
            </w:pPr>
            <w:r w:rsidRPr="001706F2">
              <w:rPr>
                <w:rStyle w:val="SpecialBold"/>
              </w:rPr>
              <w:t>b</w:t>
            </w:r>
            <w:r w:rsidRPr="001706F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Work is performed</w:t>
            </w:r>
            <w:r w:rsidRPr="001706F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t>relatively independently under broad operational requirements, with limited accountability and responsibility for self and others in achieving the prescribed outcomes</w:t>
            </w:r>
          </w:p>
        </w:tc>
      </w:tr>
      <w:tr w:rsidTr="00B96B9E">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96B9E">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706F2" w:rsidP="001706F2">
            <w:pPr>
              <w:pStyle w:val="BodyText"/>
            </w:pPr>
            <w:r w:rsidRPr="001706F2">
              <w:rPr>
                <w:rStyle w:val="SpecialBold"/>
              </w:rPr>
              <w:t>c</w:t>
            </w:r>
            <w:r w:rsidRPr="001706F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Work involves</w:t>
            </w:r>
            <w:r w:rsidRPr="001706F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t>the application of regulations and measures to ensure the protection of the marine environment in a wide variety of operational contexts.</w:t>
            </w:r>
          </w:p>
        </w:tc>
      </w:tr>
      <w:tr w:rsidTr="00B96B9E">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rPr>
                <w:rStyle w:val="SpecialBold"/>
              </w:rPr>
              <w:t>2</w:t>
            </w:r>
            <w:r w:rsidRPr="001706F2">
              <w:t>.</w:t>
            </w:r>
            <w:r w:rsidRPr="001706F2">
              <w:tab/>
            </w:r>
            <w:r w:rsidRPr="001706F2">
              <w:rPr>
                <w:rStyle w:val="SpecialBold"/>
              </w:rPr>
              <w:t>WORKSITE ENVIRONMENT</w:t>
            </w:r>
          </w:p>
        </w:tc>
      </w:tr>
      <w:tr w:rsidTr="00B96B9E">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96B9E">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1706F2" w:rsidP="001706F2">
            <w:pPr>
              <w:pStyle w:val="BodyText"/>
            </w:pPr>
            <w:r w:rsidRPr="001706F2">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Vessel may include</w:t>
            </w:r>
            <w:r w:rsidRPr="001706F2">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t>any Australian or international commercial ocean-going v</w:t>
            </w:r>
            <w:r w:rsidRPr="001706F2">
              <w:t>essel</w:t>
            </w:r>
          </w:p>
        </w:tc>
      </w:tr>
      <w:tr w:rsidTr="00B96B9E">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96B9E">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1706F2" w:rsidP="001706F2">
            <w:pPr>
              <w:pStyle w:val="BodyText"/>
            </w:pPr>
            <w:r w:rsidRPr="001706F2">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Dangers to the marine environment may occur</w:t>
            </w:r>
            <w:r w:rsidRPr="001706F2">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1</w:t>
            </w:r>
          </w:p>
        </w:tc>
        <w:tc>
          <w:tcPr>
            <w:tcW w:w="6046"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by day or night in both normal and emergency situations</w:t>
            </w:r>
          </w:p>
        </w:tc>
      </w:tr>
      <w:tr w:rsidTr="00B96B9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2</w:t>
            </w:r>
          </w:p>
        </w:tc>
        <w:tc>
          <w:tcPr>
            <w:tcW w:w="6046"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 xml:space="preserve">under any possible conditions of sea and weather </w:t>
            </w:r>
          </w:p>
        </w:tc>
      </w:tr>
      <w:tr w:rsidTr="00B96B9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3</w:t>
            </w:r>
          </w:p>
        </w:tc>
        <w:tc>
          <w:tcPr>
            <w:tcW w:w="6046"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while underway</w:t>
            </w:r>
          </w:p>
        </w:tc>
      </w:tr>
      <w:tr w:rsidTr="00B96B9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4</w:t>
            </w:r>
          </w:p>
        </w:tc>
        <w:tc>
          <w:tcPr>
            <w:tcW w:w="6046"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during berthing and unberthing operations</w:t>
            </w:r>
          </w:p>
        </w:tc>
      </w:tr>
      <w:tr w:rsidTr="00B96B9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5</w:t>
            </w:r>
          </w:p>
        </w:tc>
        <w:tc>
          <w:tcPr>
            <w:tcW w:w="6046"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while anchoring or mooring</w:t>
            </w:r>
          </w:p>
        </w:tc>
      </w:tr>
      <w:tr w:rsidTr="00B96B9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6</w:t>
            </w:r>
          </w:p>
        </w:tc>
        <w:tc>
          <w:tcPr>
            <w:tcW w:w="6046"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while moored or at anchor</w:t>
            </w:r>
          </w:p>
        </w:tc>
      </w:tr>
      <w:tr w:rsidTr="00B96B9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7</w:t>
            </w:r>
          </w:p>
        </w:tc>
        <w:tc>
          <w:tcPr>
            <w:tcW w:w="6046"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during loading and unloading operations</w:t>
            </w:r>
          </w:p>
        </w:tc>
      </w:tr>
      <w:tr w:rsidTr="00B96B9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8</w:t>
            </w:r>
          </w:p>
        </w:tc>
        <w:tc>
          <w:tcPr>
            <w:tcW w:w="6046"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during slipping, docking and maintenance operations</w:t>
            </w:r>
          </w:p>
        </w:tc>
      </w:tr>
      <w:tr w:rsidTr="00B96B9E">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96B9E">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Items and equipment</w:t>
            </w:r>
            <w:r w:rsidRPr="001706F2">
              <w:t xml:space="preserve"> </w:t>
            </w:r>
            <w:r w:rsidRPr="001706F2">
              <w:rPr>
                <w:rStyle w:val="SpecialBold"/>
              </w:rPr>
              <w:t>checked as part</w:t>
            </w:r>
            <w:r w:rsidRPr="001706F2">
              <w:t xml:space="preserve"> </w:t>
            </w:r>
            <w:r w:rsidRPr="001706F2">
              <w:rPr>
                <w:rStyle w:val="SpecialBold"/>
              </w:rPr>
              <w:t>of anti-pollution measures include</w:t>
            </w:r>
            <w:r w:rsidRPr="001706F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1</w:t>
            </w:r>
          </w:p>
        </w:tc>
        <w:tc>
          <w:tcPr>
            <w:tcW w:w="6046"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pumps and valves</w:t>
            </w:r>
          </w:p>
        </w:tc>
      </w:tr>
      <w:tr w:rsidTr="00B96B9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2</w:t>
            </w:r>
          </w:p>
        </w:tc>
        <w:tc>
          <w:tcPr>
            <w:tcW w:w="6046"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emission control equipment</w:t>
            </w:r>
          </w:p>
        </w:tc>
      </w:tr>
      <w:tr w:rsidTr="00B96B9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3</w:t>
            </w:r>
          </w:p>
        </w:tc>
        <w:tc>
          <w:tcPr>
            <w:tcW w:w="6046"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fuel management systems</w:t>
            </w:r>
          </w:p>
        </w:tc>
      </w:tr>
      <w:tr w:rsidTr="00B96B9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4</w:t>
            </w:r>
          </w:p>
        </w:tc>
        <w:tc>
          <w:tcPr>
            <w:tcW w:w="6046"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 xml:space="preserve">water management equipment </w:t>
            </w:r>
          </w:p>
        </w:tc>
      </w:tr>
      <w:tr w:rsidTr="00B96B9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5</w:t>
            </w:r>
          </w:p>
        </w:tc>
        <w:tc>
          <w:tcPr>
            <w:tcW w:w="6046" w:type="dxa"/>
            <w:gridSpan w:val="4"/>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t>waste storage and recycling equipment</w:t>
            </w:r>
          </w:p>
        </w:tc>
      </w:tr>
    </w:tbl>
    <w:p w:rsidR="00000000" w:rsidRPr="001706F2" w:rsidP="001706F2">
      <w:pPr>
        <w:pStyle w:val="BodyText"/>
      </w:pPr>
    </w:p>
    <w:tbl>
      <w:tblPr>
        <w:tblW w:w="0" w:type="auto"/>
        <w:tblLayout w:type="fixed"/>
        <w:tblCellMar>
          <w:left w:w="62" w:type="dxa"/>
          <w:right w:w="62" w:type="dxa"/>
        </w:tblCellMar>
        <w:tblLook w:val="0000"/>
      </w:tblPr>
      <w:tblGrid>
        <w:gridCol w:w="346"/>
        <w:gridCol w:w="1744"/>
        <w:gridCol w:w="357"/>
        <w:gridCol w:w="5864"/>
        <w:gridCol w:w="178"/>
        <w:gridCol w:w="28"/>
        <w:gridCol w:w="18"/>
        <w:gridCol w:w="14"/>
      </w:tblGrid>
      <w:tr w:rsidTr="00B96B9E">
        <w:tblPrEx>
          <w:tblW w:w="0" w:type="auto"/>
          <w:tblLayout w:type="fixed"/>
          <w:tblCellMar>
            <w:left w:w="62" w:type="dxa"/>
            <w:right w:w="62" w:type="dxa"/>
          </w:tblCellMar>
          <w:tblLook w:val="0000"/>
        </w:tblPrEx>
        <w:trPr>
          <w:gridAfter w:val="4"/>
          <w:wAfter w:w="238" w:type="dxa"/>
          <w:tblHeader/>
        </w:trPr>
        <w:tc>
          <w:tcPr>
            <w:tcW w:w="8311"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706F2" w:rsidP="001706F2">
            <w:pPr>
              <w:pStyle w:val="BodyText"/>
            </w:pPr>
            <w:r w:rsidRPr="001706F2">
              <w:rPr>
                <w:rStyle w:val="SpecialBold"/>
              </w:rPr>
              <w:t>Range Statement</w:t>
            </w:r>
            <w:r w:rsidRPr="001706F2">
              <w:t xml:space="preserve"> (</w:t>
            </w:r>
            <w:r w:rsidRPr="001706F2">
              <w:rPr>
                <w:rStyle w:val="SpecialBold"/>
              </w:rPr>
              <w:t>continued</w:t>
            </w:r>
            <w:r w:rsidRPr="001706F2">
              <w:t xml:space="preserve">) </w:t>
            </w:r>
          </w:p>
          <w:p w:rsidR="00000000" w:rsidP="001706F2">
            <w:pPr>
              <w:pStyle w:val="BodyText"/>
              <w:rPr>
                <w:lang w:val="en-NZ"/>
              </w:rPr>
            </w:pPr>
            <w:r w:rsidRPr="001706F2">
              <w:rPr>
                <w:rStyle w:val="SpecialBold"/>
              </w:rPr>
              <w:t>TDMMU407B ENSURE COMPLIANCE WITH POLLUTION PREVENTION MEASURES</w:t>
            </w:r>
          </w:p>
        </w:tc>
      </w:tr>
      <w:tr w:rsidTr="00B96B9E">
        <w:tblPrEx>
          <w:tblW w:w="0" w:type="auto"/>
          <w:tblLayout w:type="fixed"/>
          <w:tblCellMar>
            <w:left w:w="62" w:type="dxa"/>
            <w:right w:w="62" w:type="dxa"/>
          </w:tblCellMar>
          <w:tblLook w:val="0000"/>
        </w:tblPrEx>
        <w:trPr>
          <w:gridAfter w:val="2"/>
          <w:wAfter w:w="32"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706F2" w:rsidP="001706F2">
            <w:pPr>
              <w:pStyle w:val="BodyText"/>
            </w:pPr>
          </w:p>
          <w:p w:rsidR="00000000" w:rsidRPr="001706F2" w:rsidP="001706F2">
            <w:pPr>
              <w:pStyle w:val="BodyText"/>
            </w:pPr>
            <w:r w:rsidRPr="001706F2">
              <w:rPr>
                <w:rStyle w:val="SpecialBold"/>
              </w:rPr>
              <w:t>VARIABLE</w:t>
            </w:r>
          </w:p>
        </w:tc>
        <w:tc>
          <w:tcPr>
            <w:tcW w:w="6427"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rPr>
                <w:rStyle w:val="SpecialBold"/>
              </w:rPr>
              <w:t>SCOPE</w:t>
            </w:r>
          </w:p>
        </w:tc>
      </w:tr>
      <w:tr w:rsidTr="00B96B9E">
        <w:tblPrEx>
          <w:tblW w:w="0" w:type="auto"/>
          <w:tblLayout w:type="fixed"/>
          <w:tblCellMar>
            <w:left w:w="62" w:type="dxa"/>
            <w:right w:w="62" w:type="dxa"/>
          </w:tblCellMar>
          <w:tblLook w:val="0000"/>
        </w:tblPrEx>
        <w:trPr>
          <w:gridAfter w:val="3"/>
          <w:wAfter w:w="60" w:type="dxa"/>
        </w:trPr>
        <w:tc>
          <w:tcPr>
            <w:tcW w:w="346" w:type="dxa"/>
            <w:tcBorders>
              <w:top w:val="single" w:sz="6" w:space="0" w:color="auto"/>
              <w:left w:val="nil"/>
              <w:bottom w:val="single" w:sz="6" w:space="0" w:color="auto"/>
              <w:right w:val="nil"/>
            </w:tcBorders>
            <w:tcMar>
              <w:top w:w="0" w:type="dxa"/>
              <w:left w:w="62" w:type="dxa"/>
              <w:bottom w:w="0" w:type="dxa"/>
              <w:right w:w="62" w:type="dxa"/>
            </w:tcMar>
          </w:tcPr>
          <w:p w:rsidR="00000000" w:rsidRPr="001706F2" w:rsidP="001706F2">
            <w:pPr>
              <w:pStyle w:val="BodyText"/>
            </w:pPr>
          </w:p>
          <w:p w:rsidR="00000000" w:rsidP="001706F2">
            <w:pPr>
              <w:pStyle w:val="BodyText"/>
              <w:rPr>
                <w:lang w:val="en-NZ"/>
              </w:rPr>
            </w:pPr>
            <w:r w:rsidRPr="001706F2">
              <w:rPr>
                <w:rStyle w:val="SpecialBold"/>
              </w:rPr>
              <w:t>c</w:t>
            </w:r>
          </w:p>
        </w:tc>
        <w:tc>
          <w:tcPr>
            <w:tcW w:w="1744" w:type="dxa"/>
            <w:tcBorders>
              <w:top w:val="single" w:sz="6" w:space="0" w:color="auto"/>
              <w:left w:val="nil"/>
              <w:bottom w:val="nil"/>
              <w:right w:val="single" w:sz="6" w:space="0" w:color="auto"/>
            </w:tcBorders>
            <w:tcMar>
              <w:top w:w="0" w:type="dxa"/>
              <w:left w:w="62" w:type="dxa"/>
              <w:bottom w:w="0" w:type="dxa"/>
              <w:right w:w="62" w:type="dxa"/>
            </w:tcMar>
          </w:tcPr>
          <w:p w:rsidR="00000000" w:rsidRPr="001706F2" w:rsidP="001706F2">
            <w:pPr>
              <w:pStyle w:val="BodyText"/>
            </w:pPr>
          </w:p>
          <w:p w:rsidR="00000000" w:rsidRPr="001706F2" w:rsidP="001706F2">
            <w:pPr>
              <w:pStyle w:val="BodyText"/>
            </w:pPr>
            <w:r w:rsidRPr="001706F2">
              <w:rPr>
                <w:rStyle w:val="SpecialBold"/>
              </w:rPr>
              <w:t>Items and equipment</w:t>
            </w:r>
            <w:r w:rsidRPr="001706F2">
              <w:t xml:space="preserve"> </w:t>
            </w:r>
            <w:r w:rsidRPr="001706F2">
              <w:rPr>
                <w:rStyle w:val="SpecialBold"/>
              </w:rPr>
              <w:t>checked as part</w:t>
            </w:r>
            <w:r w:rsidRPr="001706F2">
              <w:t xml:space="preserve"> </w:t>
            </w:r>
            <w:r w:rsidRPr="001706F2">
              <w:rPr>
                <w:rStyle w:val="SpecialBold"/>
              </w:rPr>
              <w:t>of anti-pollution measures include</w:t>
            </w:r>
            <w:r w:rsidRPr="001706F2">
              <w:t>:</w:t>
            </w:r>
          </w:p>
          <w:p w:rsidR="00000000" w:rsidP="001706F2">
            <w:pPr>
              <w:pStyle w:val="BodyText"/>
              <w:rPr>
                <w:lang w:val="en-NZ"/>
              </w:rPr>
            </w:pPr>
            <w:r w:rsidRPr="001706F2">
              <w:t>(</w:t>
            </w:r>
            <w:r w:rsidRPr="001706F2">
              <w:rPr>
                <w:rStyle w:val="SpecialBold"/>
              </w:rPr>
              <w:t>continued</w:t>
            </w:r>
            <w:r w:rsidRPr="001706F2">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RPr="001706F2" w:rsidP="001706F2">
            <w:pPr>
              <w:pStyle w:val="BodyText"/>
            </w:pPr>
          </w:p>
          <w:p w:rsidR="00000000" w:rsidP="001706F2">
            <w:pPr>
              <w:pStyle w:val="BodyText"/>
              <w:rPr>
                <w:lang w:val="en-NZ"/>
              </w:rPr>
            </w:pPr>
            <w:r w:rsidRPr="001706F2">
              <w:t>6</w:t>
            </w:r>
          </w:p>
        </w:tc>
        <w:tc>
          <w:tcPr>
            <w:tcW w:w="6042" w:type="dxa"/>
            <w:gridSpan w:val="2"/>
            <w:tcBorders>
              <w:top w:val="nil"/>
              <w:left w:val="nil"/>
              <w:bottom w:val="nil"/>
              <w:right w:val="nil"/>
            </w:tcBorders>
            <w:tcMar>
              <w:top w:w="0" w:type="dxa"/>
              <w:left w:w="62" w:type="dxa"/>
              <w:bottom w:w="0" w:type="dxa"/>
              <w:right w:w="62" w:type="dxa"/>
            </w:tcMar>
          </w:tcPr>
          <w:p w:rsidR="00000000" w:rsidRPr="001706F2" w:rsidP="001706F2">
            <w:pPr>
              <w:pStyle w:val="BodyText"/>
            </w:pPr>
          </w:p>
          <w:p w:rsidR="00000000" w:rsidP="001706F2">
            <w:pPr>
              <w:pStyle w:val="BodyText"/>
              <w:rPr>
                <w:lang w:val="en-NZ"/>
              </w:rPr>
            </w:pPr>
            <w:r w:rsidRPr="001706F2">
              <w:t>ballast management equipment</w:t>
            </w:r>
          </w:p>
        </w:tc>
      </w:tr>
      <w:tr w:rsidTr="00B96B9E">
        <w:tblPrEx>
          <w:tblW w:w="0" w:type="auto"/>
          <w:tblLayout w:type="fixed"/>
          <w:tblCellMar>
            <w:left w:w="62" w:type="dxa"/>
            <w:right w:w="62" w:type="dxa"/>
          </w:tblCellMar>
          <w:tblLook w:val="0000"/>
        </w:tblPrEx>
        <w:trPr>
          <w:gridAfter w:val="3"/>
          <w:wAfter w:w="60"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96B9E">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Preventative measures to protect the marine environment may include</w:t>
            </w:r>
            <w:r w:rsidRPr="001706F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1</w:t>
            </w:r>
          </w:p>
        </w:tc>
        <w:tc>
          <w:tcPr>
            <w:tcW w:w="6042"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prevention of spillages of cargo</w:t>
            </w:r>
          </w:p>
        </w:tc>
      </w:tr>
      <w:tr w:rsidTr="00B96B9E">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2</w:t>
            </w:r>
          </w:p>
        </w:tc>
        <w:tc>
          <w:tcPr>
            <w:tcW w:w="6042"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prevention of spillages of fuel and oil</w:t>
            </w:r>
          </w:p>
        </w:tc>
      </w:tr>
      <w:tr w:rsidTr="00B96B9E">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3</w:t>
            </w:r>
          </w:p>
        </w:tc>
        <w:tc>
          <w:tcPr>
            <w:tcW w:w="6042"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control of polluting emissions of gas and smoke</w:t>
            </w:r>
          </w:p>
        </w:tc>
      </w:tr>
      <w:tr w:rsidTr="00B96B9E">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4</w:t>
            </w:r>
          </w:p>
        </w:tc>
        <w:tc>
          <w:tcPr>
            <w:tcW w:w="6042"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policies and practices to minimise the spread and carriage of marine pests</w:t>
            </w:r>
          </w:p>
        </w:tc>
      </w:tr>
      <w:tr w:rsidTr="00B96B9E">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5</w:t>
            </w:r>
          </w:p>
        </w:tc>
        <w:tc>
          <w:tcPr>
            <w:tcW w:w="6042"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effective management of waste, pollution and recycling processes</w:t>
            </w:r>
          </w:p>
        </w:tc>
      </w:tr>
      <w:tr w:rsidTr="00B96B9E">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6</w:t>
            </w:r>
          </w:p>
        </w:tc>
        <w:tc>
          <w:tcPr>
            <w:tcW w:w="6042"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effective management of ballast operations</w:t>
            </w:r>
          </w:p>
        </w:tc>
      </w:tr>
      <w:tr w:rsidTr="00B96B9E">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7</w:t>
            </w:r>
          </w:p>
        </w:tc>
        <w:tc>
          <w:tcPr>
            <w:tcW w:w="6042"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shipboard housekeeping</w:t>
            </w:r>
          </w:p>
        </w:tc>
      </w:tr>
      <w:tr w:rsidTr="00B96B9E">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8</w:t>
            </w:r>
          </w:p>
        </w:tc>
        <w:tc>
          <w:tcPr>
            <w:tcW w:w="6042"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measures to prevent runoff during slipping operations</w:t>
            </w:r>
          </w:p>
        </w:tc>
      </w:tr>
      <w:tr w:rsidTr="00B96B9E">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9</w:t>
            </w:r>
          </w:p>
        </w:tc>
        <w:tc>
          <w:tcPr>
            <w:tcW w:w="6042" w:type="dxa"/>
            <w:gridSpan w:val="2"/>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pollution control instructions</w:t>
            </w:r>
          </w:p>
        </w:tc>
      </w:tr>
      <w:tr w:rsidTr="00B96B9E">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96B9E">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Documentation and records</w:t>
            </w:r>
            <w:r w:rsidRPr="001706F2">
              <w:t xml:space="preserve"> </w:t>
            </w:r>
            <w:r w:rsidRPr="001706F2">
              <w:rPr>
                <w:rStyle w:val="SpecialBold"/>
              </w:rPr>
              <w:t>may include</w:t>
            </w: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1</w:t>
            </w:r>
          </w:p>
        </w:tc>
        <w:tc>
          <w:tcPr>
            <w:tcW w:w="6088"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operational orders</w:t>
            </w:r>
          </w:p>
        </w:tc>
      </w:tr>
      <w:tr w:rsidTr="00B96B9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2</w:t>
            </w:r>
          </w:p>
        </w:tc>
        <w:tc>
          <w:tcPr>
            <w:tcW w:w="6088"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relevant regulations for the type of vessel involved</w:t>
            </w:r>
          </w:p>
        </w:tc>
      </w:tr>
      <w:tr w:rsidTr="00B96B9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3</w:t>
            </w:r>
          </w:p>
        </w:tc>
        <w:tc>
          <w:tcPr>
            <w:tcW w:w="6088"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company procedures related to the protection of the marine environment</w:t>
            </w:r>
          </w:p>
        </w:tc>
      </w:tr>
      <w:tr w:rsidTr="00B96B9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4</w:t>
            </w:r>
          </w:p>
        </w:tc>
        <w:tc>
          <w:tcPr>
            <w:tcW w:w="6088"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equipment manufacturer's instructions and recommended procedures</w:t>
            </w:r>
          </w:p>
        </w:tc>
      </w:tr>
      <w:tr w:rsidTr="00B96B9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5</w:t>
            </w:r>
          </w:p>
        </w:tc>
        <w:tc>
          <w:tcPr>
            <w:tcW w:w="6088"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instructions of relevant maritime authorities</w:t>
            </w:r>
          </w:p>
        </w:tc>
      </w:tr>
      <w:tr w:rsidTr="00B96B9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6</w:t>
            </w:r>
          </w:p>
        </w:tc>
        <w:tc>
          <w:tcPr>
            <w:tcW w:w="6088"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vessel's log where relevant</w:t>
            </w:r>
          </w:p>
        </w:tc>
      </w:tr>
      <w:tr w:rsidTr="00B96B9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7</w:t>
            </w:r>
          </w:p>
        </w:tc>
        <w:tc>
          <w:tcPr>
            <w:tcW w:w="6088"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 xml:space="preserve">certificates and other documents required by regulations for the protection of the marine environment </w:t>
            </w:r>
          </w:p>
        </w:tc>
      </w:tr>
      <w:tr w:rsidTr="00B96B9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8</w:t>
            </w:r>
          </w:p>
        </w:tc>
        <w:tc>
          <w:tcPr>
            <w:tcW w:w="6088"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relevant standards related to the protection of the marine environment, including guidelines issued under the Austr</w:t>
            </w:r>
            <w:r w:rsidRPr="001706F2">
              <w:t>alian Intergovernment Agreement on a National System for the Prevention and Management of Marine Pest Incursions</w:t>
            </w:r>
          </w:p>
        </w:tc>
      </w:tr>
      <w:tr w:rsidTr="00B96B9E">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96B9E">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Applicable legislation</w:t>
            </w:r>
            <w:r w:rsidRPr="001706F2">
              <w:t xml:space="preserve">, </w:t>
            </w:r>
            <w:r w:rsidRPr="001706F2">
              <w:rPr>
                <w:rStyle w:val="SpecialBold"/>
              </w:rPr>
              <w:t>regulations and codes may include</w:t>
            </w:r>
            <w:r w:rsidRPr="001706F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1</w:t>
            </w:r>
          </w:p>
        </w:tc>
        <w:tc>
          <w:tcPr>
            <w:tcW w:w="6088"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STCW 95 Code as it relates to protection of the marine environment</w:t>
            </w:r>
          </w:p>
        </w:tc>
      </w:tr>
      <w:tr w:rsidTr="00B96B9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2</w:t>
            </w:r>
          </w:p>
        </w:tc>
        <w:tc>
          <w:tcPr>
            <w:tcW w:w="6088" w:type="dxa"/>
            <w:gridSpan w:val="4"/>
            <w:tcBorders>
              <w:top w:val="nil"/>
              <w:left w:val="nil"/>
              <w:bottom w:val="nil"/>
              <w:right w:val="nil"/>
            </w:tcBorders>
            <w:tcMar>
              <w:top w:w="0" w:type="dxa"/>
              <w:left w:w="62" w:type="dxa"/>
              <w:bottom w:w="0" w:type="dxa"/>
              <w:right w:w="62" w:type="dxa"/>
            </w:tcMar>
          </w:tcPr>
          <w:p w:rsidR="00000000" w:rsidP="001706F2">
            <w:pPr>
              <w:pStyle w:val="BodyText"/>
              <w:rPr>
                <w:lang w:val="en-NZ"/>
              </w:rPr>
            </w:pPr>
            <w:r w:rsidRPr="001706F2">
              <w:t>sections of AMSA Marine Orders related to protection of the marine environment</w:t>
            </w:r>
          </w:p>
        </w:tc>
      </w:tr>
      <w:tr w:rsidTr="00B96B9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3</w:t>
            </w:r>
          </w:p>
        </w:tc>
        <w:tc>
          <w:tcPr>
            <w:tcW w:w="6088" w:type="dxa"/>
            <w:gridSpan w:val="4"/>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t>Australian Intergovernment Agreement on a National System for the Prevention and Management of Marine Pest Incursions</w:t>
            </w:r>
          </w:p>
        </w:tc>
      </w:tr>
    </w:tbl>
    <w:p w:rsidR="00000000" w:rsidRPr="001706F2" w:rsidP="001706F2">
      <w:pPr>
        <w:pStyle w:val="BodyText"/>
      </w:pPr>
    </w:p>
    <w:tbl>
      <w:tblPr>
        <w:tblW w:w="0" w:type="auto"/>
        <w:tblLayout w:type="fixed"/>
        <w:tblCellMar>
          <w:left w:w="62" w:type="dxa"/>
          <w:right w:w="62" w:type="dxa"/>
        </w:tblCellMar>
        <w:tblLook w:val="0000"/>
      </w:tblPr>
      <w:tblGrid>
        <w:gridCol w:w="346"/>
        <w:gridCol w:w="1747"/>
        <w:gridCol w:w="350"/>
        <w:gridCol w:w="5868"/>
        <w:gridCol w:w="224"/>
        <w:gridCol w:w="14"/>
      </w:tblGrid>
      <w:tr w:rsidTr="00B96B9E">
        <w:tblPrEx>
          <w:tblW w:w="0" w:type="auto"/>
          <w:tblLayout w:type="fixed"/>
          <w:tblCellMar>
            <w:left w:w="62" w:type="dxa"/>
            <w:right w:w="62" w:type="dxa"/>
          </w:tblCellMar>
          <w:tblLook w:val="0000"/>
        </w:tblPrEx>
        <w:trPr>
          <w:gridAfter w:val="2"/>
          <w:wAfter w:w="238" w:type="dxa"/>
          <w:tblHeader/>
        </w:trPr>
        <w:tc>
          <w:tcPr>
            <w:tcW w:w="8311"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706F2" w:rsidP="001706F2">
            <w:pPr>
              <w:pStyle w:val="BodyText"/>
            </w:pPr>
            <w:r w:rsidRPr="001706F2">
              <w:rPr>
                <w:rStyle w:val="SpecialBold"/>
              </w:rPr>
              <w:t>Range Statement</w:t>
            </w:r>
            <w:r w:rsidRPr="001706F2">
              <w:t xml:space="preserve"> (</w:t>
            </w:r>
            <w:r w:rsidRPr="001706F2">
              <w:rPr>
                <w:rStyle w:val="SpecialBold"/>
              </w:rPr>
              <w:t>continued</w:t>
            </w:r>
            <w:r w:rsidRPr="001706F2">
              <w:t xml:space="preserve">) </w:t>
            </w:r>
          </w:p>
          <w:p w:rsidR="00000000" w:rsidP="001706F2">
            <w:pPr>
              <w:pStyle w:val="BodyText"/>
              <w:rPr>
                <w:lang w:val="en-NZ"/>
              </w:rPr>
            </w:pPr>
            <w:r w:rsidRPr="001706F2">
              <w:rPr>
                <w:rStyle w:val="SpecialBold"/>
              </w:rPr>
              <w:t>TDMMU407B ENSURE COMPLIANCE WITH POLLUTION PREVENTION MEASURES</w:t>
            </w:r>
          </w:p>
        </w:tc>
      </w:tr>
      <w:tr w:rsidTr="00B96B9E">
        <w:tblPrEx>
          <w:tblW w:w="0" w:type="auto"/>
          <w:tblLayout w:type="fixed"/>
          <w:tblCellMar>
            <w:left w:w="62" w:type="dxa"/>
            <w:right w:w="62" w:type="dxa"/>
          </w:tblCellMar>
          <w:tblLook w:val="0000"/>
        </w:tblPrEx>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706F2" w:rsidP="001706F2">
            <w:pPr>
              <w:pStyle w:val="BodyText"/>
            </w:pPr>
          </w:p>
          <w:p w:rsidR="00000000" w:rsidRPr="001706F2" w:rsidP="001706F2">
            <w:pPr>
              <w:pStyle w:val="BodyText"/>
            </w:pPr>
            <w:r w:rsidRPr="001706F2">
              <w:rPr>
                <w:rStyle w:val="SpecialBold"/>
              </w:rPr>
              <w:t>VARIABLE</w:t>
            </w:r>
          </w:p>
        </w:tc>
        <w:tc>
          <w:tcPr>
            <w:tcW w:w="645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1706F2">
            <w:pPr>
              <w:pStyle w:val="BodyText"/>
              <w:rPr>
                <w:lang w:val="en-NZ"/>
              </w:rPr>
            </w:pPr>
            <w:r w:rsidRPr="001706F2">
              <w:rPr>
                <w:rStyle w:val="SpecialBold"/>
              </w:rPr>
              <w:t>SCOPE</w:t>
            </w:r>
          </w:p>
        </w:tc>
      </w:tr>
      <w:tr w:rsidTr="00B96B9E">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706F2" w:rsidP="001706F2">
            <w:pPr>
              <w:pStyle w:val="BodyText"/>
            </w:pPr>
          </w:p>
          <w:p w:rsidR="00000000" w:rsidP="001706F2">
            <w:pPr>
              <w:pStyle w:val="BodyText"/>
              <w:rPr>
                <w:lang w:val="en-NZ"/>
              </w:rPr>
            </w:pPr>
            <w:r w:rsidRPr="001706F2">
              <w:rPr>
                <w:rStyle w:val="SpecialBold"/>
              </w:rPr>
              <w:t>f</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1706F2" w:rsidP="001706F2">
            <w:pPr>
              <w:pStyle w:val="BodyText"/>
            </w:pPr>
          </w:p>
          <w:p w:rsidR="00000000" w:rsidP="001706F2">
            <w:pPr>
              <w:pStyle w:val="BodyText"/>
              <w:rPr>
                <w:lang w:val="en-NZ"/>
              </w:rPr>
            </w:pPr>
            <w:r w:rsidRPr="001706F2">
              <w:rPr>
                <w:rStyle w:val="SpecialBold"/>
              </w:rPr>
              <w:t>Applicable legislation</w:t>
            </w:r>
            <w:r w:rsidRPr="001706F2">
              <w:t xml:space="preserve">, </w:t>
            </w:r>
            <w:r w:rsidRPr="001706F2">
              <w:rPr>
                <w:rStyle w:val="SpecialBold"/>
              </w:rPr>
              <w:t>regulations and codes may include</w:t>
            </w:r>
            <w:r w:rsidRPr="001706F2">
              <w:t>:</w:t>
            </w:r>
          </w:p>
        </w:tc>
        <w:tc>
          <w:tcPr>
            <w:tcW w:w="350" w:type="dxa"/>
            <w:tcBorders>
              <w:top w:val="nil"/>
              <w:left w:val="single" w:sz="6" w:space="0" w:color="auto"/>
              <w:bottom w:val="nil"/>
              <w:right w:val="nil"/>
            </w:tcBorders>
            <w:tcMar>
              <w:top w:w="0" w:type="dxa"/>
              <w:left w:w="62" w:type="dxa"/>
              <w:bottom w:w="0" w:type="dxa"/>
              <w:right w:w="62" w:type="dxa"/>
            </w:tcMar>
          </w:tcPr>
          <w:p w:rsidR="00000000" w:rsidRPr="001706F2" w:rsidP="001706F2">
            <w:pPr>
              <w:pStyle w:val="BodyText"/>
            </w:pPr>
          </w:p>
          <w:p w:rsidR="00000000" w:rsidP="001706F2">
            <w:pPr>
              <w:pStyle w:val="BodyText"/>
              <w:rPr>
                <w:lang w:val="en-NZ"/>
              </w:rPr>
            </w:pPr>
            <w:r w:rsidRPr="001706F2">
              <w:t>4</w:t>
            </w:r>
          </w:p>
        </w:tc>
        <w:tc>
          <w:tcPr>
            <w:tcW w:w="6092" w:type="dxa"/>
            <w:gridSpan w:val="2"/>
            <w:tcBorders>
              <w:top w:val="nil"/>
              <w:left w:val="nil"/>
              <w:bottom w:val="nil"/>
              <w:right w:val="nil"/>
            </w:tcBorders>
            <w:tcMar>
              <w:top w:w="0" w:type="dxa"/>
              <w:left w:w="62" w:type="dxa"/>
              <w:bottom w:w="0" w:type="dxa"/>
              <w:right w:w="62" w:type="dxa"/>
            </w:tcMar>
          </w:tcPr>
          <w:p w:rsidR="00000000" w:rsidRPr="001706F2" w:rsidP="001706F2">
            <w:pPr>
              <w:pStyle w:val="BodyText"/>
            </w:pPr>
          </w:p>
          <w:p w:rsidR="00000000" w:rsidP="001706F2">
            <w:pPr>
              <w:pStyle w:val="BodyText"/>
              <w:rPr>
                <w:lang w:val="en-NZ"/>
              </w:rPr>
            </w:pPr>
            <w:r w:rsidRPr="001706F2">
              <w:t>MARPOL Convention</w:t>
            </w:r>
          </w:p>
        </w:tc>
      </w:tr>
      <w:tr w:rsidTr="00B96B9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1706F2">
            <w:pPr>
              <w:pStyle w:val="BodyText"/>
              <w:rPr>
                <w:lang w:val="en-NZ"/>
              </w:rPr>
            </w:pPr>
            <w:r w:rsidRPr="001706F2">
              <w:t>5</w:t>
            </w:r>
          </w:p>
        </w:tc>
        <w:tc>
          <w:tcPr>
            <w:tcW w:w="6092" w:type="dxa"/>
            <w:gridSpan w:val="2"/>
            <w:tcBorders>
              <w:top w:val="nil"/>
              <w:left w:val="nil"/>
              <w:bottom w:val="nil"/>
              <w:right w:val="nil"/>
            </w:tcBorders>
            <w:tcMar>
              <w:top w:w="0" w:type="dxa"/>
              <w:left w:w="62" w:type="dxa"/>
              <w:bottom w:w="0" w:type="dxa"/>
              <w:right w:w="62" w:type="dxa"/>
            </w:tcMar>
          </w:tcPr>
          <w:p w:rsidR="00000000" w:rsidRPr="001706F2" w:rsidP="001706F2">
            <w:pPr>
              <w:pStyle w:val="BodyText"/>
            </w:pPr>
            <w:r w:rsidRPr="001706F2">
              <w:t>relevant international, Australian and/or State/Territory legislation related to protection of the marine environment, including</w:t>
            </w:r>
          </w:p>
        </w:tc>
      </w:tr>
    </w:tbl>
    <w:p w:rsidR="00000000" w:rsidRPr="001706F2" w:rsidP="001706F2">
      <w:pPr>
        <w:pStyle w:val="BodyText"/>
      </w:pPr>
    </w:p>
    <w:p w:rsidR="00000000" w:rsidRPr="001706F2" w:rsidP="001706F2">
      <w:pPr>
        <w:pStyle w:val="AllowPageBreak"/>
      </w:pPr>
    </w:p>
    <w:p w:rsidR="00000000" w:rsidRPr="001706F2" w:rsidP="001706F2">
      <w:pPr>
        <w:pStyle w:val="Heading1"/>
      </w:pPr>
      <w:bookmarkStart w:id="12" w:name="O_152378"/>
      <w:bookmarkEnd w:id="12"/>
      <w:r w:rsidRPr="001706F2">
        <w:t>Unit Sector(s)</w:t>
      </w:r>
    </w:p>
    <w:p w:rsidR="00000000" w:rsidRPr="001706F2" w:rsidP="001706F2">
      <w:pPr>
        <w:pStyle w:val="BodyText"/>
      </w:pPr>
      <w:r w:rsidRPr="001706F2">
        <w:t>Not applicable.</w:t>
      </w:r>
    </w:p>
    <w:p w:rsidR="00000000" w:rsidRPr="001706F2" w:rsidP="001706F2">
      <w:pPr>
        <w:pStyle w:val="AllowPageBreak"/>
      </w:pPr>
    </w:p>
    <w:p w:rsidR="00000000" w:rsidRPr="001706F2" w:rsidP="001706F2">
      <w:pPr>
        <w:pStyle w:val="Heading1"/>
      </w:pPr>
      <w:bookmarkStart w:id="13" w:name="O_163960"/>
      <w:bookmarkEnd w:id="13"/>
      <w:r w:rsidRPr="001706F2">
        <w:t>Field</w:t>
      </w:r>
    </w:p>
    <w:p w:rsidR="00B96B9E" w:rsidP="001706F2">
      <w:pPr>
        <w:pStyle w:val="BodyText"/>
      </w:pPr>
      <w:r w:rsidRPr="001706F2">
        <w:t>Field</w:t>
      </w:r>
      <w:r w:rsidRPr="001706F2">
        <w:tab/>
        <w:t>U</w:t>
      </w:r>
      <w:r w:rsidRPr="001706F2">
        <w:tab/>
        <w:t>Environment</w:t>
      </w:r>
    </w:p>
    <w:p w:rsidR="00B96B9E" w:rsidP="001706F2">
      <w:pPr>
        <w:pStyle w:val="BodyText"/>
      </w:pPr>
    </w:p>
    <w:p w:rsidR="00000000" w:rsidRPr="001706F2" w:rsidP="001706F2">
      <w:pPr>
        <w:pStyle w:val="Heading1"/>
      </w:pPr>
      <w:bookmarkStart w:id="14" w:name="O_163961"/>
      <w:bookmarkEnd w:id="14"/>
      <w:r w:rsidRPr="001706F2">
        <w:t>Relationship to other units</w:t>
      </w:r>
    </w:p>
    <w:tbl>
      <w:tblPr>
        <w:tblW w:w="0" w:type="auto"/>
        <w:tblLayout w:type="fixed"/>
        <w:tblCellMar>
          <w:left w:w="62" w:type="dxa"/>
          <w:right w:w="62" w:type="dxa"/>
        </w:tblCellMar>
        <w:tblLook w:val="0000"/>
      </w:tblPr>
      <w:tblGrid>
        <w:gridCol w:w="1974"/>
        <w:gridCol w:w="6481"/>
      </w:tblGrid>
      <w:tr w:rsidTr="00B96B9E">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F2">
            <w:pPr>
              <w:pStyle w:val="BodyText"/>
              <w:rPr>
                <w:lang w:val="en-NZ"/>
              </w:rPr>
            </w:pPr>
            <w:r w:rsidRPr="001706F2">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F2" w:rsidP="001706F2">
            <w:pPr>
              <w:pStyle w:val="BodyText"/>
            </w:pPr>
            <w:r w:rsidRPr="001706F2">
              <w:t>The unit must be assessed in conjunction with other units that relate to the functions of the occupation(s) concerned.</w:t>
            </w:r>
          </w:p>
        </w:tc>
      </w:tr>
    </w:tbl>
    <w:p w:rsidR="00000000" w:rsidRPr="001706F2" w:rsidP="001706F2">
      <w:pPr>
        <w:pStyle w:val="BodyText"/>
      </w:pPr>
    </w:p>
    <w:p w:rsidR="00000000" w:rsidRPr="001706F2" w:rsidP="001706F2"/>
    <w:sectPr w:rsidSect="001706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B9E" w:rsidP="00B96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B9E" w:rsidP="001706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96B9E" w:rsidP="001706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96B9E" w:rsidP="001706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B9E" w:rsidP="00B96B9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B9E" w:rsidP="001706F2">
    <w:pPr>
      <w:pStyle w:val="Header"/>
      <w:framePr w:wrap="around"/>
    </w:pPr>
    <w:r>
      <w:fldChar w:fldCharType="begin"/>
    </w:r>
    <w:r>
      <w:instrText xml:space="preserve"> TITLE   \* MERGEFORMAT </w:instrText>
    </w:r>
    <w:r>
      <w:fldChar w:fldCharType="separate"/>
    </w:r>
    <w:r>
      <w:t>TDMMU407B ENSURE COMPLIANCE WITH POLLUTION PREVENTION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6B9E" w:rsidP="001706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6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06F2"/>
    <w:pPr>
      <w:spacing w:before="360" w:after="60"/>
      <w:outlineLvl w:val="0"/>
    </w:pPr>
    <w:rPr>
      <w:sz w:val="32"/>
    </w:rPr>
  </w:style>
  <w:style w:type="paragraph" w:styleId="Heading2">
    <w:name w:val="heading 2"/>
    <w:basedOn w:val="HeadingBase"/>
    <w:next w:val="BodyText"/>
    <w:link w:val="Heading2Char"/>
    <w:qFormat/>
    <w:rsid w:val="001706F2"/>
    <w:pPr>
      <w:keepLines/>
      <w:spacing w:before="240" w:after="120"/>
      <w:outlineLvl w:val="1"/>
    </w:pPr>
    <w:rPr>
      <w:sz w:val="28"/>
      <w:szCs w:val="40"/>
    </w:rPr>
  </w:style>
  <w:style w:type="paragraph" w:styleId="Heading3">
    <w:name w:val="heading 3"/>
    <w:basedOn w:val="HeadingBase"/>
    <w:next w:val="BodyText"/>
    <w:link w:val="Heading3Char"/>
    <w:qFormat/>
    <w:rsid w:val="001706F2"/>
    <w:pPr>
      <w:spacing w:before="180" w:after="120"/>
      <w:outlineLvl w:val="2"/>
    </w:pPr>
    <w:rPr>
      <w:spacing w:val="-10"/>
      <w:kern w:val="32"/>
    </w:rPr>
  </w:style>
  <w:style w:type="paragraph" w:styleId="Heading4">
    <w:name w:val="heading 4"/>
    <w:basedOn w:val="HeadingBase"/>
    <w:next w:val="BodyText"/>
    <w:link w:val="Heading4Char"/>
    <w:qFormat/>
    <w:rsid w:val="001706F2"/>
    <w:pPr>
      <w:spacing w:before="160" w:after="120"/>
      <w:outlineLvl w:val="3"/>
    </w:pPr>
    <w:rPr>
      <w:sz w:val="22"/>
    </w:rPr>
  </w:style>
  <w:style w:type="paragraph" w:styleId="Heading5">
    <w:name w:val="heading 5"/>
    <w:basedOn w:val="HeadingBase"/>
    <w:next w:val="Normal"/>
    <w:link w:val="Heading5Char"/>
    <w:qFormat/>
    <w:rsid w:val="001706F2"/>
    <w:pPr>
      <w:spacing w:before="80"/>
      <w:outlineLvl w:val="4"/>
    </w:pPr>
    <w:rPr>
      <w:color w:val="918585"/>
      <w:sz w:val="20"/>
    </w:rPr>
  </w:style>
  <w:style w:type="paragraph" w:styleId="Heading6">
    <w:name w:val="heading 6"/>
    <w:basedOn w:val="HeadingBase"/>
    <w:next w:val="Normal"/>
    <w:link w:val="Heading6Char"/>
    <w:qFormat/>
    <w:rsid w:val="001706F2"/>
    <w:pPr>
      <w:spacing w:before="60"/>
      <w:outlineLvl w:val="5"/>
    </w:pPr>
    <w:rPr>
      <w:color w:val="918585"/>
      <w:sz w:val="20"/>
    </w:rPr>
  </w:style>
  <w:style w:type="paragraph" w:styleId="Heading7">
    <w:name w:val="heading 7"/>
    <w:basedOn w:val="Normal"/>
    <w:next w:val="Normal"/>
    <w:link w:val="Heading7Char"/>
    <w:qFormat/>
    <w:rsid w:val="001706F2"/>
    <w:pPr>
      <w:ind w:left="720"/>
      <w:outlineLvl w:val="6"/>
    </w:pPr>
    <w:rPr>
      <w:i/>
    </w:rPr>
  </w:style>
  <w:style w:type="paragraph" w:styleId="Heading8">
    <w:name w:val="heading 8"/>
    <w:basedOn w:val="Normal"/>
    <w:next w:val="Normal"/>
    <w:link w:val="Heading8Char"/>
    <w:qFormat/>
    <w:rsid w:val="001706F2"/>
    <w:pPr>
      <w:ind w:left="720"/>
      <w:outlineLvl w:val="7"/>
    </w:pPr>
    <w:rPr>
      <w:i/>
    </w:rPr>
  </w:style>
  <w:style w:type="paragraph" w:styleId="Heading9">
    <w:name w:val="heading 9"/>
    <w:basedOn w:val="Normal"/>
    <w:next w:val="Normal"/>
    <w:link w:val="Heading9Char"/>
    <w:qFormat/>
    <w:rsid w:val="001706F2"/>
    <w:pPr>
      <w:ind w:left="720"/>
      <w:outlineLvl w:val="8"/>
    </w:pPr>
    <w:rPr>
      <w:i/>
    </w:rPr>
  </w:style>
  <w:style w:type="character" w:default="1" w:styleId="DefaultParagraphFont">
    <w:name w:val="Default Paragraph Font"/>
    <w:uiPriority w:val="1"/>
    <w:unhideWhenUsed/>
    <w:rsid w:val="00170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6F2"/>
  </w:style>
  <w:style w:type="character" w:customStyle="1" w:styleId="Heading1Char">
    <w:name w:val="Heading 1 Char"/>
    <w:link w:val="Heading1"/>
    <w:rsid w:val="001706F2"/>
    <w:rPr>
      <w:rFonts w:ascii="Times New Roman" w:eastAsia="Times New Roman" w:hAnsi="Times New Roman" w:cs="Times New Roman"/>
      <w:b/>
      <w:sz w:val="32"/>
      <w:szCs w:val="20"/>
      <w:lang w:eastAsia="en-US"/>
    </w:rPr>
  </w:style>
  <w:style w:type="paragraph" w:styleId="BodyText">
    <w:name w:val="Body Text"/>
    <w:basedOn w:val="Normal"/>
    <w:link w:val="BodyTextChar"/>
    <w:rsid w:val="001706F2"/>
    <w:pPr>
      <w:spacing w:before="120" w:after="120"/>
      <w:contextualSpacing/>
    </w:pPr>
    <w:rPr>
      <w:rFonts w:ascii="Times New Roman" w:hAnsi="Times New Roman"/>
      <w:sz w:val="24"/>
      <w:szCs w:val="22"/>
    </w:rPr>
  </w:style>
  <w:style w:type="character" w:customStyle="1" w:styleId="BodyTextChar">
    <w:name w:val="Body Text Char"/>
    <w:link w:val="BodyText"/>
    <w:rsid w:val="001706F2"/>
    <w:rPr>
      <w:rFonts w:ascii="Times New Roman" w:eastAsia="Times New Roman" w:hAnsi="Times New Roman" w:cs="Times New Roman"/>
      <w:sz w:val="24"/>
      <w:lang w:val="en-US" w:eastAsia="en-US"/>
    </w:rPr>
  </w:style>
  <w:style w:type="paragraph" w:styleId="Footer">
    <w:name w:val="footer"/>
    <w:basedOn w:val="Normal"/>
    <w:link w:val="FooterChar"/>
    <w:rsid w:val="00170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706F2"/>
    <w:rPr>
      <w:rFonts w:ascii="Times New Roman" w:eastAsia="Times New Roman" w:hAnsi="Times New Roman" w:cs="Times New Roman"/>
      <w:sz w:val="16"/>
      <w:lang w:val="en-US" w:eastAsia="en-US"/>
    </w:rPr>
  </w:style>
  <w:style w:type="character" w:customStyle="1" w:styleId="SpecialBold">
    <w:name w:val="Special Bold"/>
    <w:rsid w:val="001706F2"/>
    <w:rPr>
      <w:b/>
      <w:spacing w:val="0"/>
    </w:rPr>
  </w:style>
  <w:style w:type="paragraph" w:styleId="Header">
    <w:name w:val="header"/>
    <w:basedOn w:val="Normal"/>
    <w:link w:val="HeaderChar"/>
    <w:rsid w:val="00170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706F2"/>
    <w:rPr>
      <w:rFonts w:ascii="Times New Roman" w:eastAsia="Times New Roman" w:hAnsi="Times New Roman" w:cs="Times New Roman"/>
      <w:sz w:val="16"/>
      <w:szCs w:val="20"/>
      <w:lang w:val="en-GB" w:eastAsia="en-US"/>
    </w:rPr>
  </w:style>
  <w:style w:type="character" w:styleId="Emphasis">
    <w:name w:val="Emphasis"/>
    <w:qFormat/>
    <w:rsid w:val="001706F2"/>
    <w:rPr>
      <w:i/>
    </w:rPr>
  </w:style>
  <w:style w:type="paragraph" w:customStyle="1" w:styleId="SuperHeading">
    <w:name w:val="SuperHeading"/>
    <w:basedOn w:val="Normal"/>
    <w:rsid w:val="001706F2"/>
    <w:pPr>
      <w:spacing w:before="240" w:after="120"/>
      <w:outlineLvl w:val="0"/>
    </w:pPr>
    <w:rPr>
      <w:rFonts w:ascii="Times New Roman" w:hAnsi="Times New Roman"/>
      <w:b/>
      <w:sz w:val="28"/>
    </w:rPr>
  </w:style>
  <w:style w:type="paragraph" w:customStyle="1" w:styleId="AllowPageBreak">
    <w:name w:val="AllowPageBreak"/>
    <w:rsid w:val="001706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706F2"/>
    <w:rPr>
      <w:rFonts w:ascii="Times New Roman" w:eastAsia="Times New Roman" w:hAnsi="Times New Roman" w:cs="Times New Roman"/>
      <w:b/>
      <w:sz w:val="28"/>
      <w:szCs w:val="40"/>
      <w:lang w:eastAsia="en-US"/>
    </w:rPr>
  </w:style>
  <w:style w:type="character" w:customStyle="1" w:styleId="Heading3Char">
    <w:name w:val="Heading 3 Char"/>
    <w:link w:val="Heading3"/>
    <w:rsid w:val="001706F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706F2"/>
    <w:rPr>
      <w:rFonts w:ascii="Times New Roman" w:eastAsia="Times New Roman" w:hAnsi="Times New Roman" w:cs="Times New Roman"/>
      <w:b/>
      <w:szCs w:val="20"/>
      <w:lang w:eastAsia="en-US"/>
    </w:rPr>
  </w:style>
  <w:style w:type="character" w:customStyle="1" w:styleId="Heading5Char">
    <w:name w:val="Heading 5 Char"/>
    <w:link w:val="Heading5"/>
    <w:rsid w:val="001706F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70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6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06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06F2"/>
    <w:rPr>
      <w:rFonts w:ascii="Courier New" w:eastAsia="Times New Roman" w:hAnsi="Courier New" w:cs="Times New Roman"/>
      <w:i/>
      <w:szCs w:val="20"/>
      <w:lang w:val="en-US" w:eastAsia="en-US"/>
    </w:rPr>
  </w:style>
  <w:style w:type="paragraph" w:customStyle="1" w:styleId="HeadingBase">
    <w:name w:val="Heading Base"/>
    <w:rsid w:val="00170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6F2"/>
    <w:pPr>
      <w:tabs>
        <w:tab w:val="right" w:leader="dot" w:pos="9072"/>
      </w:tabs>
      <w:ind w:left="567"/>
    </w:pPr>
    <w:rPr>
      <w:szCs w:val="22"/>
    </w:rPr>
  </w:style>
  <w:style w:type="paragraph" w:customStyle="1" w:styleId="TOCBase">
    <w:name w:val="TOC Base"/>
    <w:rsid w:val="00170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6F2"/>
    <w:pPr>
      <w:tabs>
        <w:tab w:val="right" w:leader="dot" w:pos="9072"/>
      </w:tabs>
      <w:spacing w:before="40" w:after="40"/>
      <w:ind w:left="284"/>
    </w:pPr>
    <w:rPr>
      <w:rFonts w:ascii="Times New Roman" w:hAnsi="Times New Roman"/>
    </w:rPr>
  </w:style>
  <w:style w:type="paragraph" w:styleId="TOC1">
    <w:name w:val="toc 1"/>
    <w:basedOn w:val="TOCBase"/>
    <w:next w:val="Normal"/>
    <w:rsid w:val="001706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06F2"/>
    <w:pPr>
      <w:spacing w:before="5040"/>
      <w:jc w:val="center"/>
    </w:pPr>
    <w:rPr>
      <w:sz w:val="48"/>
      <w:szCs w:val="72"/>
      <w:lang w:val="en-US"/>
    </w:rPr>
  </w:style>
  <w:style w:type="character" w:customStyle="1" w:styleId="TitleChar">
    <w:name w:val="Title Char"/>
    <w:link w:val="Title"/>
    <w:rsid w:val="00170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6F2"/>
    <w:pPr>
      <w:tabs>
        <w:tab w:val="left" w:pos="3600"/>
        <w:tab w:val="left" w:pos="3958"/>
      </w:tabs>
    </w:pPr>
  </w:style>
  <w:style w:type="paragraph" w:styleId="List">
    <w:name w:val="List"/>
    <w:basedOn w:val="BodyText"/>
    <w:next w:val="BodyText"/>
    <w:rsid w:val="001706F2"/>
    <w:pPr>
      <w:tabs>
        <w:tab w:val="left" w:pos="340"/>
      </w:tabs>
      <w:spacing w:before="60" w:after="60"/>
      <w:ind w:left="340" w:hanging="340"/>
    </w:pPr>
  </w:style>
  <w:style w:type="paragraph" w:styleId="ListBullet">
    <w:name w:val="List Bullet"/>
    <w:basedOn w:val="List"/>
    <w:rsid w:val="001706F2"/>
    <w:pPr>
      <w:numPr>
        <w:numId w:val="11"/>
      </w:numPr>
      <w:tabs>
        <w:tab w:val="clear" w:pos="340"/>
      </w:tabs>
      <w:spacing w:before="40" w:after="40"/>
    </w:pPr>
  </w:style>
  <w:style w:type="paragraph" w:customStyle="1" w:styleId="Note">
    <w:name w:val="Note"/>
    <w:basedOn w:val="BodyText"/>
    <w:rsid w:val="001706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6F2"/>
    <w:pPr>
      <w:framePr w:wrap="auto" w:hAnchor="text" w:y="6049"/>
    </w:pPr>
    <w:rPr>
      <w:color w:val="000000"/>
      <w:sz w:val="40"/>
    </w:rPr>
  </w:style>
  <w:style w:type="paragraph" w:customStyle="1" w:styleId="TOCTitle">
    <w:name w:val="TOCTitle"/>
    <w:basedOn w:val="Heading1"/>
    <w:rsid w:val="001706F2"/>
    <w:pPr>
      <w:spacing w:after="240"/>
      <w:jc w:val="center"/>
      <w:outlineLvl w:val="9"/>
    </w:pPr>
    <w:rPr>
      <w:caps/>
    </w:rPr>
  </w:style>
  <w:style w:type="paragraph" w:customStyle="1" w:styleId="Version">
    <w:name w:val="Version"/>
    <w:rsid w:val="001706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06F2"/>
    <w:pPr>
      <w:numPr>
        <w:numId w:val="12"/>
      </w:numPr>
      <w:tabs>
        <w:tab w:val="clear" w:pos="680"/>
      </w:tabs>
    </w:pPr>
  </w:style>
  <w:style w:type="paragraph" w:styleId="Index1">
    <w:name w:val="index 1"/>
    <w:basedOn w:val="Normal"/>
    <w:next w:val="Normal"/>
    <w:semiHidden/>
    <w:rsid w:val="001706F2"/>
    <w:pPr>
      <w:keepNext w:val="0"/>
      <w:tabs>
        <w:tab w:val="right" w:pos="4176"/>
      </w:tabs>
      <w:ind w:left="198" w:hanging="198"/>
    </w:pPr>
    <w:rPr>
      <w:rFonts w:ascii="Garamond" w:hAnsi="Garamond"/>
    </w:rPr>
  </w:style>
  <w:style w:type="paragraph" w:styleId="IndexHeading">
    <w:name w:val="index heading"/>
    <w:basedOn w:val="Normal"/>
    <w:next w:val="Index1"/>
    <w:semiHidden/>
    <w:rsid w:val="001706F2"/>
    <w:pPr>
      <w:spacing w:before="120" w:after="120"/>
    </w:pPr>
    <w:rPr>
      <w:rFonts w:ascii="Arial" w:hAnsi="Arial"/>
      <w:b/>
      <w:color w:val="918585"/>
      <w:sz w:val="24"/>
    </w:rPr>
  </w:style>
  <w:style w:type="paragraph" w:customStyle="1" w:styleId="Chapter">
    <w:name w:val="Chapter"/>
    <w:basedOn w:val="Normal"/>
    <w:rsid w:val="001706F2"/>
    <w:pPr>
      <w:spacing w:before="240"/>
    </w:pPr>
    <w:rPr>
      <w:rFonts w:ascii="Times New Roman" w:hAnsi="Times New Roman"/>
      <w:smallCaps/>
      <w:spacing w:val="80"/>
      <w:sz w:val="28"/>
    </w:rPr>
  </w:style>
  <w:style w:type="paragraph" w:customStyle="1" w:styleId="InChapter">
    <w:name w:val="InChapter"/>
    <w:basedOn w:val="Heading3"/>
    <w:rsid w:val="001706F2"/>
    <w:pPr>
      <w:spacing w:after="240"/>
      <w:outlineLvl w:val="9"/>
    </w:pPr>
    <w:rPr>
      <w:noProof/>
    </w:rPr>
  </w:style>
  <w:style w:type="paragraph" w:styleId="Index2">
    <w:name w:val="index 2"/>
    <w:basedOn w:val="Normal"/>
    <w:next w:val="Normal"/>
    <w:semiHidden/>
    <w:rsid w:val="001706F2"/>
    <w:pPr>
      <w:tabs>
        <w:tab w:val="right" w:pos="4176"/>
      </w:tabs>
      <w:ind w:left="568" w:hanging="284"/>
    </w:pPr>
    <w:rPr>
      <w:rFonts w:ascii="Garamond" w:hAnsi="Garamond"/>
    </w:rPr>
  </w:style>
  <w:style w:type="paragraph" w:customStyle="1" w:styleId="Byline">
    <w:name w:val="Byline"/>
    <w:rsid w:val="00170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6F2"/>
    <w:pPr>
      <w:tabs>
        <w:tab w:val="clear" w:pos="3600"/>
        <w:tab w:val="clear" w:pos="3958"/>
      </w:tabs>
      <w:jc w:val="right"/>
    </w:pPr>
  </w:style>
  <w:style w:type="paragraph" w:styleId="Caption">
    <w:name w:val="caption"/>
    <w:basedOn w:val="BodyText"/>
    <w:next w:val="Normal"/>
    <w:qFormat/>
    <w:rsid w:val="001706F2"/>
    <w:pPr>
      <w:framePr w:w="2268" w:hSpace="181" w:vSpace="181" w:wrap="around" w:vAnchor="text" w:hAnchor="page" w:x="1135" w:y="285" w:anchorLock="1"/>
    </w:pPr>
    <w:rPr>
      <w:i/>
    </w:rPr>
  </w:style>
  <w:style w:type="paragraph" w:customStyle="1" w:styleId="MiniTOCTitle">
    <w:name w:val="MiniTOCTitle"/>
    <w:basedOn w:val="Heading4"/>
    <w:rsid w:val="001706F2"/>
    <w:pPr>
      <w:spacing w:before="240"/>
      <w:outlineLvl w:val="9"/>
    </w:pPr>
    <w:rPr>
      <w:noProof/>
      <w:sz w:val="24"/>
    </w:rPr>
  </w:style>
  <w:style w:type="paragraph" w:customStyle="1" w:styleId="MiniTOCItem">
    <w:name w:val="MiniTOCItem"/>
    <w:basedOn w:val="ListBullet"/>
    <w:rsid w:val="001706F2"/>
    <w:pPr>
      <w:numPr>
        <w:numId w:val="0"/>
      </w:numPr>
      <w:tabs>
        <w:tab w:val="right" w:leader="dot" w:pos="6521"/>
      </w:tabs>
      <w:spacing w:before="0" w:after="0"/>
    </w:pPr>
  </w:style>
  <w:style w:type="paragraph" w:customStyle="1" w:styleId="TOFTitle">
    <w:name w:val="TOFTitle"/>
    <w:basedOn w:val="TOCTitle"/>
    <w:rsid w:val="001706F2"/>
  </w:style>
  <w:style w:type="paragraph" w:styleId="TableofFigures">
    <w:name w:val="table of figures"/>
    <w:basedOn w:val="Normal"/>
    <w:next w:val="Normal"/>
    <w:semiHidden/>
    <w:rsid w:val="001706F2"/>
    <w:pPr>
      <w:tabs>
        <w:tab w:val="right" w:leader="dot" w:pos="9072"/>
      </w:tabs>
      <w:ind w:left="970" w:hanging="403"/>
    </w:pPr>
    <w:rPr>
      <w:rFonts w:ascii="Times New Roman" w:hAnsi="Times New Roman"/>
      <w:b/>
    </w:rPr>
  </w:style>
  <w:style w:type="paragraph" w:styleId="ListNumber">
    <w:name w:val="List Number"/>
    <w:basedOn w:val="List"/>
    <w:rsid w:val="001706F2"/>
    <w:pPr>
      <w:numPr>
        <w:numId w:val="9"/>
      </w:numPr>
    </w:pPr>
  </w:style>
  <w:style w:type="character" w:customStyle="1" w:styleId="WingdingSymbols">
    <w:name w:val="Wingding Symbols"/>
    <w:rsid w:val="001706F2"/>
    <w:rPr>
      <w:rFonts w:ascii="Wingdings" w:hAnsi="Wingdings"/>
    </w:rPr>
  </w:style>
  <w:style w:type="paragraph" w:customStyle="1" w:styleId="TableHeading">
    <w:name w:val="Table Heading"/>
    <w:basedOn w:val="HeadingBase"/>
    <w:rsid w:val="001706F2"/>
    <w:pPr>
      <w:keepLines/>
      <w:pBdr>
        <w:bottom w:val="single" w:sz="6" w:space="1" w:color="918585"/>
      </w:pBdr>
      <w:spacing w:before="240"/>
    </w:pPr>
  </w:style>
  <w:style w:type="character" w:customStyle="1" w:styleId="HotSpot">
    <w:name w:val="HotSpot"/>
    <w:rsid w:val="001706F2"/>
    <w:rPr>
      <w:color w:val="0033CC"/>
      <w:u w:val="none"/>
    </w:rPr>
  </w:style>
  <w:style w:type="paragraph" w:customStyle="1" w:styleId="BodyTextRight">
    <w:name w:val="Body Text Right"/>
    <w:basedOn w:val="BodyText"/>
    <w:rsid w:val="001706F2"/>
    <w:pPr>
      <w:spacing w:before="0" w:after="0"/>
      <w:jc w:val="right"/>
    </w:pPr>
  </w:style>
  <w:style w:type="paragraph" w:styleId="Index3">
    <w:name w:val="index 3"/>
    <w:basedOn w:val="ListNumber2"/>
    <w:next w:val="Normal"/>
    <w:semiHidden/>
    <w:rsid w:val="001706F2"/>
    <w:pPr>
      <w:numPr>
        <w:numId w:val="0"/>
      </w:numPr>
      <w:tabs>
        <w:tab w:val="right" w:leader="dot" w:pos="4176"/>
      </w:tabs>
    </w:pPr>
  </w:style>
  <w:style w:type="paragraph" w:styleId="ListNumber2">
    <w:name w:val="List Number 2"/>
    <w:basedOn w:val="List2"/>
    <w:rsid w:val="001706F2"/>
    <w:pPr>
      <w:numPr>
        <w:numId w:val="8"/>
      </w:numPr>
      <w:tabs>
        <w:tab w:val="clear" w:pos="1060"/>
      </w:tabs>
    </w:pPr>
  </w:style>
  <w:style w:type="paragraph" w:customStyle="1" w:styleId="MarginNote">
    <w:name w:val="Margin Note"/>
    <w:basedOn w:val="BodyText"/>
    <w:rsid w:val="00170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706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06F2"/>
    <w:rPr>
      <w:sz w:val="32"/>
    </w:rPr>
  </w:style>
  <w:style w:type="paragraph" w:customStyle="1" w:styleId="HeadingProcedure">
    <w:name w:val="Heading Procedure"/>
    <w:basedOn w:val="HeadingBase"/>
    <w:next w:val="Normal"/>
    <w:rsid w:val="001706F2"/>
    <w:pPr>
      <w:tabs>
        <w:tab w:val="left" w:pos="0"/>
      </w:tabs>
      <w:spacing w:before="120" w:after="60"/>
    </w:pPr>
    <w:rPr>
      <w:i/>
      <w:color w:val="918585"/>
      <w:sz w:val="22"/>
    </w:rPr>
  </w:style>
  <w:style w:type="paragraph" w:customStyle="1" w:styleId="TableBodyText">
    <w:name w:val="Table Body Text"/>
    <w:basedOn w:val="BodyText"/>
    <w:rsid w:val="001706F2"/>
    <w:pPr>
      <w:spacing w:before="60" w:after="60"/>
    </w:pPr>
  </w:style>
  <w:style w:type="paragraph" w:styleId="ListContinue">
    <w:name w:val="List Continue"/>
    <w:basedOn w:val="List"/>
    <w:rsid w:val="001706F2"/>
    <w:pPr>
      <w:ind w:firstLine="0"/>
    </w:pPr>
  </w:style>
  <w:style w:type="paragraph" w:customStyle="1" w:styleId="ListNote">
    <w:name w:val="List Note"/>
    <w:basedOn w:val="List"/>
    <w:rsid w:val="001706F2"/>
    <w:pPr>
      <w:pBdr>
        <w:top w:val="single" w:sz="6" w:space="2" w:color="918585"/>
        <w:bottom w:val="single" w:sz="6" w:space="2" w:color="918585"/>
      </w:pBdr>
      <w:tabs>
        <w:tab w:val="left" w:pos="1021"/>
      </w:tabs>
      <w:ind w:firstLine="0"/>
    </w:pPr>
  </w:style>
  <w:style w:type="paragraph" w:customStyle="1" w:styleId="Warning">
    <w:name w:val="Warning"/>
    <w:basedOn w:val="BodyText"/>
    <w:rsid w:val="001706F2"/>
    <w:pPr>
      <w:shd w:val="clear" w:color="auto" w:fill="D9D9D9"/>
      <w:tabs>
        <w:tab w:val="left" w:pos="992"/>
      </w:tabs>
      <w:ind w:left="119" w:right="119"/>
    </w:pPr>
    <w:rPr>
      <w:sz w:val="20"/>
    </w:rPr>
  </w:style>
  <w:style w:type="paragraph" w:customStyle="1" w:styleId="MarginIcons">
    <w:name w:val="Margin Icons"/>
    <w:basedOn w:val="BodyText"/>
    <w:rsid w:val="001706F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706F2"/>
    <w:rPr>
      <w:rFonts w:ascii="Courier New" w:hAnsi="Courier New"/>
    </w:rPr>
  </w:style>
  <w:style w:type="paragraph" w:customStyle="1" w:styleId="NoteBullet">
    <w:name w:val="Note Bullet"/>
    <w:basedOn w:val="Note"/>
    <w:rsid w:val="001706F2"/>
    <w:pPr>
      <w:tabs>
        <w:tab w:val="clear" w:pos="680"/>
      </w:tabs>
      <w:spacing w:before="60" w:after="60"/>
    </w:pPr>
  </w:style>
  <w:style w:type="paragraph" w:customStyle="1" w:styleId="SubHeading2">
    <w:name w:val="SubHeading2"/>
    <w:basedOn w:val="HeadingBase"/>
    <w:rsid w:val="001706F2"/>
    <w:pPr>
      <w:spacing w:before="240" w:after="60"/>
    </w:pPr>
    <w:rPr>
      <w:sz w:val="20"/>
    </w:rPr>
  </w:style>
  <w:style w:type="paragraph" w:customStyle="1" w:styleId="SubHeading1">
    <w:name w:val="SubHeading1"/>
    <w:basedOn w:val="HeadingBase"/>
    <w:rsid w:val="001706F2"/>
    <w:pPr>
      <w:spacing w:before="240" w:after="60"/>
    </w:pPr>
    <w:rPr>
      <w:color w:val="918585"/>
      <w:sz w:val="22"/>
    </w:rPr>
  </w:style>
  <w:style w:type="paragraph" w:customStyle="1" w:styleId="SideHeading">
    <w:name w:val="Side Heading"/>
    <w:basedOn w:val="HeadingBase"/>
    <w:rsid w:val="00170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6F2"/>
    <w:pPr>
      <w:numPr>
        <w:numId w:val="10"/>
      </w:numPr>
    </w:pPr>
  </w:style>
  <w:style w:type="paragraph" w:styleId="PlainText">
    <w:name w:val="Plain Text"/>
    <w:basedOn w:val="Normal"/>
    <w:link w:val="PlainTextChar"/>
    <w:rsid w:val="001706F2"/>
    <w:rPr>
      <w:sz w:val="20"/>
    </w:rPr>
  </w:style>
  <w:style w:type="character" w:customStyle="1" w:styleId="PlainTextChar">
    <w:name w:val="Plain Text Char"/>
    <w:basedOn w:val="DefaultParagraphFont"/>
    <w:link w:val="PlainText"/>
    <w:rsid w:val="001706F2"/>
    <w:rPr>
      <w:rFonts w:ascii="Courier New" w:eastAsia="Times New Roman" w:hAnsi="Courier New" w:cs="Times New Roman"/>
      <w:sz w:val="20"/>
      <w:szCs w:val="20"/>
      <w:lang w:val="en-US" w:eastAsia="en-US"/>
    </w:rPr>
  </w:style>
  <w:style w:type="character" w:customStyle="1" w:styleId="MenuOption">
    <w:name w:val="Menu Option"/>
    <w:rsid w:val="001706F2"/>
    <w:rPr>
      <w:b/>
      <w:smallCaps/>
    </w:rPr>
  </w:style>
  <w:style w:type="paragraph" w:customStyle="1" w:styleId="TableListNumber">
    <w:name w:val="Table List Number"/>
    <w:basedOn w:val="ListNumber"/>
    <w:rsid w:val="001706F2"/>
    <w:pPr>
      <w:numPr>
        <w:numId w:val="0"/>
      </w:numPr>
    </w:pPr>
  </w:style>
  <w:style w:type="paragraph" w:styleId="TOC4">
    <w:name w:val="toc 4"/>
    <w:basedOn w:val="TOCBase"/>
    <w:next w:val="Normal"/>
    <w:semiHidden/>
    <w:rsid w:val="001706F2"/>
    <w:pPr>
      <w:tabs>
        <w:tab w:val="right" w:leader="dot" w:pos="9071"/>
      </w:tabs>
      <w:ind w:left="1701"/>
    </w:pPr>
  </w:style>
  <w:style w:type="paragraph" w:customStyle="1" w:styleId="ListAlpha">
    <w:name w:val="List Alpha"/>
    <w:basedOn w:val="List"/>
    <w:rsid w:val="001706F2"/>
    <w:pPr>
      <w:numPr>
        <w:numId w:val="7"/>
      </w:numPr>
    </w:pPr>
  </w:style>
  <w:style w:type="paragraph" w:customStyle="1" w:styleId="ListAlpha2">
    <w:name w:val="List Alpha 2"/>
    <w:basedOn w:val="List2"/>
    <w:rsid w:val="001706F2"/>
    <w:pPr>
      <w:numPr>
        <w:numId w:val="6"/>
      </w:numPr>
    </w:pPr>
  </w:style>
  <w:style w:type="paragraph" w:styleId="List2">
    <w:name w:val="List 2"/>
    <w:basedOn w:val="BodyText"/>
    <w:rsid w:val="001706F2"/>
    <w:pPr>
      <w:tabs>
        <w:tab w:val="left" w:pos="680"/>
      </w:tabs>
      <w:spacing w:before="60" w:after="60"/>
      <w:ind w:left="680" w:hanging="340"/>
    </w:pPr>
  </w:style>
  <w:style w:type="paragraph" w:styleId="List3">
    <w:name w:val="List 3"/>
    <w:basedOn w:val="BodyText"/>
    <w:rsid w:val="001706F2"/>
    <w:pPr>
      <w:tabs>
        <w:tab w:val="left" w:pos="1021"/>
      </w:tabs>
      <w:spacing w:before="60" w:after="60"/>
      <w:ind w:left="1020" w:hanging="340"/>
    </w:pPr>
  </w:style>
  <w:style w:type="paragraph" w:styleId="List4">
    <w:name w:val="List 4"/>
    <w:basedOn w:val="BodyText"/>
    <w:rsid w:val="001706F2"/>
    <w:pPr>
      <w:tabs>
        <w:tab w:val="left" w:pos="1361"/>
      </w:tabs>
      <w:spacing w:before="60" w:after="60"/>
      <w:ind w:left="1361" w:hanging="340"/>
    </w:pPr>
  </w:style>
  <w:style w:type="paragraph" w:styleId="List5">
    <w:name w:val="List 5"/>
    <w:basedOn w:val="BodyText"/>
    <w:rsid w:val="001706F2"/>
    <w:pPr>
      <w:tabs>
        <w:tab w:val="left" w:pos="1701"/>
      </w:tabs>
      <w:spacing w:before="60" w:after="60"/>
      <w:ind w:left="1701" w:hanging="340"/>
    </w:pPr>
  </w:style>
  <w:style w:type="paragraph" w:styleId="ListBullet3">
    <w:name w:val="List Bullet 3"/>
    <w:basedOn w:val="List3"/>
    <w:rsid w:val="001706F2"/>
    <w:pPr>
      <w:numPr>
        <w:numId w:val="13"/>
      </w:numPr>
      <w:tabs>
        <w:tab w:val="clear" w:pos="1021"/>
      </w:tabs>
      <w:ind w:left="1037" w:hanging="357"/>
    </w:pPr>
  </w:style>
  <w:style w:type="paragraph" w:styleId="ListBullet4">
    <w:name w:val="List Bullet 4"/>
    <w:basedOn w:val="List4"/>
    <w:rsid w:val="001706F2"/>
    <w:pPr>
      <w:numPr>
        <w:numId w:val="1"/>
      </w:numPr>
    </w:pPr>
  </w:style>
  <w:style w:type="paragraph" w:styleId="ListBullet5">
    <w:name w:val="List Bullet 5"/>
    <w:basedOn w:val="List5"/>
    <w:rsid w:val="001706F2"/>
    <w:pPr>
      <w:numPr>
        <w:numId w:val="2"/>
      </w:numPr>
    </w:pPr>
  </w:style>
  <w:style w:type="paragraph" w:styleId="ListContinue2">
    <w:name w:val="List Continue 2"/>
    <w:basedOn w:val="List2"/>
    <w:rsid w:val="001706F2"/>
    <w:pPr>
      <w:ind w:firstLine="0"/>
    </w:pPr>
  </w:style>
  <w:style w:type="paragraph" w:styleId="ListContinue3">
    <w:name w:val="List Continue 3"/>
    <w:basedOn w:val="List3"/>
    <w:rsid w:val="001706F2"/>
    <w:pPr>
      <w:ind w:left="1021" w:firstLine="0"/>
    </w:pPr>
  </w:style>
  <w:style w:type="paragraph" w:styleId="ListContinue4">
    <w:name w:val="List Continue 4"/>
    <w:basedOn w:val="List4"/>
    <w:rsid w:val="001706F2"/>
    <w:pPr>
      <w:ind w:firstLine="0"/>
    </w:pPr>
  </w:style>
  <w:style w:type="paragraph" w:styleId="ListContinue5">
    <w:name w:val="List Continue 5"/>
    <w:basedOn w:val="List5"/>
    <w:rsid w:val="001706F2"/>
    <w:pPr>
      <w:ind w:firstLine="0"/>
    </w:pPr>
  </w:style>
  <w:style w:type="paragraph" w:styleId="ListNumber3">
    <w:name w:val="List Number 3"/>
    <w:basedOn w:val="List3"/>
    <w:rsid w:val="001706F2"/>
    <w:pPr>
      <w:numPr>
        <w:numId w:val="3"/>
      </w:numPr>
    </w:pPr>
  </w:style>
  <w:style w:type="paragraph" w:styleId="ListNumber4">
    <w:name w:val="List Number 4"/>
    <w:basedOn w:val="List4"/>
    <w:rsid w:val="001706F2"/>
    <w:pPr>
      <w:numPr>
        <w:numId w:val="4"/>
      </w:numPr>
    </w:pPr>
  </w:style>
  <w:style w:type="paragraph" w:styleId="ListNumber5">
    <w:name w:val="List Number 5"/>
    <w:basedOn w:val="List5"/>
    <w:rsid w:val="001706F2"/>
    <w:pPr>
      <w:numPr>
        <w:numId w:val="5"/>
      </w:numPr>
    </w:pPr>
  </w:style>
  <w:style w:type="paragraph" w:styleId="BlockText">
    <w:name w:val="Block Text"/>
    <w:basedOn w:val="Normal"/>
    <w:rsid w:val="001706F2"/>
    <w:pPr>
      <w:spacing w:after="120"/>
      <w:ind w:left="1440" w:right="1440"/>
    </w:pPr>
  </w:style>
  <w:style w:type="character" w:customStyle="1" w:styleId="Subscript">
    <w:name w:val="Subscript"/>
    <w:rsid w:val="001706F2"/>
    <w:rPr>
      <w:sz w:val="16"/>
      <w:vertAlign w:val="subscript"/>
    </w:rPr>
  </w:style>
  <w:style w:type="character" w:customStyle="1" w:styleId="Superscript">
    <w:name w:val="Superscript"/>
    <w:rsid w:val="001706F2"/>
    <w:rPr>
      <w:sz w:val="16"/>
      <w:vertAlign w:val="superscript"/>
    </w:rPr>
  </w:style>
  <w:style w:type="character" w:customStyle="1" w:styleId="Symbols">
    <w:name w:val="Symbols"/>
    <w:rsid w:val="001706F2"/>
    <w:rPr>
      <w:rFonts w:ascii="Symbol" w:hAnsi="Symbol"/>
    </w:rPr>
  </w:style>
  <w:style w:type="character" w:customStyle="1" w:styleId="MenuOptions">
    <w:name w:val="Menu Options"/>
    <w:rsid w:val="001706F2"/>
    <w:rPr>
      <w:rFonts w:ascii="Arial Narrow" w:hAnsi="Arial Narrow"/>
      <w:smallCaps/>
    </w:rPr>
  </w:style>
  <w:style w:type="character" w:customStyle="1" w:styleId="Buttons">
    <w:name w:val="Buttons"/>
    <w:rsid w:val="001706F2"/>
    <w:rPr>
      <w:b/>
    </w:rPr>
  </w:style>
  <w:style w:type="character" w:customStyle="1" w:styleId="Underlined">
    <w:name w:val="Underlined"/>
    <w:rsid w:val="001706F2"/>
    <w:rPr>
      <w:u w:val="single"/>
    </w:rPr>
  </w:style>
  <w:style w:type="paragraph" w:customStyle="1" w:styleId="TableBodyTextRight">
    <w:name w:val="Table Body Text Right"/>
    <w:basedOn w:val="TableBodyText"/>
    <w:rsid w:val="001706F2"/>
    <w:pPr>
      <w:widowControl w:val="0"/>
      <w:autoSpaceDE w:val="0"/>
      <w:autoSpaceDN w:val="0"/>
      <w:adjustRightInd w:val="0"/>
      <w:jc w:val="right"/>
    </w:pPr>
    <w:rPr>
      <w:rFonts w:cs="Arial"/>
      <w:szCs w:val="18"/>
    </w:rPr>
  </w:style>
  <w:style w:type="paragraph" w:customStyle="1" w:styleId="CopyrightText">
    <w:name w:val="Copyright Text"/>
    <w:basedOn w:val="BodyText"/>
    <w:rsid w:val="001706F2"/>
    <w:rPr>
      <w:sz w:val="18"/>
    </w:rPr>
  </w:style>
  <w:style w:type="paragraph" w:customStyle="1" w:styleId="BodySmallRight">
    <w:name w:val="Body Small Right"/>
    <w:basedOn w:val="BodyTextRight"/>
    <w:rsid w:val="001706F2"/>
    <w:rPr>
      <w:sz w:val="18"/>
      <w:szCs w:val="18"/>
    </w:rPr>
  </w:style>
  <w:style w:type="paragraph" w:customStyle="1" w:styleId="MarginEdition">
    <w:name w:val="Margin Edition"/>
    <w:basedOn w:val="MarginNote"/>
    <w:rsid w:val="001706F2"/>
    <w:pPr>
      <w:spacing w:before="0" w:after="0"/>
    </w:pPr>
    <w:rPr>
      <w:rFonts w:ascii="Times New Roman" w:hAnsi="Times New Roman"/>
      <w:color w:val="999999"/>
    </w:rPr>
  </w:style>
  <w:style w:type="paragraph" w:customStyle="1" w:styleId="Spacer">
    <w:name w:val="Spacer"/>
    <w:basedOn w:val="Normal"/>
    <w:rsid w:val="001706F2"/>
    <w:rPr>
      <w:sz w:val="2"/>
      <w:szCs w:val="2"/>
    </w:rPr>
  </w:style>
  <w:style w:type="character" w:customStyle="1" w:styleId="Small">
    <w:name w:val="Small"/>
    <w:rsid w:val="001706F2"/>
    <w:rPr>
      <w:sz w:val="16"/>
    </w:rPr>
  </w:style>
  <w:style w:type="paragraph" w:customStyle="1" w:styleId="WideTable">
    <w:name w:val="Wide Table"/>
    <w:basedOn w:val="Normal"/>
    <w:rsid w:val="001706F2"/>
    <w:pPr>
      <w:ind w:left="-1418"/>
    </w:pPr>
    <w:rPr>
      <w:sz w:val="2"/>
      <w:szCs w:val="2"/>
    </w:rPr>
  </w:style>
  <w:style w:type="character" w:styleId="PageNumber">
    <w:name w:val="page number"/>
    <w:rsid w:val="001706F2"/>
  </w:style>
  <w:style w:type="paragraph" w:styleId="Quote">
    <w:name w:val="Quote"/>
    <w:basedOn w:val="Heading1"/>
    <w:link w:val="QuoteChar"/>
    <w:qFormat/>
    <w:rsid w:val="001706F2"/>
    <w:rPr>
      <w:b w:val="0"/>
      <w:sz w:val="72"/>
      <w:szCs w:val="72"/>
      <w:lang w:val="en-NZ"/>
    </w:rPr>
  </w:style>
  <w:style w:type="character" w:customStyle="1" w:styleId="QuoteChar">
    <w:name w:val="Quote Char"/>
    <w:link w:val="Quote"/>
    <w:rsid w:val="00170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6F2"/>
    <w:pPr>
      <w:pageBreakBefore/>
    </w:pPr>
  </w:style>
  <w:style w:type="paragraph" w:customStyle="1" w:styleId="Border">
    <w:name w:val="Border"/>
    <w:basedOn w:val="Normal"/>
    <w:qFormat/>
    <w:rsid w:val="001706F2"/>
    <w:pPr>
      <w:pBdr>
        <w:top w:val="single" w:sz="18" w:space="1" w:color="auto"/>
      </w:pBdr>
    </w:pPr>
    <w:rPr>
      <w:rFonts w:ascii="Times New Roman" w:hAnsi="Times New Roman"/>
      <w:color w:val="FFFFFF"/>
      <w:sz w:val="2"/>
    </w:rPr>
  </w:style>
  <w:style w:type="character" w:styleId="IntenseEmphasis">
    <w:name w:val="Intense Emphasis"/>
    <w:uiPriority w:val="21"/>
    <w:qFormat/>
    <w:rsid w:val="001706F2"/>
    <w:rPr>
      <w:b/>
      <w:bCs/>
      <w:i/>
      <w:iCs/>
      <w:color w:val="auto"/>
    </w:rPr>
  </w:style>
  <w:style w:type="paragraph" w:styleId="IntenseQuote">
    <w:name w:val="Intense Quote"/>
    <w:basedOn w:val="Normal"/>
    <w:next w:val="Normal"/>
    <w:link w:val="IntenseQuoteChar"/>
    <w:uiPriority w:val="30"/>
    <w:qFormat/>
    <w:rsid w:val="001706F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706F2"/>
    <w:rPr>
      <w:rFonts w:ascii="Courier New" w:eastAsia="Times New Roman" w:hAnsi="Courier New" w:cs="Times New Roman"/>
      <w:b/>
      <w:bCs/>
      <w:i/>
      <w:iCs/>
      <w:szCs w:val="20"/>
      <w:lang w:val="en-US" w:eastAsia="en-US"/>
    </w:rPr>
  </w:style>
  <w:style w:type="character" w:styleId="SubtleReference">
    <w:name w:val="Subtle Reference"/>
    <w:uiPriority w:val="31"/>
    <w:qFormat/>
    <w:rsid w:val="001706F2"/>
    <w:rPr>
      <w:smallCaps/>
      <w:color w:val="auto"/>
      <w:u w:val="single"/>
    </w:rPr>
  </w:style>
  <w:style w:type="character" w:styleId="IntenseReference">
    <w:name w:val="Intense Reference"/>
    <w:uiPriority w:val="32"/>
    <w:qFormat/>
    <w:rsid w:val="001706F2"/>
    <w:rPr>
      <w:b/>
      <w:bCs/>
      <w:smallCaps/>
      <w:color w:val="auto"/>
      <w:spacing w:val="5"/>
      <w:u w:val="single"/>
    </w:rPr>
  </w:style>
  <w:style w:type="paragraph" w:customStyle="1" w:styleId="2ColumnHeading">
    <w:name w:val="2Column Heading"/>
    <w:basedOn w:val="BodyText"/>
    <w:qFormat/>
    <w:rsid w:val="001706F2"/>
    <w:pPr>
      <w:spacing w:after="60"/>
      <w:ind w:left="-2268"/>
    </w:pPr>
    <w:rPr>
      <w:b/>
    </w:rPr>
  </w:style>
  <w:style w:type="paragraph" w:customStyle="1" w:styleId="Heading1TOC">
    <w:name w:val="Heading1 TOC"/>
    <w:basedOn w:val="Normal"/>
    <w:qFormat/>
    <w:rsid w:val="001706F2"/>
    <w:pPr>
      <w:spacing w:before="240" w:after="120"/>
    </w:pPr>
    <w:rPr>
      <w:rFonts w:ascii="Times New Roman" w:hAnsi="Times New Roman"/>
      <w:b/>
      <w:sz w:val="32"/>
    </w:rPr>
  </w:style>
  <w:style w:type="paragraph" w:customStyle="1" w:styleId="Heading2TOC">
    <w:name w:val="Heading2 TOC"/>
    <w:basedOn w:val="Normal"/>
    <w:qFormat/>
    <w:rsid w:val="001706F2"/>
    <w:pPr>
      <w:spacing w:before="240" w:after="60"/>
    </w:pPr>
    <w:rPr>
      <w:rFonts w:ascii="Times New Roman" w:hAnsi="Times New Roman"/>
      <w:b/>
      <w:sz w:val="28"/>
    </w:rPr>
  </w:style>
  <w:style w:type="character" w:customStyle="1" w:styleId="Underline">
    <w:name w:val="Underline"/>
    <w:qFormat/>
    <w:rsid w:val="001706F2"/>
    <w:rPr>
      <w:u w:val="single"/>
    </w:rPr>
  </w:style>
  <w:style w:type="character" w:customStyle="1" w:styleId="BoldandItalics">
    <w:name w:val="Bold and Italics"/>
    <w:qFormat/>
    <w:rsid w:val="001706F2"/>
    <w:rPr>
      <w:b/>
      <w:i/>
      <w:u w:val="none"/>
    </w:rPr>
  </w:style>
  <w:style w:type="paragraph" w:styleId="BalloonText">
    <w:name w:val="Balloon Text"/>
    <w:basedOn w:val="Normal"/>
    <w:link w:val="BalloonTextChar"/>
    <w:rsid w:val="001706F2"/>
    <w:rPr>
      <w:rFonts w:ascii="Tahoma" w:hAnsi="Tahoma" w:cs="Tahoma"/>
      <w:sz w:val="16"/>
      <w:szCs w:val="16"/>
    </w:rPr>
  </w:style>
  <w:style w:type="character" w:customStyle="1" w:styleId="BalloonTextChar">
    <w:name w:val="Balloon Text Char"/>
    <w:link w:val="BalloonText"/>
    <w:rsid w:val="001706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06F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706F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1740</Words>
  <Characters>10871</Characters>
  <Application>Microsoft Office Word</Application>
  <DocSecurity>0</DocSecurity>
  <Lines>680</Lines>
  <Paragraphs>284</Paragraphs>
  <ScaleCrop>false</ScaleCrop>
  <Company>Author-it Software Corporation Ltd.</Company>
  <LinksUpToDate>false</LinksUpToDate>
  <CharactersWithSpaces>12344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TDMMU407B ENSURE COMPLIANCE WITH POLLUTION PREVENTION MEASURES</dc:title>
  <dc:subject>Approved</dc:subject>
  <dc:creator>Transport &amp; Logistics Industry Skills Council</dc:creator>
  <cp:keywords>Revision Number: 1</cp:keywords>
  <dc:description>Copyright © 1996-2007 Author-it Software Corporation Ltd., all rights reserved.</dc:description>
  <cp:lastModifiedBy>Andrew Campey</cp:lastModifiedBy>
  <cp:revision>3</cp:revision>
  <dcterms:created xsi:type="dcterms:W3CDTF">2012-05-27T03:15:00Z</dcterms:created>
  <dcterms:modified xsi:type="dcterms:W3CDTF">2012-05-27T03:15:00Z</dcterms:modified>
</cp:coreProperties>
</file>