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E4B" w:rsidP="00224E4B">
      <w:pPr>
        <w:pStyle w:val="Title"/>
      </w:pPr>
      <w:bookmarkStart w:id="0" w:name="_GoBack"/>
      <w:bookmarkEnd w:id="0"/>
      <w:r>
        <w:fldChar w:fldCharType="begin"/>
      </w:r>
      <w:r>
        <w:instrText xml:space="preserve"> TITLE   \* MERGEFORMAT </w:instrText>
      </w:r>
      <w:r>
        <w:fldChar w:fldCharType="separate"/>
      </w:r>
      <w:r>
        <w:t>TDMMR707B PLAN AND SCHEDULE OPERATIONS ON VESSELS OF UNLIMITED PROPULSION POWER</w:t>
      </w:r>
      <w:r>
        <w:fldChar w:fldCharType="end"/>
      </w:r>
    </w:p>
    <w:p w:rsidR="00224E4B" w:rsidP="00224E4B">
      <w:pPr>
        <w:pStyle w:val="Version"/>
        <w:sectPr w:rsidSect="00EB1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1520" w:rsidP="00EB1520">
      <w:pPr>
        <w:pStyle w:val="SuperHeading"/>
      </w:pPr>
      <w:r w:rsidRPr="00EB1520">
        <w:t>TDMMR707B PLAN AND SCHEDULE OPERATIONS ON VESSELS OF UNLIMITED PROPULSION POWER</w:t>
      </w:r>
    </w:p>
    <w:p w:rsidR="00000000" w:rsidRPr="00EB1520" w:rsidP="00EB1520">
      <w:pPr>
        <w:pStyle w:val="SuperHeading"/>
      </w:pPr>
    </w:p>
    <w:p w:rsidR="00000000" w:rsidRPr="00EB1520" w:rsidP="00EB1520">
      <w:pPr>
        <w:pStyle w:val="Heading1"/>
      </w:pPr>
      <w:bookmarkStart w:id="1" w:name="O_152319"/>
      <w:bookmarkEnd w:id="1"/>
      <w:r w:rsidRPr="00EB1520">
        <w:t>Modification History</w:t>
      </w:r>
    </w:p>
    <w:p w:rsidR="00000000" w:rsidRPr="00EB1520" w:rsidP="00EB1520">
      <w:pPr>
        <w:pStyle w:val="BodyText"/>
      </w:pPr>
      <w:r w:rsidRPr="00EB1520">
        <w:t>Not applicable.</w:t>
      </w:r>
    </w:p>
    <w:p w:rsidR="00000000" w:rsidRPr="00EB1520" w:rsidP="00EB1520">
      <w:pPr>
        <w:pStyle w:val="AllowPageBreak"/>
      </w:pPr>
    </w:p>
    <w:p w:rsidR="00000000" w:rsidRPr="00EB1520" w:rsidP="00EB1520">
      <w:pPr>
        <w:pStyle w:val="Heading1"/>
      </w:pPr>
      <w:bookmarkStart w:id="2" w:name="O_152320"/>
      <w:bookmarkEnd w:id="2"/>
      <w:r w:rsidRPr="00EB1520">
        <w:t>Unit Descriptor</w:t>
      </w:r>
    </w:p>
    <w:tbl>
      <w:tblPr>
        <w:tblW w:w="0" w:type="auto"/>
        <w:tblLayout w:type="fixed"/>
        <w:tblCellMar>
          <w:left w:w="62" w:type="dxa"/>
          <w:right w:w="62" w:type="dxa"/>
        </w:tblCellMar>
        <w:tblLook w:val="0000"/>
      </w:tblPr>
      <w:tblGrid>
        <w:gridCol w:w="1974"/>
        <w:gridCol w:w="6481"/>
      </w:tblGrid>
      <w:tr w:rsidTr="00224E4B">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20" w:rsidP="00EB1520">
            <w:pPr>
              <w:pStyle w:val="BodyText"/>
            </w:pPr>
            <w:r w:rsidRPr="00EB1520">
              <w:t>UNIT DESCRIPTOR:</w:t>
            </w:r>
          </w:p>
          <w:p w:rsidR="00000000" w:rsidP="00EB1520">
            <w:pPr>
              <w:pStyle w:val="BodyText"/>
              <w:rPr>
                <w:lang w:val="en-NZ"/>
              </w:rPr>
            </w:pPr>
            <w:r w:rsidRPr="00EB1520">
              <w:rPr>
                <w:rStyle w:val="SpecialBold"/>
              </w:rPr>
              <w:t>This unit involves the skills and knowledge required to plan and schedule operations on a commercial vessel powered by main propulsion machinery of unlimited propulsion power</w:t>
            </w:r>
            <w:r w:rsidRPr="00EB1520">
              <w:t xml:space="preserve">. </w:t>
            </w:r>
            <w:r w:rsidRPr="00EB1520">
              <w:rPr>
                <w:rStyle w:val="SpecialBold"/>
              </w:rPr>
              <w:t>This includes the management and coordination of relevant oper</w:t>
            </w:r>
            <w:r w:rsidRPr="00EB1520">
              <w:rPr>
                <w:rStyle w:val="SpecialBold"/>
              </w:rPr>
              <w:t>ational activities and the application of advanced diagnostic and problem solving techniques to operational difficulties</w:t>
            </w:r>
            <w:r w:rsidRPr="00EB1520">
              <w:t>.</w:t>
            </w:r>
          </w:p>
        </w:tc>
      </w:tr>
      <w:tr w:rsidTr="00224E4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B1520" w:rsidP="00EB1520">
            <w:pPr>
              <w:pStyle w:val="BodyText"/>
            </w:pP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3" w:name="O_152321"/>
      <w:bookmarkEnd w:id="3"/>
      <w:r w:rsidRPr="00EB1520">
        <w:t>Application of the Unit</w:t>
      </w:r>
    </w:p>
    <w:tbl>
      <w:tblPr>
        <w:tblW w:w="0" w:type="auto"/>
        <w:tblLayout w:type="fixed"/>
        <w:tblCellMar>
          <w:left w:w="62" w:type="dxa"/>
          <w:right w:w="62" w:type="dxa"/>
        </w:tblCellMar>
        <w:tblLook w:val="0000"/>
      </w:tblPr>
      <w:tblGrid>
        <w:gridCol w:w="1974"/>
        <w:gridCol w:w="6481"/>
      </w:tblGrid>
      <w:tr w:rsidTr="00224E4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20" w:rsidP="00EB1520">
            <w:pPr>
              <w:pStyle w:val="BodyText"/>
            </w:pPr>
            <w:r w:rsidRPr="00EB1520">
              <w:t>The unit has application in qualifications for Chief Engineer on a vessel of unlimited propulsion power operating in international waters. It is usually packaged within the Advanced Diploma of Transport&amp;Distribution(Marine Engineering Class 1).</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4" w:name="O_152322"/>
      <w:bookmarkEnd w:id="4"/>
      <w:r w:rsidRPr="00EB1520">
        <w:t>Licensing/Regulatory Information</w:t>
      </w:r>
    </w:p>
    <w:tbl>
      <w:tblPr>
        <w:tblW w:w="0" w:type="auto"/>
        <w:tblLayout w:type="fixed"/>
        <w:tblCellMar>
          <w:left w:w="62" w:type="dxa"/>
          <w:right w:w="62" w:type="dxa"/>
        </w:tblCellMar>
        <w:tblLook w:val="0000"/>
      </w:tblPr>
      <w:tblGrid>
        <w:gridCol w:w="1974"/>
        <w:gridCol w:w="6481"/>
      </w:tblGrid>
      <w:tr w:rsidTr="00224E4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Licensing</w:t>
            </w:r>
            <w:r w:rsidRPr="00EB1520">
              <w:t>/</w:t>
            </w:r>
            <w:r w:rsidRPr="00EB152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20" w:rsidP="00EB1520">
            <w:pPr>
              <w:pStyle w:val="BodyText"/>
            </w:pPr>
            <w:r w:rsidRPr="00EB1520">
              <w:t>The unit is consistent with the relevant sections of STCW 95 and Marine Orders under the Australian Navigation Act 1912, describing requirements for a Chief Engineer on a vessel of</w:t>
            </w:r>
            <w:r w:rsidRPr="00EB1520">
              <w:t xml:space="preserve"> unlimited propulsion power operating in international waters.</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5" w:name="O_152323"/>
      <w:bookmarkEnd w:id="5"/>
      <w:r w:rsidRPr="00EB1520">
        <w:t>Pre-Requisites</w:t>
      </w:r>
    </w:p>
    <w:p w:rsidR="00000000" w:rsidRPr="00EB1520" w:rsidP="00EB1520">
      <w:pPr>
        <w:pStyle w:val="BodyText"/>
      </w:pPr>
      <w:r w:rsidRPr="00EB1520">
        <w:t>Not applicable.</w:t>
      </w:r>
    </w:p>
    <w:p w:rsidR="00000000" w:rsidRPr="00EB1520" w:rsidP="00EB1520">
      <w:pPr>
        <w:pStyle w:val="AllowPageBreak"/>
      </w:pPr>
    </w:p>
    <w:p w:rsidR="00000000" w:rsidRPr="00EB1520" w:rsidP="00EB1520">
      <w:pPr>
        <w:pStyle w:val="Heading1"/>
      </w:pPr>
      <w:bookmarkStart w:id="6" w:name="O_152324"/>
      <w:bookmarkEnd w:id="6"/>
      <w:r w:rsidRPr="00EB1520">
        <w:t>Employability Skills Information</w:t>
      </w:r>
    </w:p>
    <w:p w:rsidR="00000000" w:rsidRPr="00EB1520" w:rsidP="00EB1520">
      <w:pPr>
        <w:pStyle w:val="BodyText"/>
      </w:pPr>
      <w:r w:rsidRPr="00EB1520">
        <w:t>Not applicable.</w:t>
      </w:r>
    </w:p>
    <w:p w:rsidR="00000000" w:rsidRPr="00EB1520" w:rsidP="00EB1520">
      <w:pPr>
        <w:pStyle w:val="AllowPageBreak"/>
      </w:pPr>
    </w:p>
    <w:p w:rsidR="00000000" w:rsidRPr="00EB1520" w:rsidP="00EB1520">
      <w:pPr>
        <w:pStyle w:val="Heading1"/>
      </w:pPr>
      <w:bookmarkStart w:id="7" w:name="O_152325"/>
      <w:bookmarkEnd w:id="7"/>
      <w:r w:rsidRPr="00EB1520">
        <w:t>Elements and Performance Criteria Pre-Content</w:t>
      </w:r>
    </w:p>
    <w:tbl>
      <w:tblPr>
        <w:tblW w:w="0" w:type="auto"/>
        <w:tblLayout w:type="fixed"/>
        <w:tblCellMar>
          <w:left w:w="62" w:type="dxa"/>
          <w:right w:w="62" w:type="dxa"/>
        </w:tblCellMar>
        <w:tblLook w:val="0000"/>
      </w:tblPr>
      <w:tblGrid>
        <w:gridCol w:w="1946"/>
        <w:gridCol w:w="6504"/>
      </w:tblGrid>
      <w:tr w:rsidTr="00224E4B">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Emphasis"/>
              </w:rPr>
              <w:t>Elements describe the essential outcomes of a unit of competency</w:t>
            </w:r>
            <w:r w:rsidRPr="00EB1520">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EB1520" w:rsidP="00EB1520">
            <w:pPr>
              <w:pStyle w:val="BodyText"/>
            </w:pPr>
            <w:r w:rsidRPr="00EB1520">
              <w:rPr>
                <w:rStyle w:val="Emphasis"/>
              </w:rPr>
              <w:t>Performance Criteria describe the required performance needed to demonstrate achievement of the element</w:t>
            </w:r>
            <w:r w:rsidRPr="00EB1520">
              <w:t xml:space="preserve">. </w:t>
            </w:r>
            <w:r w:rsidRPr="00EB1520">
              <w:rPr>
                <w:rStyle w:val="Emphasis"/>
              </w:rPr>
              <w:t>Assessment of performance is to be consistent with the Evidence Guide</w:t>
            </w:r>
            <w:r w:rsidRPr="00EB1520">
              <w:t>.</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8" w:name="O_152326"/>
      <w:bookmarkEnd w:id="8"/>
      <w:r w:rsidRPr="00EB1520">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1"/>
      </w:tblGrid>
      <w:tr w:rsidTr="00224E4B">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rPr>
                <w:rStyle w:val="SpecialBold"/>
              </w:rPr>
              <w:t>PERFORMANCE CRITERIA</w:t>
            </w:r>
          </w:p>
        </w:tc>
      </w:tr>
      <w:tr w:rsidTr="00224E4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Plan operations of vessel's power installation and auxiliary machinery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60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Bridge orders and operational instructions for the proposed voyage are correctly interpreted in accordance with established procedures</w:t>
            </w:r>
          </w:p>
        </w:tc>
      </w:tr>
      <w:tr w:rsidTr="00224E4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Capacity and techn</w:t>
            </w:r>
            <w:r w:rsidRPr="00EB1520">
              <w:t>ical specifications of engines, propulsion plant and auxiliary machinery are reviewed and confirmed</w:t>
            </w:r>
          </w:p>
        </w:tc>
      </w:tr>
      <w:tr w:rsidTr="00224E4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60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Operational plans for the vessel's power installation and auxiliary machinery are prepared that suit the design parameters of the installation </w:t>
            </w:r>
            <w:r w:rsidRPr="00EB1520">
              <w:t>and machinery and the requirements of the proposed voyage in accordance established procedures</w:t>
            </w:r>
          </w:p>
        </w:tc>
      </w:tr>
      <w:tr w:rsidTr="00224E4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60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Contingency and emergency plans are prepared based on a risk assessment of potential engine room operational problems and hazards that could occur during th</w:t>
            </w:r>
            <w:r w:rsidRPr="00EB1520">
              <w:t>e voyage in accordance with established procedures</w:t>
            </w:r>
          </w:p>
        </w:tc>
      </w:tr>
      <w:tr w:rsidTr="00224E4B">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Schedule operations of vessel's power installation and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605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Operational schedules for the vessel's power installation and auxiliary machinery are prepared based on the confirmed operational plan using established project planning techniques</w:t>
            </w:r>
          </w:p>
        </w:tc>
      </w:tr>
      <w:tr w:rsidTr="00224E4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5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Operational schedules are documented as per vessel and company procedures</w:t>
            </w:r>
          </w:p>
        </w:tc>
      </w:tr>
      <w:tr w:rsidTr="00224E4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6055" w:type="dxa"/>
            <w:gridSpan w:val="3"/>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 xml:space="preserve">Operational schedules are distributed to relevant personnel on board vessel in accordance with vessel and company </w:t>
            </w:r>
            <w:r w:rsidRPr="00EB1520">
              <w:t>procedures</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9" w:name="O_152327"/>
      <w:bookmarkEnd w:id="9"/>
      <w:r w:rsidRPr="00EB1520">
        <w:t>Required Skills and Knowledge</w:t>
      </w:r>
    </w:p>
    <w:tbl>
      <w:tblPr>
        <w:tblW w:w="0" w:type="auto"/>
        <w:tblLayout w:type="fixed"/>
        <w:tblCellMar>
          <w:left w:w="62" w:type="dxa"/>
          <w:right w:w="62" w:type="dxa"/>
        </w:tblCellMar>
        <w:tblLook w:val="0000"/>
      </w:tblPr>
      <w:tblGrid>
        <w:gridCol w:w="423"/>
        <w:gridCol w:w="353"/>
        <w:gridCol w:w="7553"/>
        <w:gridCol w:w="9"/>
      </w:tblGrid>
      <w:tr w:rsidTr="00224E4B">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rPr>
                <w:rStyle w:val="SpecialBold"/>
              </w:rPr>
              <w:t>REQUIRED KNOWLEDGE</w:t>
            </w:r>
          </w:p>
        </w:tc>
      </w:tr>
      <w:tr w:rsidTr="00224E4B">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rPr>
                <w:rStyle w:val="Emphasis"/>
              </w:rPr>
              <w:t>This describes the knowledge required for this unit</w:t>
            </w:r>
            <w:r w:rsidRPr="00EB1520">
              <w:t>.</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National and international regulations, IMO Conventions and Codes, including AMSA Marine Orders applicable to the planning and scheduling of </w:t>
            </w:r>
            <w:r w:rsidRPr="00EB1520">
              <w:t>the operations of the power installations and auxiliary machinery on vessels of unlimited propulsion power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Relevant OH&amp;S legislation, policies and procedures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Established engineering practice for the planning and scheduling of the operations of the power installations and auxiliary machinery on vessels of unlimited propulsion power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Engineering project scheduling and planning methods, including the use of GAN</w:t>
            </w:r>
            <w:r w:rsidRPr="00EB1520">
              <w:t>TT charts and CPM/PERT network techniques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Operational characteristics and performance specifications for the types of engines, propulsion plant and auxiliary machinery usually found on a vessel of unlimited propulsion power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6</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Procedures for the plann</w:t>
            </w:r>
            <w:r w:rsidRPr="00EB1520">
              <w:t>ing and scheduling of the operation of the power installations and auxiliary machinery on vessels of unlimited propulsion power ensure compliance with the operational instructions for the voyage, bridge orders, technical specifications, survey requirements</w:t>
            </w:r>
            <w:r w:rsidRPr="00EB1520">
              <w:t xml:space="preserve"> and established safety rules and regulations </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7</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The nature and causes of typical potential malfunctions and/or poor performance of engines, propulsion plant and auxiliary machinery </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8</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Hazards and problems that can occur with power installations and auxiliary machinery during voyages of vessels of unlimited propulsion power and appropriate preventative and remedial action and solutions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9</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Safety, environmental and hazard control precaut</w:t>
            </w:r>
            <w:r w:rsidRPr="00EB1520">
              <w:t>ions and procedures relevant to the operation of the power installations and auxiliary machinery on vessels of unlimited propulsion power</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10</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Operational and performance evaluation records that must be maintained on a vessel to meet the requirements of th</w:t>
            </w:r>
            <w:r w:rsidRPr="00EB1520">
              <w:t>e company, survey requirements and regulatory authorities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11</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Maritime communication techniques needed when planning and scheduling of the operation of the power installation and auxiliary machinery on a vessel of unlimited propulsion power</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12</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Typical vessel and machinery specifications, machinery design drawings, machine drawings, operational manuals, specifications and electrical and control circuit diagrams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13</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Purpose and content of material safety data sheets </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14</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and operation</w:t>
            </w:r>
            <w:r w:rsidRPr="00EB1520">
              <w:t>al characteristics of internal combustion engines, including:</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two stroke and four stroke cycles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optimum combustion parameters and their control</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diesel engine scavenging systems both in normal and emergency operation</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atmospheric pollution caused by diesel engine combustion and ways in which it can be minimised</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determination of shaft power</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irregularities in the performance of machinery and plant</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15</w:t>
            </w:r>
          </w:p>
        </w:tc>
        <w:tc>
          <w:tcPr>
            <w:tcW w:w="7906"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Methods of providing air for combustion</w:t>
            </w:r>
          </w:p>
        </w:tc>
      </w:tr>
    </w:tbl>
    <w:p w:rsidR="00000000" w:rsidRPr="00EB1520" w:rsidP="00EB1520">
      <w:pPr>
        <w:pStyle w:val="BodyText"/>
      </w:pPr>
    </w:p>
    <w:tbl>
      <w:tblPr>
        <w:tblW w:w="0" w:type="auto"/>
        <w:tblLayout w:type="fixed"/>
        <w:tblCellMar>
          <w:left w:w="62" w:type="dxa"/>
          <w:right w:w="62" w:type="dxa"/>
        </w:tblCellMar>
        <w:tblLook w:val="0000"/>
      </w:tblPr>
      <w:tblGrid>
        <w:gridCol w:w="423"/>
        <w:gridCol w:w="353"/>
        <w:gridCol w:w="7553"/>
        <w:gridCol w:w="9"/>
      </w:tblGrid>
      <w:tr w:rsidTr="00224E4B">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16</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Theory and preventative strategies for scavenge and uptake fires, and starting air-line, crankcase and gearbox explosions, including:</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plans for hazard reduction</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procedures for extinguishment of scavenge fires and dealing with crankcase mist detector alarm</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regaining of control after starting air-line, crankcase and gearbox explosions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17</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fuel systems, including:</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typical injection pressures an</w:t>
            </w:r>
            <w:r w:rsidRPr="00EB1520">
              <w:t>d viscosities for different grades of fuel</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alterations to fuel pumps, camshafts and injectors for varying fuel types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differences between constant and variable injection timing of fuel</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injection requirements for different speeds of diesel engine</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common service faults, symptoms and causes of combustion problems and related solutions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fuel line pulsation damping devices and leakage protection</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fuel valve cooling arrangements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uni-fuel and dual fuel systems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18</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engine cooling and lubrication, including: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different methods of diesel engine cooling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need for treatment of engine cooling water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methods of treating engine cooling water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diesel engine lubrication requirements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methods of lubricating diesel engine components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theory and types of lubrication</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relative characteristics, and applications of mineral and synthetic oils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contaminants that may affect lubricants, their effect on machinery performance, and action that can be taken to avoid and remedy contamination of lubricants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w:t>
            </w:r>
          </w:p>
        </w:tc>
        <w:tc>
          <w:tcPr>
            <w:tcW w:w="7562"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common lubrication problems and their solution</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19</w:t>
            </w:r>
          </w:p>
        </w:tc>
        <w:tc>
          <w:tcPr>
            <w:tcW w:w="7915"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marine control systems, includ</w:t>
            </w:r>
            <w:r w:rsidRPr="00EB1520">
              <w:t>ing</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common sensors and their associated transmitters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analysis of control loops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temperature and pressure control systems used on board vessel</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methods of load-dependent cooling of diesel alternators on heavy fuel oils</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analysis of typical level control systems used on board vessel</w:t>
            </w:r>
          </w:p>
        </w:tc>
      </w:tr>
      <w:tr w:rsidTr="00224E4B">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operation and application of electronic PID controllers</w:t>
            </w:r>
          </w:p>
        </w:tc>
      </w:tr>
    </w:tbl>
    <w:p w:rsidR="00000000" w:rsidRPr="00EB1520" w:rsidP="00EB1520">
      <w:pPr>
        <w:pStyle w:val="BodyText"/>
      </w:pPr>
    </w:p>
    <w:tbl>
      <w:tblPr>
        <w:tblW w:w="0" w:type="auto"/>
        <w:tblLayout w:type="fixed"/>
        <w:tblCellMar>
          <w:left w:w="62" w:type="dxa"/>
          <w:right w:w="62" w:type="dxa"/>
        </w:tblCellMar>
        <w:tblLook w:val="0000"/>
      </w:tblPr>
      <w:tblGrid>
        <w:gridCol w:w="423"/>
        <w:gridCol w:w="353"/>
        <w:gridCol w:w="7553"/>
      </w:tblGrid>
      <w:tr w:rsidTr="00224E4B">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20</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Procedures for the testing of boiler water, machinery cooling water and lubricating oil</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21</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operation of hydra</w:t>
            </w:r>
            <w:r w:rsidRPr="00EB1520">
              <w:t>ulic and electronic overspeed governors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22</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and functions of machinery space monitoring and alarm systems, including: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central cooling and load-dependent cooling control systems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main engine control arrangements for fixed pitch and controllable pitch propeller systems requiring sequential control</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alarm and monitoring systems involving data loggers, alarm loggers and trend analysis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23</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air-conditioning and refrigeration systems, including: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operation</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performance indicators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characteristics, hazards and handling requirements of CFCs and HCFCs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safety and environmental requirements associated with air-conditioning and refrigeration systems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24</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of thermodynamics and heat and heat engines relevant to detection, identification and repair of faults, including: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heat transfer, including</w:t>
            </w:r>
            <w:r w:rsidRPr="00EB1520">
              <w:t xml:space="preserve"> log mean temperature and circular pressure vessels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gases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gas cycles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properties and expansion of steam</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steam cycles, including a specific understanding of the use of entropy charts and modifications to the steam cycle</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boilers and evaporators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steam turbines, including an understanding of isentropic efficiency</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combustion with a specific understanding of volumetric analysis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refrigeration and air-conditioning, including the use of entropy charts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25</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Principles and operational characteristics of steam turbines, gearing and associated equipment, including:</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lubrication</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gear configurations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thrust blocks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air ejectors</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determination of shaft power</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irregularities in the performance of machinery and plant</w:t>
            </w:r>
          </w:p>
        </w:tc>
      </w:tr>
      <w:tr w:rsidTr="00224E4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26</w:t>
            </w:r>
          </w:p>
        </w:tc>
        <w:tc>
          <w:tcPr>
            <w:tcW w:w="7906"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Principles and operational characteristics of main and auxiliary boilers and associated equipment, including:</w:t>
            </w:r>
          </w:p>
        </w:tc>
      </w:tr>
    </w:tbl>
    <w:p w:rsidR="00000000" w:rsidRPr="00EB1520" w:rsidP="00EB1520">
      <w:pPr>
        <w:pStyle w:val="BodyText"/>
      </w:pPr>
    </w:p>
    <w:tbl>
      <w:tblPr>
        <w:tblW w:w="16235" w:type="dxa"/>
        <w:tblLayout w:type="fixed"/>
        <w:tblCellMar>
          <w:left w:w="62" w:type="dxa"/>
          <w:right w:w="62" w:type="dxa"/>
        </w:tblCellMar>
        <w:tblLook w:val="0000"/>
      </w:tblPr>
      <w:tblGrid>
        <w:gridCol w:w="423"/>
        <w:gridCol w:w="353"/>
        <w:gridCol w:w="7553"/>
        <w:gridCol w:w="7906"/>
      </w:tblGrid>
      <w:tr w:rsidTr="00224E4B">
        <w:tblPrEx>
          <w:tblW w:w="16235" w:type="dxa"/>
          <w:tblLayout w:type="fixed"/>
          <w:tblCellMar>
            <w:left w:w="62" w:type="dxa"/>
            <w:right w:w="62" w:type="dxa"/>
          </w:tblCellMar>
          <w:tblLook w:val="0000"/>
        </w:tblPrEx>
        <w:trPr>
          <w:gridAfter w:val="1"/>
          <w:wAfter w:w="7906"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boiler water tests and treatment</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corrosion</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superheaters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de-aerators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open and closed feed systems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uptake fires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w:t>
            </w: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combustion arrangements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5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16235" w:type="dxa"/>
          <w:tblLayout w:type="fixed"/>
          <w:tblCellMar>
            <w:left w:w="62" w:type="dxa"/>
            <w:right w:w="62" w:type="dxa"/>
          </w:tblCellMar>
          <w:tblLook w:val="0000"/>
        </w:tblPrEx>
        <w:trPr>
          <w:gridAfter w:val="1"/>
          <w:wAfter w:w="7906" w:type="dxa"/>
        </w:trPr>
        <w:tc>
          <w:tcPr>
            <w:tcW w:w="8329"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rPr>
                <w:rStyle w:val="SpecialBold"/>
              </w:rPr>
              <w:t>REQUIRED SKILLS</w:t>
            </w:r>
          </w:p>
        </w:tc>
      </w:tr>
      <w:tr w:rsidTr="00224E4B">
        <w:tblPrEx>
          <w:tblW w:w="16235" w:type="dxa"/>
          <w:tblLayout w:type="fixed"/>
          <w:tblCellMar>
            <w:left w:w="62" w:type="dxa"/>
            <w:right w:w="62" w:type="dxa"/>
          </w:tblCellMar>
          <w:tblLook w:val="0000"/>
        </w:tblPrEx>
        <w:trPr>
          <w:gridAfter w:val="1"/>
          <w:wAfter w:w="7906" w:type="dxa"/>
        </w:trPr>
        <w:tc>
          <w:tcPr>
            <w:tcW w:w="8329"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rPr>
                <w:rStyle w:val="Emphasis"/>
              </w:rPr>
              <w:t>This describes the basic skills required for this unit</w:t>
            </w:r>
            <w:r w:rsidRPr="00EB1520">
              <w:t>.</w:t>
            </w:r>
          </w:p>
        </w:tc>
      </w:tr>
      <w:tr w:rsidTr="00224E4B">
        <w:tblPrEx>
          <w:tblW w:w="16235" w:type="dxa"/>
          <w:tblLayout w:type="fixed"/>
          <w:tblCellMar>
            <w:left w:w="62" w:type="dxa"/>
            <w:right w:w="62" w:type="dxa"/>
          </w:tblCellMar>
          <w:tblLook w:val="0000"/>
        </w:tblPrEx>
        <w:tc>
          <w:tcPr>
            <w:tcW w:w="16235"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        Communicate effectively with other personnel when planning and scheduling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Interpret and follow procedures for the planning and scheduling of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Read and interpret equipment performance readings and instrumentation</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Read and interpret material safety data sheets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Read and</w:t>
            </w:r>
            <w:r w:rsidRPr="00EB1520">
              <w:t xml:space="preserve"> interpret vessel and machinery specifications, machinery design drawings, machine drawings, operational manuals, specifications and electrical and control circuit diagrams</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6</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Work collaboratively with other shipboard</w:t>
            </w:r>
            <w:r w:rsidRPr="00EB1520">
              <w:t xml:space="preserve"> personnel when planning and scheduling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7</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Identify problems that can occur during the planning and scheduling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8</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Carry out calculations required when</w:t>
            </w:r>
            <w:r w:rsidRPr="00EB1520">
              <w:t xml:space="preserve"> planning and scheduling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9</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Adapt to differing types of operational systems, policies and procedures from one vessel to another and when equipment and systems are changed</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10</w:t>
            </w:r>
          </w:p>
        </w:tc>
        <w:tc>
          <w:tcPr>
            <w:tcW w:w="7906"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Select and use any computin</w:t>
            </w:r>
            <w:r w:rsidRPr="00EB1520">
              <w:t>g and other equipment and resources required when planning and scheduling operations on vessels of unlimited propulsion power</w:t>
            </w:r>
          </w:p>
        </w:tc>
      </w:tr>
      <w:tr w:rsidTr="00224E4B">
        <w:tblPrEx>
          <w:tblW w:w="16235" w:type="dxa"/>
          <w:tblLayout w:type="fixed"/>
          <w:tblCellMar>
            <w:left w:w="62" w:type="dxa"/>
            <w:right w:w="62" w:type="dxa"/>
          </w:tblCellMar>
          <w:tblLook w:val="0000"/>
        </w:tblPrEx>
        <w:trPr>
          <w:gridAfter w:val="1"/>
          <w:wAfter w:w="790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06"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p>
        </w:tc>
      </w:tr>
    </w:tbl>
    <w:p w:rsidR="00224E4B" w:rsidP="00EB1520">
      <w:pPr>
        <w:pStyle w:val="BodyText"/>
      </w:pPr>
      <w:r w:rsidRPr="00EB1520">
        <w:t xml:space="preserve"> </w:t>
      </w:r>
    </w:p>
    <w:p w:rsidR="00224E4B" w:rsidP="00EB1520">
      <w:pPr>
        <w:pStyle w:val="BodyText"/>
      </w:pPr>
    </w:p>
    <w:p w:rsidR="00000000" w:rsidRPr="00EB1520" w:rsidP="00EB1520">
      <w:pPr>
        <w:pStyle w:val="Heading1"/>
      </w:pPr>
      <w:bookmarkStart w:id="10" w:name="O_152328"/>
      <w:bookmarkEnd w:id="10"/>
      <w:r w:rsidRPr="00EB1520">
        <w:t>Evidence Guide</w:t>
      </w:r>
    </w:p>
    <w:tbl>
      <w:tblPr>
        <w:tblW w:w="0" w:type="auto"/>
        <w:tblLayout w:type="fixed"/>
        <w:tblCellMar>
          <w:left w:w="62" w:type="dxa"/>
          <w:right w:w="62" w:type="dxa"/>
        </w:tblCellMar>
        <w:tblLook w:val="0000"/>
      </w:tblPr>
      <w:tblGrid>
        <w:gridCol w:w="303"/>
        <w:gridCol w:w="1788"/>
        <w:gridCol w:w="360"/>
        <w:gridCol w:w="357"/>
        <w:gridCol w:w="5400"/>
        <w:gridCol w:w="270"/>
        <w:gridCol w:w="90"/>
      </w:tblGrid>
      <w:tr w:rsidTr="00224E4B">
        <w:tblPrEx>
          <w:tblW w:w="0" w:type="auto"/>
          <w:tblLayout w:type="fixed"/>
          <w:tblCellMar>
            <w:left w:w="62" w:type="dxa"/>
            <w:right w:w="62" w:type="dxa"/>
          </w:tblCellMar>
          <w:tblLook w:val="0000"/>
        </w:tblPrEx>
        <w:trPr>
          <w:gridAfter w:val="2"/>
          <w:wAfter w:w="360"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Evidence Guide</w:t>
            </w:r>
          </w:p>
          <w:p w:rsidR="00000000" w:rsidP="00EB1520">
            <w:pPr>
              <w:pStyle w:val="BodyText"/>
              <w:rPr>
                <w:lang w:val="en-NZ"/>
              </w:rPr>
            </w:pPr>
            <w:r w:rsidRPr="00EB1520">
              <w:rPr>
                <w:rStyle w:val="SpecialBold"/>
              </w:rPr>
              <w:t>TDMMR707B PLAN AND SCHEDULE OPERATIONS ON VESSELS OF UNLIMITED PROPULSION POWER</w:t>
            </w:r>
          </w:p>
        </w:tc>
      </w:tr>
      <w:tr w:rsidTr="00224E4B">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Emphasis"/>
              </w:rPr>
              <w:t>The Evidence Guide provides advice on assessment and must be read in conjunction with the Performance Criteria</w:t>
            </w:r>
            <w:r w:rsidRPr="00EB1520">
              <w:t xml:space="preserve">, </w:t>
            </w:r>
            <w:r w:rsidRPr="00EB1520">
              <w:rPr>
                <w:rStyle w:val="Emphasis"/>
              </w:rPr>
              <w:t>Required Skills and Knowledge</w:t>
            </w:r>
            <w:r w:rsidRPr="00EB1520">
              <w:t xml:space="preserve">, </w:t>
            </w:r>
            <w:r w:rsidRPr="00EB1520">
              <w:rPr>
                <w:rStyle w:val="Emphasis"/>
              </w:rPr>
              <w:t>the Range Statement and the Assessment Guidelines for this Training Package</w:t>
            </w:r>
            <w:r w:rsidRPr="00EB1520">
              <w:t>.</w:t>
            </w:r>
          </w:p>
        </w:tc>
      </w:tr>
      <w:tr w:rsidTr="00224E4B">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Assessment must confirm appropriate knowledge and skills to:</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Plan and schedule the operations of vessel's power installation and auxiliary machinery for the voyage of a vessel of unlimited propulsion power</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Comply with all required safety, environmental and hazard control precautions and procedures when planning the operations of vessel's power installation and auxiliary machinery</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Identify potential operational problems and hazards and develop appropria</w:t>
            </w:r>
            <w:r w:rsidRPr="00EB1520">
              <w:t>te contingency plans within the scope of responsibility of an Engineer Class 1</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Document and disseminate operational plans and schedules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Ensure adherence to national and international regulations, IMO Conventions and Codes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Recognises and adapts appropriately to cultural differences in the workplace, including modes of behaviour and interactions among crew and others</w:t>
            </w:r>
          </w:p>
        </w:tc>
      </w:tr>
      <w:tr w:rsidTr="00224E4B">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SpecialBold"/>
              </w:rPr>
              <w:t xml:space="preserve">Evidence required for demonstration of </w:t>
            </w:r>
            <w:r w:rsidRPr="00EB1520">
              <w:rPr>
                <w:rStyle w:val="SpecialBold"/>
              </w:rPr>
              <w:t>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Performance is demonstrated consistently over a period of time and in a suitable range of contexts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Consistently applies underpinning knowledge and skills when:</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planning and scheduling the operation of the power installation and auxiliary machinery for the voyage of a vessel </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complying with required safety, environmental and haza</w:t>
            </w:r>
            <w:r w:rsidRPr="00EB1520">
              <w:t>rd control precautions and procedures when planning the operation of a vessel's power installation and auxiliary machinery</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identifying typical potential operational problems and hazards and developing appropriate contingency plans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documenting and disseminating operational plans and schedules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identifying and implementing improvements to procedures for the planning and scheduling the operations on a vessel</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c</w:t>
            </w:r>
          </w:p>
        </w:tc>
        <w:tc>
          <w:tcPr>
            <w:tcW w:w="6027"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Shows evidence of application of relevant workplace procedures, incl</w:t>
            </w:r>
            <w:r w:rsidRPr="00EB1520">
              <w:t>uding:</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relevant sections of applicable maritime regulations</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OH&amp;S regulations and hazard prevention policies and procedures </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567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safety management system procedures and work instructions on the operation of a vessel's power installation and auxiliary machinery, </w:t>
            </w:r>
          </w:p>
        </w:tc>
      </w:tr>
      <w:tr w:rsidTr="00224E4B">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5670"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waste, pollution and recycling management processes</w:t>
            </w:r>
          </w:p>
        </w:tc>
      </w:tr>
    </w:tbl>
    <w:p w:rsidR="00000000" w:rsidRPr="00EB1520" w:rsidP="00EB1520">
      <w:pPr>
        <w:pStyle w:val="BodyText"/>
      </w:pPr>
    </w:p>
    <w:tbl>
      <w:tblPr>
        <w:tblW w:w="0" w:type="auto"/>
        <w:tblLayout w:type="fixed"/>
        <w:tblCellMar>
          <w:left w:w="62" w:type="dxa"/>
          <w:right w:w="62" w:type="dxa"/>
        </w:tblCellMar>
        <w:tblLook w:val="0000"/>
      </w:tblPr>
      <w:tblGrid>
        <w:gridCol w:w="303"/>
        <w:gridCol w:w="1788"/>
        <w:gridCol w:w="360"/>
        <w:gridCol w:w="357"/>
        <w:gridCol w:w="357"/>
        <w:gridCol w:w="5043"/>
        <w:gridCol w:w="270"/>
        <w:gridCol w:w="14"/>
      </w:tblGrid>
      <w:tr w:rsidTr="00224E4B">
        <w:tblPrEx>
          <w:tblW w:w="0" w:type="auto"/>
          <w:tblLayout w:type="fixed"/>
          <w:tblCellMar>
            <w:left w:w="62" w:type="dxa"/>
            <w:right w:w="62" w:type="dxa"/>
          </w:tblCellMar>
          <w:tblLook w:val="0000"/>
        </w:tblPrEx>
        <w:trPr>
          <w:gridAfter w:val="2"/>
          <w:wAfter w:w="284"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Evidence Guide</w:t>
            </w:r>
            <w:r w:rsidRPr="00EB1520">
              <w:t xml:space="preserve"> (</w:t>
            </w:r>
            <w:r w:rsidRPr="00EB1520">
              <w:rPr>
                <w:rStyle w:val="SpecialBold"/>
              </w:rPr>
              <w:t>continued</w:t>
            </w:r>
            <w:r w:rsidRPr="00EB1520">
              <w:t xml:space="preserve">) </w:t>
            </w:r>
          </w:p>
          <w:p w:rsidR="00000000" w:rsidP="00EB1520">
            <w:pPr>
              <w:pStyle w:val="BodyText"/>
              <w:rPr>
                <w:lang w:val="en-NZ"/>
              </w:rPr>
            </w:pPr>
            <w:r w:rsidRPr="00EB1520">
              <w:rPr>
                <w:rStyle w:val="SpecialBold"/>
              </w:rPr>
              <w:t>TDMMR707B PLAN AND SCHEDULE OPERATIONS ON VESSELS OF UNLIMITED PROPULSION POWER</w:t>
            </w:r>
          </w:p>
        </w:tc>
      </w:tr>
      <w:tr w:rsidTr="00224E4B">
        <w:tblPrEx>
          <w:tblW w:w="0" w:type="auto"/>
          <w:tblLayout w:type="fixed"/>
          <w:tblCellMar>
            <w:left w:w="62" w:type="dxa"/>
            <w:right w:w="62" w:type="dxa"/>
          </w:tblCellMar>
          <w:tblLook w:val="0000"/>
        </w:tblPrEx>
        <w:trPr>
          <w:gridAfter w:val="1"/>
          <w:wAfter w:w="14"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EB1520" w:rsidP="00EB1520">
            <w:pPr>
              <w:pStyle w:val="BodyText"/>
            </w:pPr>
          </w:p>
          <w:p w:rsidR="00000000" w:rsidRPr="00EB1520" w:rsidP="00EB1520">
            <w:pPr>
              <w:pStyle w:val="BodyText"/>
            </w:pPr>
            <w:r w:rsidRPr="00EB1520">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Evidence required for demonstration of consistent performance</w:t>
            </w:r>
          </w:p>
          <w:p w:rsidR="00000000" w:rsidP="00EB1520">
            <w:pPr>
              <w:pStyle w:val="BodyText"/>
              <w:rPr>
                <w:lang w:val="en-NZ"/>
              </w:rPr>
            </w:pPr>
            <w:r w:rsidRPr="00EB1520">
              <w:t>(</w:t>
            </w:r>
            <w:r w:rsidRPr="00EB1520">
              <w:rPr>
                <w:rStyle w:val="SpecialBold"/>
              </w:rPr>
              <w:t>continued</w:t>
            </w:r>
            <w:r w:rsidRPr="00EB1520">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d</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Action is taken promptly to report and/or address any problems that may arise when planning and scheduling operations on a vessel in accordance with statutory requirements, company procedures and the ISM Code</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e</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Work is managed, controlled and comp</w:t>
            </w:r>
            <w:r w:rsidRPr="00EB1520">
              <w:t>leted systematically with required attention to detail</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f</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Recognises and adapts appropriately to cultural differences in the workplace, including modes of behaviour and interactions among crew and others</w:t>
            </w:r>
          </w:p>
        </w:tc>
      </w:tr>
      <w:tr w:rsidTr="00224E4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14" w:type="dxa"/>
        </w:trPr>
        <w:tc>
          <w:tcPr>
            <w:tcW w:w="303"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Assessment of competency must comply with the assessment requirements of the relevant maritime regulations</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Assessment of this unit must be undertaken within relevant marine authority approved and audi</w:t>
            </w:r>
            <w:r w:rsidRPr="00EB1520">
              <w:t>ted arrangements by a registered training organisation:</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5670"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As a minimum, assessment of knowledge must be conducted through appropriate written/oral examinations, and</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5670"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Appropriate practical assessment must occur:</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w:t>
            </w:r>
          </w:p>
        </w:tc>
        <w:tc>
          <w:tcPr>
            <w:tcW w:w="5313"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at the registe</w:t>
            </w:r>
            <w:r w:rsidRPr="00EB1520">
              <w:t xml:space="preserve">red training organisation; and/or </w:t>
            </w:r>
          </w:p>
        </w:tc>
      </w:tr>
      <w:tr w:rsidTr="00224E4B">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on an appropriate working or training vessel</w:t>
            </w:r>
          </w:p>
        </w:tc>
      </w:tr>
      <w:tr w:rsidTr="00224E4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14"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4</w:t>
            </w:r>
            <w:r w:rsidRPr="00EB1520">
              <w:tab/>
            </w:r>
            <w:r w:rsidRPr="00EB1520">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Access is required to opportunities to:</w:t>
            </w:r>
          </w:p>
        </w:tc>
      </w:tr>
      <w:tr w:rsidTr="00224E4B">
        <w:tblPrEx>
          <w:tblW w:w="0" w:type="auto"/>
          <w:tblLayout w:type="fixed"/>
          <w:tblCellMar>
            <w:left w:w="62" w:type="dxa"/>
            <w:right w:w="62" w:type="dxa"/>
          </w:tblCellMar>
          <w:tblLook w:val="0000"/>
        </w:tblPrEx>
        <w:trPr>
          <w:gridAfter w:val="1"/>
          <w:wAfter w:w="14"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a</w:t>
            </w:r>
          </w:p>
        </w:tc>
        <w:tc>
          <w:tcPr>
            <w:tcW w:w="6027"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participate in a range of practical and theoretical assignments, exercises, case studies and other assessments that demonstrate the skills and knowledge to plan and schedule the operations on a vessel of unlimited propulsion power; and/or</w:t>
            </w:r>
          </w:p>
        </w:tc>
      </w:tr>
      <w:tr w:rsidTr="00224E4B">
        <w:tblPrEx>
          <w:tblW w:w="0" w:type="auto"/>
          <w:tblLayout w:type="fixed"/>
          <w:tblCellMar>
            <w:left w:w="62" w:type="dxa"/>
            <w:right w:w="62" w:type="dxa"/>
          </w:tblCellMar>
          <w:tblLook w:val="0000"/>
        </w:tblPrEx>
        <w:trPr>
          <w:gridAfter w:val="1"/>
          <w:wAfter w:w="14"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b</w:t>
            </w:r>
          </w:p>
        </w:tc>
        <w:tc>
          <w:tcPr>
            <w:tcW w:w="6027" w:type="dxa"/>
            <w:gridSpan w:val="4"/>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plan and schedule the operations of vessel's power installation and auxiliary machinery on a commercial or training vessel of unlimited propulsion power</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11" w:name="O_152329"/>
      <w:bookmarkEnd w:id="11"/>
      <w:r w:rsidRPr="00EB1520">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224E4B">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Range Statement</w:t>
            </w:r>
          </w:p>
          <w:p w:rsidR="00000000" w:rsidP="00EB1520">
            <w:pPr>
              <w:pStyle w:val="BodyText"/>
              <w:rPr>
                <w:lang w:val="en-NZ"/>
              </w:rPr>
            </w:pPr>
            <w:r w:rsidRPr="00EB1520">
              <w:rPr>
                <w:rStyle w:val="SpecialBold"/>
              </w:rPr>
              <w:t xml:space="preserve">TDMMR707B PLAN AND SCHEDULE OPERATIONS ON VESSELS </w:t>
            </w:r>
            <w:r w:rsidRPr="00EB1520">
              <w:rPr>
                <w:rStyle w:val="SpecialBold"/>
              </w:rPr>
              <w:t>OF UNLIMITED PROPULSION POWER</w:t>
            </w:r>
          </w:p>
        </w:tc>
      </w:tr>
      <w:tr w:rsidTr="00224E4B">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Emphasis"/>
              </w:rPr>
              <w:t>The Range Statement relates to the unit of competency as a whole</w:t>
            </w:r>
            <w:r w:rsidRPr="00EB1520">
              <w:t xml:space="preserve">. </w:t>
            </w:r>
            <w:r w:rsidRPr="00EB1520">
              <w:rPr>
                <w:rStyle w:val="Emphasis"/>
              </w:rPr>
              <w:t>It allows for different work environments and situations that may affect performance</w:t>
            </w:r>
            <w:r w:rsidRPr="00EB1520">
              <w:t>.</w:t>
            </w:r>
          </w:p>
        </w:tc>
      </w:tr>
      <w:tr w:rsidTr="00224E4B">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rPr>
                <w:rStyle w:val="SpecialBold"/>
              </w:rPr>
              <w:t>SCOPE</w:t>
            </w:r>
          </w:p>
        </w:tc>
      </w:tr>
      <w:tr w:rsidTr="00224E4B">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rPr>
                <w:rStyle w:val="SpecialBold"/>
              </w:rPr>
              <w:t>1</w:t>
            </w:r>
            <w:r w:rsidRPr="00EB1520">
              <w:t>.</w:t>
            </w:r>
            <w:r w:rsidRPr="00EB1520">
              <w:tab/>
            </w:r>
            <w:r w:rsidRPr="00EB1520">
              <w:rPr>
                <w:rStyle w:val="SpecialBold"/>
              </w:rPr>
              <w:t>GENERAL CONTEXT</w:t>
            </w:r>
          </w:p>
        </w:tc>
      </w:tr>
      <w:tr w:rsidTr="00224E4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a</w:t>
            </w:r>
            <w:r w:rsidRPr="00EB15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Work must be carried out</w:t>
            </w:r>
            <w:r w:rsidRPr="00EB152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in compliance with mandatory rules and regulations and IMO Conventions and Codes, including the relevant sections of the AMSA Marine Orders and ensuring that applicable codes, guidelines and standards recommended by IMO, the cla</w:t>
            </w:r>
            <w:r w:rsidRPr="00EB1520">
              <w:t>ssification societies and maritime industry organisations are taken into account</w:t>
            </w:r>
          </w:p>
        </w:tc>
      </w:tr>
      <w:tr w:rsidTr="00224E4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b</w:t>
            </w:r>
            <w:r w:rsidRPr="00EB15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Work is performed</w:t>
            </w:r>
            <w:r w:rsidRPr="00EB1520">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independently under broad operational requirements, with accountability for self and others in achieving the prescribed outcomes</w:t>
            </w:r>
          </w:p>
        </w:tc>
      </w:tr>
      <w:tr w:rsidTr="00224E4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c</w:t>
            </w:r>
            <w:r w:rsidRPr="00EB15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Work involves</w:t>
            </w:r>
            <w:r w:rsidRPr="00EB152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the application of marine engineering management practice to the planning and scheduling of the operation of the vessel's power installation and auxiliary machinery on a vessel of unlimited propulsion power over the range of operational si</w:t>
            </w:r>
            <w:r w:rsidRPr="00EB1520">
              <w:t>tuations during a voyage. Contribution to the development and implementation of a broad plan or strategy for the operation of the vessel's power installation and auxiliary machinery is required and accountability and responsibility for self and others in a</w:t>
            </w:r>
            <w:r w:rsidRPr="00EB1520">
              <w:t>chieving the outcomes is involved</w:t>
            </w:r>
          </w:p>
        </w:tc>
      </w:tr>
      <w:tr w:rsidTr="00224E4B">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d</w:t>
            </w:r>
            <w:r w:rsidRPr="00EB152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Work requires</w:t>
            </w:r>
            <w:r w:rsidRPr="00EB1520">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17"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 xml:space="preserve">significant judgement in planning, engineering and leadership functions related to planning and scheduling the operation of the vessel's power </w:t>
            </w:r>
            <w:r w:rsidRPr="00EB1520">
              <w:t>installation and auxiliary machinery. This includes management and analysis of the power installation capacity and voyage requirements, problem solving, decision making and contingency planning</w:t>
            </w:r>
          </w:p>
        </w:tc>
      </w:tr>
      <w:tr w:rsidTr="00224E4B">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rPr>
                <w:rStyle w:val="SpecialBold"/>
              </w:rPr>
              <w:t>2</w:t>
            </w:r>
            <w:r w:rsidRPr="00EB1520">
              <w:t>.</w:t>
            </w:r>
            <w:r w:rsidRPr="00EB1520">
              <w:tab/>
            </w:r>
            <w:r w:rsidRPr="00EB1520">
              <w:rPr>
                <w:rStyle w:val="SpecialBold"/>
              </w:rPr>
              <w:t>WORKSITE ENVIRONMENT</w:t>
            </w:r>
          </w:p>
        </w:tc>
      </w:tr>
      <w:tr w:rsidTr="00224E4B">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Plannin</w:t>
            </w:r>
            <w:r w:rsidRPr="00EB1520">
              <w:rPr>
                <w:rStyle w:val="SpecialBold"/>
              </w:rPr>
              <w:t>g and scheduling of the operation of power installation and auxiliary machinery may be undertaken</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46" w:type="dxa"/>
            <w:gridSpan w:val="4"/>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for an Australian or international commercial vessel of unlimited propulsion power</w:t>
            </w:r>
          </w:p>
        </w:tc>
      </w:tr>
    </w:tbl>
    <w:p w:rsidR="00000000" w:rsidRPr="00EB1520" w:rsidP="00EB1520">
      <w:pPr>
        <w:pStyle w:val="BodyText"/>
      </w:pPr>
    </w:p>
    <w:tbl>
      <w:tblPr>
        <w:tblW w:w="0" w:type="auto"/>
        <w:tblLayout w:type="fixed"/>
        <w:tblCellMar>
          <w:left w:w="62" w:type="dxa"/>
          <w:right w:w="62" w:type="dxa"/>
        </w:tblCellMar>
        <w:tblLook w:val="0000"/>
      </w:tblPr>
      <w:tblGrid>
        <w:gridCol w:w="346"/>
        <w:gridCol w:w="1743"/>
        <w:gridCol w:w="357"/>
        <w:gridCol w:w="503"/>
        <w:gridCol w:w="5259"/>
        <w:gridCol w:w="281"/>
        <w:gridCol w:w="28"/>
      </w:tblGrid>
      <w:tr w:rsidTr="00224E4B">
        <w:tblPrEx>
          <w:tblW w:w="0" w:type="auto"/>
          <w:tblLayout w:type="fixed"/>
          <w:tblCellMar>
            <w:left w:w="62" w:type="dxa"/>
            <w:right w:w="62" w:type="dxa"/>
          </w:tblCellMar>
          <w:tblLook w:val="0000"/>
        </w:tblPrEx>
        <w:trPr>
          <w:gridAfter w:val="2"/>
          <w:wAfter w:w="309"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Range Statement</w:t>
            </w:r>
            <w:r w:rsidRPr="00EB1520">
              <w:t xml:space="preserve"> (</w:t>
            </w:r>
            <w:r w:rsidRPr="00EB1520">
              <w:rPr>
                <w:rStyle w:val="SpecialBold"/>
              </w:rPr>
              <w:t>continued</w:t>
            </w:r>
            <w:r w:rsidRPr="00EB1520">
              <w:t>)</w:t>
            </w:r>
          </w:p>
          <w:p w:rsidR="00000000" w:rsidP="00EB1520">
            <w:pPr>
              <w:pStyle w:val="BodyText"/>
              <w:rPr>
                <w:lang w:val="en-NZ"/>
              </w:rPr>
            </w:pPr>
            <w:r w:rsidRPr="00EB1520">
              <w:rPr>
                <w:rStyle w:val="SpecialBold"/>
              </w:rPr>
              <w:t>TDMMR707B PLAN AND SCHEDULE OPERATIONS ON VESSELS OF UNLIMITED PROPULSION POWER</w:t>
            </w:r>
          </w:p>
        </w:tc>
      </w:tr>
      <w:tr w:rsidTr="00224E4B">
        <w:tblPrEx>
          <w:tblW w:w="0" w:type="auto"/>
          <w:tblLayout w:type="fixed"/>
          <w:tblCellMar>
            <w:left w:w="62" w:type="dxa"/>
            <w:right w:w="62" w:type="dxa"/>
          </w:tblCellMar>
          <w:tblLook w:val="0000"/>
        </w:tblPrEx>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1520" w:rsidP="00EB1520">
            <w:pPr>
              <w:pStyle w:val="BodyText"/>
            </w:pPr>
          </w:p>
          <w:p w:rsidR="00000000" w:rsidRPr="00EB1520" w:rsidP="00EB1520">
            <w:pPr>
              <w:pStyle w:val="BodyText"/>
            </w:pPr>
            <w:r w:rsidRPr="00EB1520">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rPr>
                <w:rStyle w:val="SpecialBold"/>
              </w:rPr>
              <w:t>SCOPE</w:t>
            </w:r>
          </w:p>
        </w:tc>
      </w:tr>
      <w:tr w:rsidTr="00224E4B">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Operational scheduling and planning methods may include the use of</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GANTT charts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CPM/PERT network techniques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Other project planning techniques</w:t>
            </w:r>
          </w:p>
        </w:tc>
      </w:tr>
      <w:tr w:rsidTr="00224E4B">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EB1520" w:rsidP="00EB1520">
            <w:pPr>
              <w:pStyle w:val="BodyText"/>
            </w:pPr>
            <w:r w:rsidRPr="00EB1520">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Propulsion plant configurations may include</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low speed, medium and high speed diesel propulsion</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stern tube bearing</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CPP</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direct drive shaft</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diesel electric</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6</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steam turbine plant and boiler</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7</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gas turbine</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8</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reduction gears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9</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t>thrust blocks, detuners and shaft bearings</w:t>
            </w:r>
          </w:p>
        </w:tc>
      </w:tr>
      <w:tr w:rsidTr="00224E4B">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Types of engines</w:t>
            </w:r>
            <w:r w:rsidRPr="00EB1520">
              <w:t xml:space="preserve">, </w:t>
            </w:r>
            <w:r w:rsidRPr="00EB1520">
              <w:rPr>
                <w:rStyle w:val="SpecialBold"/>
              </w:rPr>
              <w:t>propulsion equipment and related auxiliary machinery may include</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steam turbine, diesel, diesel electric and gas turbine propulsion systems and controls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steering gear, stabilisers, bow thrusters, rudders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fluid power systems and controls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pumps and pumping systems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6043" w:type="dxa"/>
            <w:gridSpan w:val="3"/>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auxiliary systems and controls, including</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fresh and salt water cooling systems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lubricating oil cooling systems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iii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fuel, oil, gas, coal systems and centrifuges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iv</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air compressor and air starting systems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lubrication</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bilge and ballast system, oily water separator</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vii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refrigeration and air-conditioning plant and equipment</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viii</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on-board air compressors and compressed air and control air systems</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ix</w:t>
            </w:r>
          </w:p>
        </w:tc>
        <w:tc>
          <w:tcPr>
            <w:tcW w:w="5540"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waste management and pollution control systems as per the MARPOL Convention</w:t>
            </w:r>
          </w:p>
        </w:tc>
      </w:tr>
      <w:tr w:rsidTr="00224E4B">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w:t>
            </w:r>
          </w:p>
        </w:tc>
        <w:tc>
          <w:tcPr>
            <w:tcW w:w="5540"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fresh water evaporators reverse osmosis systems</w:t>
            </w:r>
          </w:p>
        </w:tc>
      </w:tr>
    </w:tbl>
    <w:p w:rsidR="00000000" w:rsidRPr="00EB1520" w:rsidP="00EB1520">
      <w:pPr>
        <w:pStyle w:val="BodyText"/>
      </w:pPr>
    </w:p>
    <w:tbl>
      <w:tblPr>
        <w:tblW w:w="0" w:type="auto"/>
        <w:tblLayout w:type="fixed"/>
        <w:tblCellMar>
          <w:left w:w="62" w:type="dxa"/>
          <w:right w:w="62" w:type="dxa"/>
        </w:tblCellMar>
        <w:tblLook w:val="0000"/>
      </w:tblPr>
      <w:tblGrid>
        <w:gridCol w:w="345"/>
        <w:gridCol w:w="1746"/>
        <w:gridCol w:w="357"/>
        <w:gridCol w:w="503"/>
        <w:gridCol w:w="5257"/>
        <w:gridCol w:w="278"/>
        <w:gridCol w:w="45"/>
        <w:gridCol w:w="18"/>
      </w:tblGrid>
      <w:tr w:rsidTr="00224E4B">
        <w:tblPrEx>
          <w:tblW w:w="0" w:type="auto"/>
          <w:tblLayout w:type="fixed"/>
          <w:tblCellMar>
            <w:left w:w="62" w:type="dxa"/>
            <w:right w:w="62" w:type="dxa"/>
          </w:tblCellMar>
          <w:tblLook w:val="0000"/>
        </w:tblPrEx>
        <w:trPr>
          <w:gridAfter w:val="3"/>
          <w:wAfter w:w="341"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Range Statement</w:t>
            </w:r>
            <w:r w:rsidRPr="00EB1520">
              <w:t xml:space="preserve"> (</w:t>
            </w:r>
            <w:r w:rsidRPr="00EB1520">
              <w:rPr>
                <w:rStyle w:val="SpecialBold"/>
              </w:rPr>
              <w:t>continued</w:t>
            </w:r>
            <w:r w:rsidRPr="00EB1520">
              <w:t>)</w:t>
            </w:r>
          </w:p>
          <w:p w:rsidR="00000000" w:rsidP="00EB1520">
            <w:pPr>
              <w:pStyle w:val="BodyText"/>
              <w:rPr>
                <w:lang w:val="en-NZ"/>
              </w:rPr>
            </w:pPr>
            <w:r w:rsidRPr="00EB1520">
              <w:rPr>
                <w:rStyle w:val="SpecialBold"/>
              </w:rPr>
              <w:t>TDMMR707B PLAN AND SCHEDULE OPERATIONS ON VESSELS OF UNLIMITED PROPULSION POWER</w:t>
            </w:r>
          </w:p>
        </w:tc>
      </w:tr>
      <w:tr w:rsidTr="00224E4B">
        <w:tblPrEx>
          <w:tblW w:w="0" w:type="auto"/>
          <w:tblLayout w:type="fixed"/>
          <w:tblCellMar>
            <w:left w:w="62" w:type="dxa"/>
            <w:right w:w="62" w:type="dxa"/>
          </w:tblCellMar>
          <w:tblLook w:val="0000"/>
        </w:tblPrEx>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1520" w:rsidP="00EB1520">
            <w:pPr>
              <w:pStyle w:val="BodyText"/>
            </w:pPr>
          </w:p>
          <w:p w:rsidR="00000000" w:rsidRPr="00EB1520" w:rsidP="00EB1520">
            <w:pPr>
              <w:pStyle w:val="BodyText"/>
            </w:pPr>
            <w:r w:rsidRPr="00EB1520">
              <w:rPr>
                <w:rStyle w:val="SpecialBold"/>
              </w:rPr>
              <w:t>VARIABLE</w:t>
            </w:r>
          </w:p>
        </w:tc>
        <w:tc>
          <w:tcPr>
            <w:tcW w:w="6458"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rPr>
                <w:rStyle w:val="SpecialBold"/>
              </w:rPr>
              <w:t>SCOPE</w:t>
            </w:r>
          </w:p>
        </w:tc>
      </w:tr>
      <w:tr w:rsidTr="00224E4B">
        <w:tblPrEx>
          <w:tblW w:w="0" w:type="auto"/>
          <w:tblLayout w:type="fixed"/>
          <w:tblCellMar>
            <w:left w:w="62" w:type="dxa"/>
            <w:right w:w="62" w:type="dxa"/>
          </w:tblCellMar>
          <w:tblLook w:val="0000"/>
        </w:tblPrEx>
        <w:trPr>
          <w:gridAfter w:val="2"/>
          <w:wAfter w:w="63" w:type="dxa"/>
        </w:trPr>
        <w:tc>
          <w:tcPr>
            <w:tcW w:w="345"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SpecialBold"/>
              </w:rPr>
              <w:t>d</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EB1520" w:rsidP="00EB1520">
            <w:pPr>
              <w:pStyle w:val="BodyText"/>
            </w:pPr>
          </w:p>
          <w:p w:rsidR="00000000" w:rsidRPr="00EB1520" w:rsidP="00EB1520">
            <w:pPr>
              <w:pStyle w:val="BodyText"/>
            </w:pPr>
            <w:r w:rsidRPr="00EB1520">
              <w:rPr>
                <w:rStyle w:val="SpecialBold"/>
              </w:rPr>
              <w:t>Types of engines</w:t>
            </w:r>
            <w:r w:rsidRPr="00EB1520">
              <w:t xml:space="preserve">, </w:t>
            </w:r>
            <w:r w:rsidRPr="00EB1520">
              <w:rPr>
                <w:rStyle w:val="SpecialBold"/>
              </w:rPr>
              <w:t>propulsion equipment and related auxiliary machinery may include</w:t>
            </w:r>
            <w:r w:rsidRPr="00EB1520">
              <w:t>:</w:t>
            </w:r>
          </w:p>
          <w:p w:rsidR="00000000" w:rsidP="00EB1520">
            <w:pPr>
              <w:pStyle w:val="BodyText"/>
              <w:rPr>
                <w:lang w:val="en-NZ"/>
              </w:rPr>
            </w:pPr>
            <w:r w:rsidRPr="00EB1520">
              <w:t>(</w:t>
            </w:r>
            <w:r w:rsidRPr="00EB1520">
              <w:rPr>
                <w:rStyle w:val="SpecialBold"/>
              </w:rPr>
              <w:t>continued</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xi</w:t>
            </w:r>
          </w:p>
        </w:tc>
        <w:tc>
          <w:tcPr>
            <w:tcW w:w="5535"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inert gas generator</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xii</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cargo pumps, tank washing machines and associated systems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xiii</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purifiers and clarifiers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xiv</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heaters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xv</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sewage plant</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xvi</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fixed firefighting installations and fire control systems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xvii</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auxiliary boilers and waste heat generators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xviii</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lifesaving appliances</w:t>
            </w:r>
          </w:p>
        </w:tc>
      </w:tr>
      <w:tr w:rsidTr="00224E4B">
        <w:tblPrEx>
          <w:tblW w:w="0" w:type="auto"/>
          <w:tblLayout w:type="fixed"/>
          <w:tblCellMar>
            <w:left w:w="62" w:type="dxa"/>
            <w:right w:w="62" w:type="dxa"/>
          </w:tblCellMar>
          <w:tblLook w:val="0000"/>
        </w:tblPrEx>
        <w:trPr>
          <w:gridAfter w:val="2"/>
          <w:wAfter w:w="63"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3" w:type="dxa"/>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xix</w:t>
            </w:r>
          </w:p>
        </w:tc>
        <w:tc>
          <w:tcPr>
            <w:tcW w:w="5535"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maintenance to hull and vessel side valves</w:t>
            </w:r>
          </w:p>
        </w:tc>
      </w:tr>
      <w:tr w:rsidTr="00224E4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Potential emergencies may include</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loss of propulsion</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loss of electrical power</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loss of steering</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flooding</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fire or explosion</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6</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fuel oil, lubrication oil, steam and gas leaks</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7</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overheating and overspeed of machinery, governors, emergency trips</w:t>
            </w:r>
          </w:p>
        </w:tc>
      </w:tr>
      <w:tr w:rsidTr="00224E4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B1520">
            <w:pPr>
              <w:pStyle w:val="BodyText"/>
              <w:rPr>
                <w:lang w:val="en-NZ"/>
              </w:rPr>
            </w:pPr>
          </w:p>
        </w:tc>
      </w:tr>
      <w:tr w:rsidTr="00224E4B">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Documentation and records may include</w:t>
            </w:r>
            <w:r w:rsidRPr="00EB152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1</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details of scheduled voyage</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ISM Code safety management system plans, procedures, checklists and instructions</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vessel and company's operational procedures and instructions</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4</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engines, propulsion plant and auxiliary machinery manufacturer's specifications, instructions and recommended procedures</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5</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vessel's survey as it relates to engines, propulsion plant and auxiliary machinery</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6</w:t>
            </w:r>
          </w:p>
        </w:tc>
        <w:tc>
          <w:tcPr>
            <w:tcW w:w="6083" w:type="dxa"/>
            <w:gridSpan w:val="4"/>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relevant sections of national and international regulations, IMO Conventions and Codes, including AMSA Marine Orders and class society rules dealing with the operation</w:t>
            </w:r>
            <w:r w:rsidRPr="00EB1520">
              <w:t xml:space="preserve"> and performance evaluation of engines, propulsion plant and auxiliary machinery</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7</w:t>
            </w:r>
          </w:p>
        </w:tc>
        <w:tc>
          <w:tcPr>
            <w:tcW w:w="6083" w:type="dxa"/>
            <w:gridSpan w:val="4"/>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instructions of relevant maritime authorities and class societies concerning the operation of engines, propulsion plant and auxiliary machinery</w:t>
            </w:r>
          </w:p>
        </w:tc>
      </w:tr>
    </w:tbl>
    <w:p w:rsidR="00000000" w:rsidRPr="00EB1520" w:rsidP="00EB1520">
      <w:pPr>
        <w:pStyle w:val="BodyText"/>
      </w:pPr>
    </w:p>
    <w:tbl>
      <w:tblPr>
        <w:tblW w:w="0" w:type="auto"/>
        <w:tblLayout w:type="fixed"/>
        <w:tblCellMar>
          <w:left w:w="62" w:type="dxa"/>
          <w:right w:w="62" w:type="dxa"/>
        </w:tblCellMar>
        <w:tblLook w:val="0000"/>
      </w:tblPr>
      <w:tblGrid>
        <w:gridCol w:w="345"/>
        <w:gridCol w:w="1746"/>
        <w:gridCol w:w="357"/>
        <w:gridCol w:w="5760"/>
        <w:gridCol w:w="323"/>
        <w:gridCol w:w="18"/>
      </w:tblGrid>
      <w:tr w:rsidTr="00224E4B">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1520" w:rsidP="00EB1520">
            <w:pPr>
              <w:pStyle w:val="BodyText"/>
            </w:pPr>
            <w:r w:rsidRPr="00EB1520">
              <w:rPr>
                <w:rStyle w:val="SpecialBold"/>
              </w:rPr>
              <w:t>Range Statement</w:t>
            </w:r>
            <w:r w:rsidRPr="00EB1520">
              <w:t xml:space="preserve"> (</w:t>
            </w:r>
            <w:r w:rsidRPr="00EB1520">
              <w:rPr>
                <w:rStyle w:val="SpecialBold"/>
              </w:rPr>
              <w:t>continued</w:t>
            </w:r>
            <w:r w:rsidRPr="00EB1520">
              <w:t>)</w:t>
            </w:r>
          </w:p>
          <w:p w:rsidR="00000000" w:rsidP="00EB1520">
            <w:pPr>
              <w:pStyle w:val="BodyText"/>
              <w:rPr>
                <w:lang w:val="en-NZ"/>
              </w:rPr>
            </w:pPr>
            <w:r w:rsidRPr="00EB1520">
              <w:rPr>
                <w:rStyle w:val="SpecialBold"/>
              </w:rPr>
              <w:t>TDMMR707B PLAN AND SCHEDULE OPERATIONS ON VESSELS OF UNLIMITED PROPULSION POWER</w:t>
            </w:r>
          </w:p>
        </w:tc>
      </w:tr>
      <w:tr w:rsidTr="00224E4B">
        <w:tblPrEx>
          <w:tblW w:w="0" w:type="auto"/>
          <w:tblLayout w:type="fixed"/>
          <w:tblCellMar>
            <w:left w:w="62" w:type="dxa"/>
            <w:right w:w="62" w:type="dxa"/>
          </w:tblCellMar>
          <w:tblLook w:val="0000"/>
        </w:tblPrEx>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1520" w:rsidP="00EB1520">
            <w:pPr>
              <w:pStyle w:val="BodyText"/>
            </w:pPr>
          </w:p>
          <w:p w:rsidR="00000000" w:rsidRPr="00EB1520" w:rsidP="00EB1520">
            <w:pPr>
              <w:pStyle w:val="BodyText"/>
            </w:pPr>
            <w:r w:rsidRPr="00EB1520">
              <w:rPr>
                <w:rStyle w:val="SpecialBold"/>
              </w:rPr>
              <w:t>VARIABLE</w:t>
            </w:r>
          </w:p>
        </w:tc>
        <w:tc>
          <w:tcPr>
            <w:tcW w:w="645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B1520">
            <w:pPr>
              <w:pStyle w:val="BodyText"/>
              <w:rPr>
                <w:lang w:val="en-NZ"/>
              </w:rPr>
            </w:pPr>
            <w:r w:rsidRPr="00EB1520">
              <w:rPr>
                <w:rStyle w:val="SpecialBold"/>
              </w:rPr>
              <w:t>SCOPE</w:t>
            </w:r>
          </w:p>
        </w:tc>
      </w:tr>
      <w:tr w:rsidTr="00224E4B">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rPr>
                <w:rStyle w:val="SpecialBold"/>
              </w:rPr>
              <w:t>Applicable legislation</w:t>
            </w:r>
            <w:r w:rsidRPr="00EB1520">
              <w:t xml:space="preserve">, </w:t>
            </w:r>
            <w:r w:rsidRPr="00EB1520">
              <w:rPr>
                <w:rStyle w:val="SpecialBold"/>
              </w:rPr>
              <w:t>regulations and codes may include</w:t>
            </w:r>
            <w:r w:rsidRPr="00EB1520">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1</w:t>
            </w:r>
          </w:p>
        </w:tc>
        <w:tc>
          <w:tcPr>
            <w:tcW w:w="6083"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p>
          <w:p w:rsidR="00000000" w:rsidP="00EB1520">
            <w:pPr>
              <w:pStyle w:val="BodyText"/>
              <w:rPr>
                <w:lang w:val="en-NZ"/>
              </w:rPr>
            </w:pPr>
            <w:r w:rsidRPr="00EB1520">
              <w:t>sections of national and international regulations, IMO Conventions and Codes, including AMSA Marine Orders and class society rules related to the operation of engines, propulsion plant and auxiliary machinery on vessels of unlimited propulsion power</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2</w:t>
            </w:r>
          </w:p>
        </w:tc>
        <w:tc>
          <w:tcPr>
            <w:tcW w:w="6083" w:type="dxa"/>
            <w:gridSpan w:val="2"/>
            <w:tcBorders>
              <w:top w:val="nil"/>
              <w:left w:val="nil"/>
              <w:bottom w:val="nil"/>
              <w:right w:val="nil"/>
            </w:tcBorders>
            <w:tcMar>
              <w:top w:w="0" w:type="dxa"/>
              <w:left w:w="62" w:type="dxa"/>
              <w:bottom w:w="0" w:type="dxa"/>
              <w:right w:w="62" w:type="dxa"/>
            </w:tcMar>
          </w:tcPr>
          <w:p w:rsidR="00000000" w:rsidP="00EB1520">
            <w:pPr>
              <w:pStyle w:val="BodyText"/>
              <w:rPr>
                <w:lang w:val="en-NZ"/>
              </w:rPr>
            </w:pPr>
            <w:r w:rsidRPr="00EB1520">
              <w:t>relevant international, Commonwealth, State and Territory OH&amp;S legislation</w:t>
            </w:r>
          </w:p>
        </w:tc>
      </w:tr>
      <w:tr w:rsidTr="00224E4B">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1520">
            <w:pPr>
              <w:pStyle w:val="BodyText"/>
              <w:rPr>
                <w:lang w:val="en-NZ"/>
              </w:rPr>
            </w:pPr>
            <w:r w:rsidRPr="00EB1520">
              <w:t>3</w:t>
            </w:r>
          </w:p>
        </w:tc>
        <w:tc>
          <w:tcPr>
            <w:tcW w:w="6083" w:type="dxa"/>
            <w:gridSpan w:val="2"/>
            <w:tcBorders>
              <w:top w:val="nil"/>
              <w:left w:val="nil"/>
              <w:bottom w:val="nil"/>
              <w:right w:val="nil"/>
            </w:tcBorders>
            <w:tcMar>
              <w:top w:w="0" w:type="dxa"/>
              <w:left w:w="62" w:type="dxa"/>
              <w:bottom w:w="0" w:type="dxa"/>
              <w:right w:w="62" w:type="dxa"/>
            </w:tcMar>
          </w:tcPr>
          <w:p w:rsidR="00000000" w:rsidRPr="00EB1520" w:rsidP="00EB1520">
            <w:pPr>
              <w:pStyle w:val="BodyText"/>
            </w:pPr>
            <w:r w:rsidRPr="00EB1520">
              <w:t>relevant international, Commonwealth, State and Territory engineering practice standards</w:t>
            </w:r>
          </w:p>
        </w:tc>
      </w:tr>
    </w:tbl>
    <w:p w:rsidR="00000000" w:rsidRPr="00EB1520" w:rsidP="00EB1520">
      <w:pPr>
        <w:pStyle w:val="BodyText"/>
      </w:pPr>
    </w:p>
    <w:p w:rsidR="00000000" w:rsidRPr="00EB1520" w:rsidP="00EB1520">
      <w:pPr>
        <w:pStyle w:val="AllowPageBreak"/>
      </w:pPr>
    </w:p>
    <w:p w:rsidR="00000000" w:rsidRPr="00EB1520" w:rsidP="00EB1520">
      <w:pPr>
        <w:pStyle w:val="Heading1"/>
      </w:pPr>
      <w:bookmarkStart w:id="12" w:name="O_152330"/>
      <w:bookmarkEnd w:id="12"/>
      <w:r w:rsidRPr="00EB1520">
        <w:t>Unit Sector(s)</w:t>
      </w:r>
    </w:p>
    <w:p w:rsidR="00000000" w:rsidRPr="00EB1520" w:rsidP="00EB1520">
      <w:pPr>
        <w:pStyle w:val="BodyText"/>
      </w:pPr>
      <w:r w:rsidRPr="00EB1520">
        <w:t>Not applicable.</w:t>
      </w:r>
    </w:p>
    <w:p w:rsidR="00000000" w:rsidRPr="00EB1520" w:rsidP="00EB1520">
      <w:pPr>
        <w:pStyle w:val="AllowPageBreak"/>
      </w:pPr>
    </w:p>
    <w:p w:rsidR="00000000" w:rsidRPr="00EB1520" w:rsidP="00EB1520">
      <w:pPr>
        <w:pStyle w:val="Heading1"/>
      </w:pPr>
      <w:bookmarkStart w:id="13" w:name="O_163952"/>
      <w:bookmarkEnd w:id="13"/>
      <w:r w:rsidRPr="00EB1520">
        <w:t>Field</w:t>
      </w:r>
    </w:p>
    <w:p w:rsidR="00224E4B" w:rsidP="00EB1520">
      <w:pPr>
        <w:pStyle w:val="BodyText"/>
      </w:pPr>
      <w:r w:rsidRPr="00EB1520">
        <w:t>Field</w:t>
      </w:r>
      <w:r w:rsidRPr="00EB1520">
        <w:tab/>
        <w:t>R</w:t>
      </w:r>
      <w:r w:rsidRPr="00EB1520">
        <w:tab/>
      </w:r>
      <w:r w:rsidRPr="00EB1520">
        <w:t>Carry Out Operations on Equipment and Systems</w:t>
      </w:r>
    </w:p>
    <w:p w:rsidR="00224E4B" w:rsidP="00EB1520">
      <w:pPr>
        <w:pStyle w:val="BodyText"/>
      </w:pPr>
    </w:p>
    <w:p w:rsidR="00000000" w:rsidRPr="00EB1520" w:rsidP="00EB1520">
      <w:pPr>
        <w:pStyle w:val="Heading1"/>
      </w:pPr>
      <w:bookmarkStart w:id="14" w:name="O_163953"/>
      <w:bookmarkEnd w:id="14"/>
      <w:r w:rsidRPr="00EB1520">
        <w:t>Relationship to other units</w:t>
      </w:r>
    </w:p>
    <w:tbl>
      <w:tblPr>
        <w:tblW w:w="0" w:type="auto"/>
        <w:tblLayout w:type="fixed"/>
        <w:tblCellMar>
          <w:left w:w="62" w:type="dxa"/>
          <w:right w:w="62" w:type="dxa"/>
        </w:tblCellMar>
        <w:tblLook w:val="0000"/>
      </w:tblPr>
      <w:tblGrid>
        <w:gridCol w:w="1974"/>
        <w:gridCol w:w="6481"/>
      </w:tblGrid>
      <w:tr w:rsidTr="00224E4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520">
            <w:pPr>
              <w:pStyle w:val="BodyText"/>
              <w:rPr>
                <w:lang w:val="en-NZ"/>
              </w:rPr>
            </w:pPr>
            <w:r w:rsidRPr="00EB152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520" w:rsidP="00EB1520">
            <w:pPr>
              <w:pStyle w:val="BodyText"/>
            </w:pPr>
            <w:r w:rsidRPr="00EB1520">
              <w:t>The unit may be assessed in conjunction with other units that relate to the functions of the occupation(s) concerned.</w:t>
            </w:r>
          </w:p>
        </w:tc>
      </w:tr>
    </w:tbl>
    <w:p w:rsidR="00000000" w:rsidRPr="00EB1520" w:rsidP="00EB1520">
      <w:pPr>
        <w:pStyle w:val="BodyText"/>
      </w:pPr>
    </w:p>
    <w:p w:rsidR="00000000" w:rsidRPr="00EB1520" w:rsidP="00EB1520"/>
    <w:sectPr w:rsidSect="00EB1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E4B" w:rsidP="00224E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rsidP="00EB15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4E4B" w:rsidP="00EB1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24E4B" w:rsidP="00EB1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20" w:rsidRPr="00224E4B" w:rsidP="00224E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B" w:rsidRPr="002D2AF8" w:rsidP="00EB1520">
    <w:pPr>
      <w:pStyle w:val="Header"/>
      <w:framePr w:wrap="around"/>
    </w:pPr>
    <w:r>
      <w:fldChar w:fldCharType="begin"/>
    </w:r>
    <w:r>
      <w:instrText xml:space="preserve"> TITLE   \* MERGEFORMAT </w:instrText>
    </w:r>
    <w:r>
      <w:fldChar w:fldCharType="separate"/>
    </w:r>
    <w:r>
      <w:t>TDMMR707B PLAN AND SCHEDULE OPERATIONS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24E4B" w:rsidP="00EB1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520"/>
    <w:pPr>
      <w:spacing w:before="360" w:after="60"/>
      <w:outlineLvl w:val="0"/>
    </w:pPr>
    <w:rPr>
      <w:sz w:val="32"/>
    </w:rPr>
  </w:style>
  <w:style w:type="paragraph" w:styleId="Heading2">
    <w:name w:val="heading 2"/>
    <w:basedOn w:val="HeadingBase"/>
    <w:next w:val="BodyText"/>
    <w:link w:val="Heading2Char"/>
    <w:qFormat/>
    <w:rsid w:val="00EB1520"/>
    <w:pPr>
      <w:keepLines/>
      <w:spacing w:before="240" w:after="120"/>
      <w:outlineLvl w:val="1"/>
    </w:pPr>
    <w:rPr>
      <w:sz w:val="28"/>
      <w:szCs w:val="40"/>
    </w:rPr>
  </w:style>
  <w:style w:type="paragraph" w:styleId="Heading3">
    <w:name w:val="heading 3"/>
    <w:basedOn w:val="HeadingBase"/>
    <w:next w:val="BodyText"/>
    <w:link w:val="Heading3Char"/>
    <w:qFormat/>
    <w:rsid w:val="00EB1520"/>
    <w:pPr>
      <w:spacing w:before="180" w:after="120"/>
      <w:outlineLvl w:val="2"/>
    </w:pPr>
    <w:rPr>
      <w:spacing w:val="-10"/>
      <w:kern w:val="32"/>
    </w:rPr>
  </w:style>
  <w:style w:type="paragraph" w:styleId="Heading4">
    <w:name w:val="heading 4"/>
    <w:basedOn w:val="HeadingBase"/>
    <w:next w:val="BodyText"/>
    <w:link w:val="Heading4Char"/>
    <w:qFormat/>
    <w:rsid w:val="00EB1520"/>
    <w:pPr>
      <w:spacing w:before="160" w:after="120"/>
      <w:outlineLvl w:val="3"/>
    </w:pPr>
    <w:rPr>
      <w:sz w:val="22"/>
    </w:rPr>
  </w:style>
  <w:style w:type="paragraph" w:styleId="Heading5">
    <w:name w:val="heading 5"/>
    <w:basedOn w:val="HeadingBase"/>
    <w:next w:val="Normal"/>
    <w:link w:val="Heading5Char"/>
    <w:qFormat/>
    <w:rsid w:val="00EB1520"/>
    <w:pPr>
      <w:spacing w:before="80"/>
      <w:outlineLvl w:val="4"/>
    </w:pPr>
    <w:rPr>
      <w:color w:val="918585"/>
      <w:sz w:val="20"/>
    </w:rPr>
  </w:style>
  <w:style w:type="paragraph" w:styleId="Heading6">
    <w:name w:val="heading 6"/>
    <w:basedOn w:val="HeadingBase"/>
    <w:next w:val="Normal"/>
    <w:link w:val="Heading6Char"/>
    <w:qFormat/>
    <w:rsid w:val="00EB1520"/>
    <w:pPr>
      <w:spacing w:before="60"/>
      <w:outlineLvl w:val="5"/>
    </w:pPr>
    <w:rPr>
      <w:color w:val="918585"/>
      <w:sz w:val="20"/>
    </w:rPr>
  </w:style>
  <w:style w:type="paragraph" w:styleId="Heading7">
    <w:name w:val="heading 7"/>
    <w:basedOn w:val="Normal"/>
    <w:next w:val="Normal"/>
    <w:link w:val="Heading7Char"/>
    <w:qFormat/>
    <w:rsid w:val="00EB1520"/>
    <w:pPr>
      <w:ind w:left="720"/>
      <w:outlineLvl w:val="6"/>
    </w:pPr>
    <w:rPr>
      <w:i/>
    </w:rPr>
  </w:style>
  <w:style w:type="paragraph" w:styleId="Heading8">
    <w:name w:val="heading 8"/>
    <w:basedOn w:val="Normal"/>
    <w:next w:val="Normal"/>
    <w:link w:val="Heading8Char"/>
    <w:qFormat/>
    <w:rsid w:val="00EB1520"/>
    <w:pPr>
      <w:ind w:left="720"/>
      <w:outlineLvl w:val="7"/>
    </w:pPr>
    <w:rPr>
      <w:i/>
    </w:rPr>
  </w:style>
  <w:style w:type="paragraph" w:styleId="Heading9">
    <w:name w:val="heading 9"/>
    <w:basedOn w:val="Normal"/>
    <w:next w:val="Normal"/>
    <w:link w:val="Heading9Char"/>
    <w:qFormat/>
    <w:rsid w:val="00EB1520"/>
    <w:pPr>
      <w:ind w:left="720"/>
      <w:outlineLvl w:val="8"/>
    </w:pPr>
    <w:rPr>
      <w:i/>
    </w:rPr>
  </w:style>
  <w:style w:type="character" w:default="1" w:styleId="DefaultParagraphFont">
    <w:name w:val="Default Paragraph Font"/>
    <w:uiPriority w:val="1"/>
    <w:unhideWhenUsed/>
    <w:rsid w:val="00EB1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520"/>
  </w:style>
  <w:style w:type="character" w:customStyle="1" w:styleId="Heading1Char">
    <w:name w:val="Heading 1 Char"/>
    <w:basedOn w:val="DefaultParagraphFont"/>
    <w:link w:val="Heading1"/>
    <w:rsid w:val="00EB1520"/>
    <w:rPr>
      <w:rFonts w:ascii="Times New Roman" w:eastAsia="Times New Roman" w:hAnsi="Times New Roman" w:cs="Times New Roman"/>
      <w:b/>
      <w:sz w:val="32"/>
      <w:szCs w:val="20"/>
      <w:lang w:eastAsia="en-US"/>
    </w:rPr>
  </w:style>
  <w:style w:type="paragraph" w:styleId="BodyText">
    <w:name w:val="Body Text"/>
    <w:basedOn w:val="Normal"/>
    <w:link w:val="BodyTextChar"/>
    <w:rsid w:val="00EB1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520"/>
    <w:rPr>
      <w:rFonts w:ascii="Times New Roman" w:eastAsia="Times New Roman" w:hAnsi="Times New Roman" w:cs="Times New Roman"/>
      <w:sz w:val="24"/>
      <w:lang w:eastAsia="en-US"/>
    </w:rPr>
  </w:style>
  <w:style w:type="paragraph" w:styleId="Footer">
    <w:name w:val="footer"/>
    <w:basedOn w:val="Normal"/>
    <w:link w:val="FooterChar"/>
    <w:rsid w:val="00EB1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520"/>
    <w:rPr>
      <w:rFonts w:ascii="Times New Roman" w:eastAsia="Times New Roman" w:hAnsi="Times New Roman" w:cs="Times New Roman"/>
      <w:sz w:val="16"/>
      <w:lang w:eastAsia="en-US"/>
    </w:rPr>
  </w:style>
  <w:style w:type="character" w:customStyle="1" w:styleId="SpecialBold">
    <w:name w:val="Special Bold"/>
    <w:basedOn w:val="DefaultParagraphFont"/>
    <w:rsid w:val="00EB1520"/>
    <w:rPr>
      <w:b/>
      <w:spacing w:val="0"/>
    </w:rPr>
  </w:style>
  <w:style w:type="character" w:styleId="Emphasis">
    <w:name w:val="Emphasis"/>
    <w:basedOn w:val="DefaultParagraphFont"/>
    <w:qFormat/>
    <w:rsid w:val="00EB1520"/>
    <w:rPr>
      <w:i/>
    </w:rPr>
  </w:style>
  <w:style w:type="paragraph" w:customStyle="1" w:styleId="SuperHeading">
    <w:name w:val="SuperHeading"/>
    <w:basedOn w:val="Normal"/>
    <w:rsid w:val="00EB1520"/>
    <w:pPr>
      <w:spacing w:before="240" w:after="120"/>
      <w:outlineLvl w:val="0"/>
    </w:pPr>
    <w:rPr>
      <w:rFonts w:ascii="Times New Roman" w:hAnsi="Times New Roman"/>
      <w:b/>
      <w:sz w:val="28"/>
    </w:rPr>
  </w:style>
  <w:style w:type="paragraph" w:customStyle="1" w:styleId="AllowPageBreak">
    <w:name w:val="AllowPageBreak"/>
    <w:rsid w:val="00EB1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520"/>
    <w:rPr>
      <w:rFonts w:ascii="Courier New" w:eastAsia="Times New Roman" w:hAnsi="Courier New" w:cs="Times New Roman"/>
      <w:i/>
      <w:szCs w:val="20"/>
      <w:lang w:eastAsia="en-US"/>
    </w:rPr>
  </w:style>
  <w:style w:type="paragraph" w:customStyle="1" w:styleId="HeadingBase">
    <w:name w:val="Heading Base"/>
    <w:rsid w:val="00EB1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520"/>
    <w:pPr>
      <w:tabs>
        <w:tab w:val="right" w:leader="dot" w:pos="9072"/>
      </w:tabs>
      <w:ind w:left="567"/>
    </w:pPr>
    <w:rPr>
      <w:szCs w:val="22"/>
    </w:rPr>
  </w:style>
  <w:style w:type="paragraph" w:customStyle="1" w:styleId="TOCBase">
    <w:name w:val="TOC Base"/>
    <w:rsid w:val="00EB1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520"/>
    <w:pPr>
      <w:tabs>
        <w:tab w:val="right" w:leader="dot" w:pos="9072"/>
      </w:tabs>
      <w:spacing w:before="40" w:after="40"/>
      <w:ind w:left="284"/>
    </w:pPr>
    <w:rPr>
      <w:rFonts w:ascii="Times New Roman" w:hAnsi="Times New Roman"/>
    </w:rPr>
  </w:style>
  <w:style w:type="paragraph" w:styleId="TOC1">
    <w:name w:val="toc 1"/>
    <w:basedOn w:val="TOCBase"/>
    <w:next w:val="Normal"/>
    <w:rsid w:val="00EB1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520"/>
    <w:pPr>
      <w:spacing w:before="5040"/>
      <w:jc w:val="center"/>
    </w:pPr>
    <w:rPr>
      <w:sz w:val="48"/>
      <w:szCs w:val="72"/>
      <w:lang w:val="en-US"/>
    </w:rPr>
  </w:style>
  <w:style w:type="character" w:customStyle="1" w:styleId="TitleChar">
    <w:name w:val="Title Char"/>
    <w:basedOn w:val="DefaultParagraphFont"/>
    <w:link w:val="Title"/>
    <w:rsid w:val="00EB1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520"/>
    <w:pPr>
      <w:tabs>
        <w:tab w:val="left" w:pos="3600"/>
        <w:tab w:val="left" w:pos="3958"/>
      </w:tabs>
    </w:pPr>
  </w:style>
  <w:style w:type="paragraph" w:styleId="List">
    <w:name w:val="List"/>
    <w:basedOn w:val="BodyText"/>
    <w:next w:val="BodyText"/>
    <w:rsid w:val="00EB1520"/>
    <w:pPr>
      <w:tabs>
        <w:tab w:val="left" w:pos="340"/>
      </w:tabs>
      <w:spacing w:before="60" w:after="60"/>
      <w:ind w:left="340" w:hanging="340"/>
    </w:pPr>
  </w:style>
  <w:style w:type="paragraph" w:styleId="ListBullet">
    <w:name w:val="List Bullet"/>
    <w:basedOn w:val="List"/>
    <w:rsid w:val="00EB1520"/>
    <w:pPr>
      <w:numPr>
        <w:numId w:val="11"/>
      </w:numPr>
      <w:tabs>
        <w:tab w:val="clear" w:pos="340"/>
      </w:tabs>
      <w:spacing w:before="40" w:after="40"/>
    </w:pPr>
  </w:style>
  <w:style w:type="paragraph" w:customStyle="1" w:styleId="Note">
    <w:name w:val="Note"/>
    <w:basedOn w:val="BodyText"/>
    <w:rsid w:val="00EB1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520"/>
    <w:pPr>
      <w:framePr w:wrap="auto" w:hAnchor="text" w:y="6049"/>
    </w:pPr>
    <w:rPr>
      <w:color w:val="000000"/>
      <w:sz w:val="40"/>
    </w:rPr>
  </w:style>
  <w:style w:type="paragraph" w:customStyle="1" w:styleId="TOCTitle">
    <w:name w:val="TOCTitle"/>
    <w:basedOn w:val="Heading1"/>
    <w:rsid w:val="00EB1520"/>
    <w:pPr>
      <w:spacing w:after="240"/>
      <w:jc w:val="center"/>
      <w:outlineLvl w:val="9"/>
    </w:pPr>
    <w:rPr>
      <w:caps/>
    </w:rPr>
  </w:style>
  <w:style w:type="paragraph" w:customStyle="1" w:styleId="Version">
    <w:name w:val="Version"/>
    <w:rsid w:val="00EB15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520"/>
    <w:pPr>
      <w:numPr>
        <w:numId w:val="12"/>
      </w:numPr>
      <w:tabs>
        <w:tab w:val="clear" w:pos="680"/>
      </w:tabs>
    </w:pPr>
  </w:style>
  <w:style w:type="paragraph" w:styleId="Index1">
    <w:name w:val="index 1"/>
    <w:basedOn w:val="Normal"/>
    <w:next w:val="Normal"/>
    <w:semiHidden/>
    <w:rsid w:val="00EB1520"/>
    <w:pPr>
      <w:keepNext w:val="0"/>
      <w:tabs>
        <w:tab w:val="right" w:pos="4176"/>
      </w:tabs>
      <w:ind w:left="198" w:hanging="198"/>
    </w:pPr>
    <w:rPr>
      <w:rFonts w:ascii="Garamond" w:hAnsi="Garamond"/>
    </w:rPr>
  </w:style>
  <w:style w:type="paragraph" w:styleId="IndexHeading">
    <w:name w:val="index heading"/>
    <w:basedOn w:val="Normal"/>
    <w:next w:val="Index1"/>
    <w:semiHidden/>
    <w:rsid w:val="00EB1520"/>
    <w:pPr>
      <w:spacing w:before="120" w:after="120"/>
    </w:pPr>
    <w:rPr>
      <w:rFonts w:ascii="Arial" w:hAnsi="Arial"/>
      <w:b/>
      <w:color w:val="918585"/>
      <w:sz w:val="24"/>
    </w:rPr>
  </w:style>
  <w:style w:type="paragraph" w:styleId="Header">
    <w:name w:val="header"/>
    <w:basedOn w:val="Normal"/>
    <w:link w:val="HeaderChar"/>
    <w:rsid w:val="00EB1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520"/>
    <w:rPr>
      <w:rFonts w:ascii="Times New Roman" w:eastAsia="Times New Roman" w:hAnsi="Times New Roman" w:cs="Times New Roman"/>
      <w:sz w:val="16"/>
      <w:szCs w:val="20"/>
      <w:lang w:val="en-GB" w:eastAsia="en-US"/>
    </w:rPr>
  </w:style>
  <w:style w:type="paragraph" w:customStyle="1" w:styleId="Chapter">
    <w:name w:val="Chapter"/>
    <w:basedOn w:val="Normal"/>
    <w:rsid w:val="00EB1520"/>
    <w:pPr>
      <w:spacing w:before="240"/>
    </w:pPr>
    <w:rPr>
      <w:rFonts w:ascii="Times New Roman" w:hAnsi="Times New Roman"/>
      <w:smallCaps/>
      <w:spacing w:val="80"/>
      <w:sz w:val="28"/>
    </w:rPr>
  </w:style>
  <w:style w:type="paragraph" w:customStyle="1" w:styleId="InChapter">
    <w:name w:val="InChapter"/>
    <w:basedOn w:val="Heading3"/>
    <w:rsid w:val="00EB1520"/>
    <w:pPr>
      <w:spacing w:after="240"/>
      <w:outlineLvl w:val="9"/>
    </w:pPr>
    <w:rPr>
      <w:noProof/>
    </w:rPr>
  </w:style>
  <w:style w:type="paragraph" w:styleId="Index2">
    <w:name w:val="index 2"/>
    <w:basedOn w:val="Normal"/>
    <w:next w:val="Normal"/>
    <w:semiHidden/>
    <w:rsid w:val="00EB1520"/>
    <w:pPr>
      <w:tabs>
        <w:tab w:val="right" w:pos="4176"/>
      </w:tabs>
      <w:ind w:left="568" w:hanging="284"/>
    </w:pPr>
    <w:rPr>
      <w:rFonts w:ascii="Garamond" w:hAnsi="Garamond"/>
    </w:rPr>
  </w:style>
  <w:style w:type="paragraph" w:customStyle="1" w:styleId="Byline">
    <w:name w:val="Byline"/>
    <w:rsid w:val="00EB1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520"/>
    <w:pPr>
      <w:tabs>
        <w:tab w:val="clear" w:pos="3600"/>
        <w:tab w:val="clear" w:pos="3958"/>
      </w:tabs>
      <w:jc w:val="right"/>
    </w:pPr>
  </w:style>
  <w:style w:type="paragraph" w:styleId="Caption">
    <w:name w:val="caption"/>
    <w:basedOn w:val="BodyText"/>
    <w:next w:val="Normal"/>
    <w:qFormat/>
    <w:rsid w:val="00EB1520"/>
    <w:pPr>
      <w:framePr w:w="2268" w:hSpace="181" w:vSpace="181" w:wrap="around" w:vAnchor="text" w:hAnchor="page" w:x="1135" w:y="285" w:anchorLock="1"/>
    </w:pPr>
    <w:rPr>
      <w:i/>
    </w:rPr>
  </w:style>
  <w:style w:type="paragraph" w:customStyle="1" w:styleId="MiniTOCTitle">
    <w:name w:val="MiniTOCTitle"/>
    <w:basedOn w:val="Heading4"/>
    <w:rsid w:val="00EB1520"/>
    <w:pPr>
      <w:spacing w:before="240"/>
      <w:outlineLvl w:val="9"/>
    </w:pPr>
    <w:rPr>
      <w:noProof/>
      <w:sz w:val="24"/>
    </w:rPr>
  </w:style>
  <w:style w:type="paragraph" w:customStyle="1" w:styleId="MiniTOCItem">
    <w:name w:val="MiniTOCItem"/>
    <w:basedOn w:val="ListBullet"/>
    <w:rsid w:val="00EB1520"/>
    <w:pPr>
      <w:numPr>
        <w:numId w:val="0"/>
      </w:numPr>
      <w:tabs>
        <w:tab w:val="right" w:leader="dot" w:pos="6521"/>
      </w:tabs>
      <w:spacing w:before="0" w:after="0"/>
    </w:pPr>
  </w:style>
  <w:style w:type="paragraph" w:customStyle="1" w:styleId="TOFTitle">
    <w:name w:val="TOFTitle"/>
    <w:basedOn w:val="TOCTitle"/>
    <w:rsid w:val="00EB1520"/>
  </w:style>
  <w:style w:type="paragraph" w:styleId="TableofFigures">
    <w:name w:val="table of figures"/>
    <w:basedOn w:val="Normal"/>
    <w:next w:val="Normal"/>
    <w:semiHidden/>
    <w:rsid w:val="00EB1520"/>
    <w:pPr>
      <w:tabs>
        <w:tab w:val="right" w:leader="dot" w:pos="9072"/>
      </w:tabs>
      <w:ind w:left="970" w:hanging="403"/>
    </w:pPr>
    <w:rPr>
      <w:rFonts w:ascii="Times New Roman" w:hAnsi="Times New Roman"/>
      <w:b/>
    </w:rPr>
  </w:style>
  <w:style w:type="paragraph" w:styleId="ListNumber">
    <w:name w:val="List Number"/>
    <w:basedOn w:val="List"/>
    <w:rsid w:val="00EB1520"/>
    <w:pPr>
      <w:numPr>
        <w:numId w:val="9"/>
      </w:numPr>
    </w:pPr>
  </w:style>
  <w:style w:type="character" w:customStyle="1" w:styleId="WingdingSymbols">
    <w:name w:val="Wingding Symbols"/>
    <w:rsid w:val="00EB1520"/>
    <w:rPr>
      <w:rFonts w:ascii="Wingdings" w:hAnsi="Wingdings"/>
    </w:rPr>
  </w:style>
  <w:style w:type="paragraph" w:customStyle="1" w:styleId="TableHeading">
    <w:name w:val="Table Heading"/>
    <w:basedOn w:val="HeadingBase"/>
    <w:rsid w:val="00EB1520"/>
    <w:pPr>
      <w:keepLines/>
      <w:pBdr>
        <w:bottom w:val="single" w:sz="6" w:space="1" w:color="918585"/>
      </w:pBdr>
      <w:spacing w:before="240"/>
    </w:pPr>
  </w:style>
  <w:style w:type="character" w:customStyle="1" w:styleId="HotSpot">
    <w:name w:val="HotSpot"/>
    <w:rsid w:val="00EB1520"/>
    <w:rPr>
      <w:color w:val="0033CC"/>
      <w:u w:val="none"/>
    </w:rPr>
  </w:style>
  <w:style w:type="paragraph" w:customStyle="1" w:styleId="BodyTextRight">
    <w:name w:val="Body Text Right"/>
    <w:basedOn w:val="BodyText"/>
    <w:rsid w:val="00EB1520"/>
    <w:pPr>
      <w:spacing w:before="0" w:after="0"/>
      <w:jc w:val="right"/>
    </w:pPr>
  </w:style>
  <w:style w:type="paragraph" w:styleId="Index3">
    <w:name w:val="index 3"/>
    <w:basedOn w:val="ListNumber2"/>
    <w:next w:val="Normal"/>
    <w:semiHidden/>
    <w:rsid w:val="00EB1520"/>
    <w:pPr>
      <w:numPr>
        <w:numId w:val="0"/>
      </w:numPr>
      <w:tabs>
        <w:tab w:val="right" w:leader="dot" w:pos="4176"/>
      </w:tabs>
    </w:pPr>
  </w:style>
  <w:style w:type="paragraph" w:styleId="ListNumber2">
    <w:name w:val="List Number 2"/>
    <w:basedOn w:val="List2"/>
    <w:rsid w:val="00EB1520"/>
    <w:pPr>
      <w:numPr>
        <w:numId w:val="8"/>
      </w:numPr>
      <w:tabs>
        <w:tab w:val="clear" w:pos="1060"/>
      </w:tabs>
    </w:pPr>
  </w:style>
  <w:style w:type="paragraph" w:customStyle="1" w:styleId="MarginNote">
    <w:name w:val="Margin Note"/>
    <w:basedOn w:val="BodyText"/>
    <w:rsid w:val="00EB1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520"/>
    <w:rPr>
      <w:sz w:val="32"/>
    </w:rPr>
  </w:style>
  <w:style w:type="paragraph" w:customStyle="1" w:styleId="HeadingProcedure">
    <w:name w:val="Heading Procedure"/>
    <w:basedOn w:val="HeadingBase"/>
    <w:next w:val="Normal"/>
    <w:rsid w:val="00EB1520"/>
    <w:pPr>
      <w:tabs>
        <w:tab w:val="left" w:pos="0"/>
      </w:tabs>
      <w:spacing w:before="120" w:after="60"/>
    </w:pPr>
    <w:rPr>
      <w:i/>
      <w:color w:val="918585"/>
      <w:sz w:val="22"/>
    </w:rPr>
  </w:style>
  <w:style w:type="paragraph" w:customStyle="1" w:styleId="TableBodyText">
    <w:name w:val="Table Body Text"/>
    <w:basedOn w:val="BodyText"/>
    <w:rsid w:val="00EB1520"/>
    <w:pPr>
      <w:spacing w:before="60" w:after="60"/>
    </w:pPr>
  </w:style>
  <w:style w:type="paragraph" w:styleId="ListContinue">
    <w:name w:val="List Continue"/>
    <w:basedOn w:val="List"/>
    <w:rsid w:val="00EB1520"/>
    <w:pPr>
      <w:ind w:firstLine="0"/>
    </w:pPr>
  </w:style>
  <w:style w:type="paragraph" w:customStyle="1" w:styleId="ListNote">
    <w:name w:val="List Note"/>
    <w:basedOn w:val="List"/>
    <w:rsid w:val="00EB1520"/>
    <w:pPr>
      <w:pBdr>
        <w:top w:val="single" w:sz="6" w:space="2" w:color="918585"/>
        <w:bottom w:val="single" w:sz="6" w:space="2" w:color="918585"/>
      </w:pBdr>
      <w:tabs>
        <w:tab w:val="left" w:pos="1021"/>
      </w:tabs>
      <w:ind w:firstLine="0"/>
    </w:pPr>
  </w:style>
  <w:style w:type="paragraph" w:customStyle="1" w:styleId="Warning">
    <w:name w:val="Warning"/>
    <w:basedOn w:val="BodyText"/>
    <w:rsid w:val="00EB1520"/>
    <w:pPr>
      <w:shd w:val="clear" w:color="auto" w:fill="D9D9D9"/>
      <w:tabs>
        <w:tab w:val="left" w:pos="992"/>
      </w:tabs>
      <w:ind w:left="119" w:right="119"/>
    </w:pPr>
    <w:rPr>
      <w:sz w:val="20"/>
    </w:rPr>
  </w:style>
  <w:style w:type="paragraph" w:customStyle="1" w:styleId="MarginIcons">
    <w:name w:val="Margin Icons"/>
    <w:basedOn w:val="BodyText"/>
    <w:rsid w:val="00EB1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520"/>
    <w:rPr>
      <w:rFonts w:ascii="Courier New" w:hAnsi="Courier New"/>
    </w:rPr>
  </w:style>
  <w:style w:type="paragraph" w:customStyle="1" w:styleId="NoteBullet">
    <w:name w:val="Note Bullet"/>
    <w:basedOn w:val="Note"/>
    <w:rsid w:val="00EB1520"/>
    <w:pPr>
      <w:tabs>
        <w:tab w:val="clear" w:pos="680"/>
      </w:tabs>
      <w:spacing w:before="60" w:after="60"/>
    </w:pPr>
  </w:style>
  <w:style w:type="paragraph" w:customStyle="1" w:styleId="SubHeading2">
    <w:name w:val="SubHeading2"/>
    <w:basedOn w:val="HeadingBase"/>
    <w:rsid w:val="00EB1520"/>
    <w:pPr>
      <w:spacing w:before="240" w:after="60"/>
    </w:pPr>
    <w:rPr>
      <w:sz w:val="20"/>
    </w:rPr>
  </w:style>
  <w:style w:type="paragraph" w:customStyle="1" w:styleId="SubHeading1">
    <w:name w:val="SubHeading1"/>
    <w:basedOn w:val="HeadingBase"/>
    <w:rsid w:val="00EB1520"/>
    <w:pPr>
      <w:spacing w:before="240" w:after="60"/>
    </w:pPr>
    <w:rPr>
      <w:color w:val="918585"/>
      <w:sz w:val="22"/>
    </w:rPr>
  </w:style>
  <w:style w:type="paragraph" w:customStyle="1" w:styleId="SideHeading">
    <w:name w:val="Side Heading"/>
    <w:basedOn w:val="HeadingBase"/>
    <w:rsid w:val="00EB1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520"/>
    <w:pPr>
      <w:numPr>
        <w:numId w:val="10"/>
      </w:numPr>
    </w:pPr>
  </w:style>
  <w:style w:type="paragraph" w:styleId="PlainText">
    <w:name w:val="Plain Text"/>
    <w:basedOn w:val="Normal"/>
    <w:link w:val="PlainTextChar"/>
    <w:rsid w:val="00EB1520"/>
    <w:rPr>
      <w:sz w:val="20"/>
    </w:rPr>
  </w:style>
  <w:style w:type="character" w:customStyle="1" w:styleId="PlainTextChar">
    <w:name w:val="Plain Text Char"/>
    <w:basedOn w:val="DefaultParagraphFont"/>
    <w:link w:val="PlainText"/>
    <w:rsid w:val="00EB1520"/>
    <w:rPr>
      <w:rFonts w:ascii="Courier New" w:eastAsia="Times New Roman" w:hAnsi="Courier New" w:cs="Times New Roman"/>
      <w:sz w:val="20"/>
      <w:szCs w:val="20"/>
      <w:lang w:eastAsia="en-US"/>
    </w:rPr>
  </w:style>
  <w:style w:type="character" w:customStyle="1" w:styleId="MenuOption">
    <w:name w:val="Menu Option"/>
    <w:basedOn w:val="DefaultParagraphFont"/>
    <w:rsid w:val="00EB1520"/>
    <w:rPr>
      <w:b/>
      <w:smallCaps/>
    </w:rPr>
  </w:style>
  <w:style w:type="paragraph" w:customStyle="1" w:styleId="TableListNumber">
    <w:name w:val="Table List Number"/>
    <w:basedOn w:val="ListNumber"/>
    <w:rsid w:val="00EB1520"/>
    <w:pPr>
      <w:numPr>
        <w:numId w:val="0"/>
      </w:numPr>
    </w:pPr>
  </w:style>
  <w:style w:type="paragraph" w:styleId="TOC4">
    <w:name w:val="toc 4"/>
    <w:basedOn w:val="TOCBase"/>
    <w:next w:val="Normal"/>
    <w:semiHidden/>
    <w:rsid w:val="00EB1520"/>
    <w:pPr>
      <w:tabs>
        <w:tab w:val="right" w:leader="dot" w:pos="9071"/>
      </w:tabs>
      <w:ind w:left="1701"/>
    </w:pPr>
  </w:style>
  <w:style w:type="paragraph" w:customStyle="1" w:styleId="ListAlpha">
    <w:name w:val="List Alpha"/>
    <w:basedOn w:val="List"/>
    <w:rsid w:val="00EB1520"/>
    <w:pPr>
      <w:numPr>
        <w:numId w:val="7"/>
      </w:numPr>
    </w:pPr>
  </w:style>
  <w:style w:type="paragraph" w:customStyle="1" w:styleId="ListAlpha2">
    <w:name w:val="List Alpha 2"/>
    <w:basedOn w:val="List2"/>
    <w:rsid w:val="00EB1520"/>
    <w:pPr>
      <w:numPr>
        <w:numId w:val="6"/>
      </w:numPr>
    </w:pPr>
  </w:style>
  <w:style w:type="paragraph" w:styleId="List2">
    <w:name w:val="List 2"/>
    <w:basedOn w:val="BodyText"/>
    <w:rsid w:val="00EB1520"/>
    <w:pPr>
      <w:tabs>
        <w:tab w:val="left" w:pos="680"/>
      </w:tabs>
      <w:spacing w:before="60" w:after="60"/>
      <w:ind w:left="680" w:hanging="340"/>
    </w:pPr>
  </w:style>
  <w:style w:type="paragraph" w:styleId="List3">
    <w:name w:val="List 3"/>
    <w:basedOn w:val="BodyText"/>
    <w:rsid w:val="00EB1520"/>
    <w:pPr>
      <w:tabs>
        <w:tab w:val="left" w:pos="1021"/>
      </w:tabs>
      <w:spacing w:before="60" w:after="60"/>
      <w:ind w:left="1020" w:hanging="340"/>
    </w:pPr>
  </w:style>
  <w:style w:type="paragraph" w:styleId="List4">
    <w:name w:val="List 4"/>
    <w:basedOn w:val="BodyText"/>
    <w:rsid w:val="00EB1520"/>
    <w:pPr>
      <w:tabs>
        <w:tab w:val="left" w:pos="1361"/>
      </w:tabs>
      <w:spacing w:before="60" w:after="60"/>
      <w:ind w:left="1361" w:hanging="340"/>
    </w:pPr>
  </w:style>
  <w:style w:type="paragraph" w:styleId="List5">
    <w:name w:val="List 5"/>
    <w:basedOn w:val="BodyText"/>
    <w:rsid w:val="00EB1520"/>
    <w:pPr>
      <w:tabs>
        <w:tab w:val="left" w:pos="1701"/>
      </w:tabs>
      <w:spacing w:before="60" w:after="60"/>
      <w:ind w:left="1701" w:hanging="340"/>
    </w:pPr>
  </w:style>
  <w:style w:type="paragraph" w:styleId="ListBullet3">
    <w:name w:val="List Bullet 3"/>
    <w:basedOn w:val="List3"/>
    <w:rsid w:val="00EB1520"/>
    <w:pPr>
      <w:numPr>
        <w:numId w:val="13"/>
      </w:numPr>
      <w:tabs>
        <w:tab w:val="clear" w:pos="1021"/>
      </w:tabs>
      <w:ind w:left="1037" w:hanging="357"/>
    </w:pPr>
  </w:style>
  <w:style w:type="paragraph" w:styleId="ListBullet4">
    <w:name w:val="List Bullet 4"/>
    <w:basedOn w:val="List4"/>
    <w:rsid w:val="00EB1520"/>
    <w:pPr>
      <w:numPr>
        <w:numId w:val="1"/>
      </w:numPr>
    </w:pPr>
  </w:style>
  <w:style w:type="paragraph" w:styleId="ListBullet5">
    <w:name w:val="List Bullet 5"/>
    <w:basedOn w:val="List5"/>
    <w:rsid w:val="00EB1520"/>
    <w:pPr>
      <w:numPr>
        <w:numId w:val="2"/>
      </w:numPr>
    </w:pPr>
  </w:style>
  <w:style w:type="paragraph" w:styleId="ListContinue2">
    <w:name w:val="List Continue 2"/>
    <w:basedOn w:val="List2"/>
    <w:rsid w:val="00EB1520"/>
    <w:pPr>
      <w:ind w:firstLine="0"/>
    </w:pPr>
  </w:style>
  <w:style w:type="paragraph" w:styleId="ListContinue3">
    <w:name w:val="List Continue 3"/>
    <w:basedOn w:val="List3"/>
    <w:rsid w:val="00EB1520"/>
    <w:pPr>
      <w:ind w:left="1021" w:firstLine="0"/>
    </w:pPr>
  </w:style>
  <w:style w:type="paragraph" w:styleId="ListContinue4">
    <w:name w:val="List Continue 4"/>
    <w:basedOn w:val="List4"/>
    <w:rsid w:val="00EB1520"/>
    <w:pPr>
      <w:ind w:firstLine="0"/>
    </w:pPr>
  </w:style>
  <w:style w:type="paragraph" w:styleId="ListContinue5">
    <w:name w:val="List Continue 5"/>
    <w:basedOn w:val="List5"/>
    <w:rsid w:val="00EB1520"/>
    <w:pPr>
      <w:ind w:firstLine="0"/>
    </w:pPr>
  </w:style>
  <w:style w:type="paragraph" w:styleId="ListNumber3">
    <w:name w:val="List Number 3"/>
    <w:basedOn w:val="List3"/>
    <w:rsid w:val="00EB1520"/>
    <w:pPr>
      <w:numPr>
        <w:numId w:val="3"/>
      </w:numPr>
    </w:pPr>
  </w:style>
  <w:style w:type="paragraph" w:styleId="ListNumber4">
    <w:name w:val="List Number 4"/>
    <w:basedOn w:val="List4"/>
    <w:rsid w:val="00EB1520"/>
    <w:pPr>
      <w:numPr>
        <w:numId w:val="4"/>
      </w:numPr>
    </w:pPr>
  </w:style>
  <w:style w:type="paragraph" w:styleId="ListNumber5">
    <w:name w:val="List Number 5"/>
    <w:basedOn w:val="List5"/>
    <w:rsid w:val="00EB1520"/>
    <w:pPr>
      <w:numPr>
        <w:numId w:val="5"/>
      </w:numPr>
    </w:pPr>
  </w:style>
  <w:style w:type="paragraph" w:styleId="BlockText">
    <w:name w:val="Block Text"/>
    <w:basedOn w:val="Normal"/>
    <w:rsid w:val="00EB1520"/>
    <w:pPr>
      <w:spacing w:after="120"/>
      <w:ind w:left="1440" w:right="1440"/>
    </w:pPr>
  </w:style>
  <w:style w:type="character" w:customStyle="1" w:styleId="Subscript">
    <w:name w:val="Subscript"/>
    <w:basedOn w:val="DefaultParagraphFont"/>
    <w:rsid w:val="00EB1520"/>
    <w:rPr>
      <w:sz w:val="16"/>
      <w:vertAlign w:val="subscript"/>
    </w:rPr>
  </w:style>
  <w:style w:type="character" w:customStyle="1" w:styleId="Superscript">
    <w:name w:val="Superscript"/>
    <w:basedOn w:val="DefaultParagraphFont"/>
    <w:rsid w:val="00EB1520"/>
    <w:rPr>
      <w:sz w:val="16"/>
      <w:vertAlign w:val="superscript"/>
    </w:rPr>
  </w:style>
  <w:style w:type="character" w:customStyle="1" w:styleId="Symbols">
    <w:name w:val="Symbols"/>
    <w:basedOn w:val="DefaultParagraphFont"/>
    <w:rsid w:val="00EB1520"/>
    <w:rPr>
      <w:rFonts w:ascii="Symbol" w:hAnsi="Symbol"/>
    </w:rPr>
  </w:style>
  <w:style w:type="character" w:customStyle="1" w:styleId="MenuOptions">
    <w:name w:val="Menu Options"/>
    <w:basedOn w:val="DefaultParagraphFont"/>
    <w:rsid w:val="00EB1520"/>
    <w:rPr>
      <w:rFonts w:ascii="Arial Narrow" w:hAnsi="Arial Narrow"/>
      <w:smallCaps/>
    </w:rPr>
  </w:style>
  <w:style w:type="character" w:customStyle="1" w:styleId="Buttons">
    <w:name w:val="Buttons"/>
    <w:basedOn w:val="DefaultParagraphFont"/>
    <w:rsid w:val="00EB1520"/>
    <w:rPr>
      <w:b/>
    </w:rPr>
  </w:style>
  <w:style w:type="character" w:customStyle="1" w:styleId="Underlined">
    <w:name w:val="Underlined"/>
    <w:basedOn w:val="DefaultParagraphFont"/>
    <w:rsid w:val="00EB1520"/>
    <w:rPr>
      <w:u w:val="single"/>
    </w:rPr>
  </w:style>
  <w:style w:type="paragraph" w:customStyle="1" w:styleId="TableBodyTextRight">
    <w:name w:val="Table Body Text Right"/>
    <w:basedOn w:val="TableBodyText"/>
    <w:rsid w:val="00EB1520"/>
    <w:pPr>
      <w:widowControl w:val="0"/>
      <w:autoSpaceDE w:val="0"/>
      <w:autoSpaceDN w:val="0"/>
      <w:adjustRightInd w:val="0"/>
      <w:jc w:val="right"/>
    </w:pPr>
    <w:rPr>
      <w:rFonts w:cs="Arial"/>
      <w:szCs w:val="18"/>
    </w:rPr>
  </w:style>
  <w:style w:type="paragraph" w:customStyle="1" w:styleId="CopyrightText">
    <w:name w:val="Copyright Text"/>
    <w:basedOn w:val="BodyText"/>
    <w:rsid w:val="00EB1520"/>
    <w:rPr>
      <w:sz w:val="18"/>
    </w:rPr>
  </w:style>
  <w:style w:type="paragraph" w:customStyle="1" w:styleId="BodySmallRight">
    <w:name w:val="Body Small Right"/>
    <w:basedOn w:val="BodyTextRight"/>
    <w:rsid w:val="00EB1520"/>
    <w:rPr>
      <w:sz w:val="18"/>
      <w:szCs w:val="18"/>
    </w:rPr>
  </w:style>
  <w:style w:type="paragraph" w:customStyle="1" w:styleId="MarginEdition">
    <w:name w:val="Margin Edition"/>
    <w:basedOn w:val="MarginNote"/>
    <w:rsid w:val="00EB1520"/>
    <w:pPr>
      <w:spacing w:before="0" w:after="0"/>
    </w:pPr>
    <w:rPr>
      <w:rFonts w:ascii="Times New Roman" w:hAnsi="Times New Roman"/>
      <w:color w:val="999999"/>
    </w:rPr>
  </w:style>
  <w:style w:type="paragraph" w:customStyle="1" w:styleId="Spacer">
    <w:name w:val="Spacer"/>
    <w:basedOn w:val="Normal"/>
    <w:rsid w:val="00EB1520"/>
    <w:rPr>
      <w:sz w:val="2"/>
      <w:szCs w:val="2"/>
    </w:rPr>
  </w:style>
  <w:style w:type="character" w:customStyle="1" w:styleId="Small">
    <w:name w:val="Small"/>
    <w:basedOn w:val="DefaultParagraphFont"/>
    <w:rsid w:val="00EB1520"/>
    <w:rPr>
      <w:sz w:val="16"/>
    </w:rPr>
  </w:style>
  <w:style w:type="paragraph" w:customStyle="1" w:styleId="WideTable">
    <w:name w:val="Wide Table"/>
    <w:basedOn w:val="Normal"/>
    <w:rsid w:val="00EB1520"/>
    <w:pPr>
      <w:ind w:left="-1418"/>
    </w:pPr>
    <w:rPr>
      <w:sz w:val="2"/>
      <w:szCs w:val="2"/>
    </w:rPr>
  </w:style>
  <w:style w:type="character" w:styleId="PageNumber">
    <w:name w:val="page number"/>
    <w:basedOn w:val="DefaultParagraphFont"/>
    <w:rsid w:val="00EB1520"/>
  </w:style>
  <w:style w:type="paragraph" w:styleId="Quote">
    <w:name w:val="Quote"/>
    <w:basedOn w:val="Heading1"/>
    <w:link w:val="QuoteChar"/>
    <w:qFormat/>
    <w:rsid w:val="00EB1520"/>
    <w:rPr>
      <w:b w:val="0"/>
      <w:sz w:val="72"/>
      <w:szCs w:val="72"/>
      <w:lang w:val="en-NZ"/>
    </w:rPr>
  </w:style>
  <w:style w:type="character" w:customStyle="1" w:styleId="QuoteChar">
    <w:name w:val="Quote Char"/>
    <w:basedOn w:val="DefaultParagraphFont"/>
    <w:link w:val="Quote"/>
    <w:rsid w:val="00EB1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520"/>
    <w:pPr>
      <w:pageBreakBefore/>
    </w:pPr>
  </w:style>
  <w:style w:type="paragraph" w:customStyle="1" w:styleId="Border">
    <w:name w:val="Border"/>
    <w:basedOn w:val="Normal"/>
    <w:qFormat/>
    <w:rsid w:val="00EB1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520"/>
    <w:rPr>
      <w:b/>
      <w:bCs/>
      <w:i/>
      <w:iCs/>
      <w:color w:val="auto"/>
    </w:rPr>
  </w:style>
  <w:style w:type="paragraph" w:styleId="IntenseQuote">
    <w:name w:val="Intense Quote"/>
    <w:basedOn w:val="Normal"/>
    <w:next w:val="Normal"/>
    <w:link w:val="IntenseQuoteChar"/>
    <w:uiPriority w:val="30"/>
    <w:qFormat/>
    <w:rsid w:val="00EB1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520"/>
    <w:rPr>
      <w:smallCaps/>
      <w:color w:val="auto"/>
      <w:u w:val="single"/>
    </w:rPr>
  </w:style>
  <w:style w:type="character" w:styleId="IntenseReference">
    <w:name w:val="Intense Reference"/>
    <w:basedOn w:val="DefaultParagraphFont"/>
    <w:uiPriority w:val="32"/>
    <w:qFormat/>
    <w:rsid w:val="00EB1520"/>
    <w:rPr>
      <w:b/>
      <w:bCs/>
      <w:smallCaps/>
      <w:color w:val="auto"/>
      <w:spacing w:val="5"/>
      <w:u w:val="single"/>
    </w:rPr>
  </w:style>
  <w:style w:type="paragraph" w:customStyle="1" w:styleId="2ColumnHeading">
    <w:name w:val="2Column Heading"/>
    <w:basedOn w:val="BodyText"/>
    <w:qFormat/>
    <w:rsid w:val="00EB1520"/>
    <w:pPr>
      <w:spacing w:after="60"/>
      <w:ind w:left="-2268"/>
    </w:pPr>
    <w:rPr>
      <w:b/>
    </w:rPr>
  </w:style>
  <w:style w:type="paragraph" w:customStyle="1" w:styleId="Heading1TOC">
    <w:name w:val="Heading1 TOC"/>
    <w:basedOn w:val="Normal"/>
    <w:qFormat/>
    <w:rsid w:val="00EB1520"/>
    <w:pPr>
      <w:spacing w:before="240" w:after="120"/>
    </w:pPr>
    <w:rPr>
      <w:rFonts w:ascii="Times New Roman" w:hAnsi="Times New Roman"/>
      <w:b/>
      <w:sz w:val="32"/>
    </w:rPr>
  </w:style>
  <w:style w:type="paragraph" w:customStyle="1" w:styleId="Heading2TOC">
    <w:name w:val="Heading2 TOC"/>
    <w:basedOn w:val="Normal"/>
    <w:qFormat/>
    <w:rsid w:val="00EB1520"/>
    <w:pPr>
      <w:spacing w:before="240" w:after="60"/>
    </w:pPr>
    <w:rPr>
      <w:rFonts w:ascii="Times New Roman" w:hAnsi="Times New Roman"/>
      <w:b/>
      <w:sz w:val="28"/>
    </w:rPr>
  </w:style>
  <w:style w:type="character" w:customStyle="1" w:styleId="Underline">
    <w:name w:val="Underline"/>
    <w:basedOn w:val="DefaultParagraphFont"/>
    <w:qFormat/>
    <w:rsid w:val="00EB1520"/>
    <w:rPr>
      <w:u w:val="single"/>
    </w:rPr>
  </w:style>
  <w:style w:type="character" w:customStyle="1" w:styleId="BoldandItalics">
    <w:name w:val="Bold and Italics"/>
    <w:qFormat/>
    <w:rsid w:val="00EB1520"/>
    <w:rPr>
      <w:b/>
      <w:i/>
      <w:u w:val="none"/>
    </w:rPr>
  </w:style>
  <w:style w:type="paragraph" w:styleId="BalloonText">
    <w:name w:val="Balloon Text"/>
    <w:basedOn w:val="Normal"/>
    <w:link w:val="BalloonTextChar"/>
    <w:rsid w:val="00EB1520"/>
    <w:rPr>
      <w:rFonts w:ascii="Tahoma" w:hAnsi="Tahoma" w:cs="Tahoma"/>
      <w:sz w:val="16"/>
      <w:szCs w:val="16"/>
    </w:rPr>
  </w:style>
  <w:style w:type="character" w:customStyle="1" w:styleId="BalloonTextChar">
    <w:name w:val="Balloon Text Char"/>
    <w:basedOn w:val="DefaultParagraphFont"/>
    <w:link w:val="BalloonText"/>
    <w:rsid w:val="00EB1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520"/>
    <w:rPr>
      <w:b/>
      <w:color w:val="660033"/>
      <w:spacing w:val="0"/>
    </w:rPr>
  </w:style>
  <w:style w:type="paragraph" w:customStyle="1" w:styleId="Nameditemlist">
    <w:name w:val="Named item list"/>
    <w:basedOn w:val="BodyText"/>
    <w:qFormat/>
    <w:rsid w:val="00EB1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2932</Words>
  <Characters>17785</Characters>
  <Application>Microsoft Office Word</Application>
  <DocSecurity>0</DocSecurity>
  <Lines>1062</Lines>
  <Paragraphs>484</Paragraphs>
  <ScaleCrop>false</ScaleCrop>
  <Company>Author-it Software Corporation Ltd.</Company>
  <LinksUpToDate>false</LinksUpToDate>
  <CharactersWithSpaces>20262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TDMMR707B PLAN AND SCHEDULE OPERATIONS ON VESSELS OF UNLIMITED PROPULSION POWER</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