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CF8" w:rsidP="00817CF8">
      <w:pPr>
        <w:pStyle w:val="Title"/>
      </w:pPr>
      <w:bookmarkStart w:id="0" w:name="_GoBack"/>
      <w:bookmarkEnd w:id="0"/>
      <w:r>
        <w:fldChar w:fldCharType="begin"/>
      </w:r>
      <w:r>
        <w:instrText xml:space="preserve"> TITLE   \* MERGEFORMAT </w:instrText>
      </w:r>
      <w:r>
        <w:fldChar w:fldCharType="separate"/>
      </w:r>
      <w:r>
        <w:t>TDMMR607B MANAGE THE OPERATION, MONITORING AND EVALUATION OF THE PERFORMANCE OF ENGINES ON VESSELS OF UNLIMITED PROPULSION POWER</w:t>
      </w:r>
      <w:r>
        <w:fldChar w:fldCharType="end"/>
      </w:r>
    </w:p>
    <w:p w:rsidR="00817CF8" w:rsidP="00817CF8">
      <w:pPr>
        <w:pStyle w:val="Version"/>
        <w:sectPr w:rsidSect="006775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597" w:rsidP="00677597">
      <w:pPr>
        <w:pStyle w:val="SuperHeading"/>
      </w:pPr>
      <w:r w:rsidRPr="00677597">
        <w:t>TDMMR607B MANAGE THE OPERATION, MONITORING AND EVALUATION OF THE PERFORMANCE OF ENGINES ON VESSELS OF UNLIMITED PROPULSION POWER</w:t>
      </w:r>
    </w:p>
    <w:p w:rsidR="00000000" w:rsidRPr="00677597" w:rsidP="00677597">
      <w:pPr>
        <w:pStyle w:val="Heading1"/>
      </w:pPr>
      <w:bookmarkStart w:id="1" w:name="O_152283"/>
      <w:bookmarkEnd w:id="1"/>
      <w:r w:rsidRPr="00677597">
        <w:t>Modification History</w:t>
      </w:r>
    </w:p>
    <w:p w:rsidR="00000000" w:rsidRPr="00677597" w:rsidP="00677597">
      <w:pPr>
        <w:pStyle w:val="BodyText"/>
      </w:pPr>
      <w:r w:rsidRPr="00677597">
        <w:t>Not applicable.</w:t>
      </w:r>
    </w:p>
    <w:p w:rsidR="00000000" w:rsidRPr="00677597" w:rsidP="00677597">
      <w:pPr>
        <w:pStyle w:val="AllowPageBreak"/>
      </w:pPr>
    </w:p>
    <w:p w:rsidR="00000000" w:rsidRPr="00677597" w:rsidP="00677597">
      <w:pPr>
        <w:pStyle w:val="Heading1"/>
      </w:pPr>
      <w:bookmarkStart w:id="2" w:name="O_152284"/>
      <w:bookmarkEnd w:id="2"/>
      <w:r w:rsidRPr="00677597">
        <w:t>Unit Descriptor</w:t>
      </w:r>
    </w:p>
    <w:tbl>
      <w:tblPr>
        <w:tblW w:w="0" w:type="auto"/>
        <w:tblLayout w:type="fixed"/>
        <w:tblCellMar>
          <w:left w:w="62" w:type="dxa"/>
          <w:right w:w="62" w:type="dxa"/>
        </w:tblCellMar>
        <w:tblLook w:val="0000"/>
      </w:tblPr>
      <w:tblGrid>
        <w:gridCol w:w="1974"/>
        <w:gridCol w:w="6481"/>
      </w:tblGrid>
      <w:tr w:rsidTr="00817CF8">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t>UNIT DESCRIPTOR:</w:t>
            </w:r>
          </w:p>
          <w:p w:rsidR="00000000" w:rsidRPr="00677597" w:rsidP="00677597">
            <w:pPr>
              <w:pStyle w:val="BodyText"/>
            </w:pPr>
            <w:r w:rsidRPr="00677597">
              <w:rPr>
                <w:rStyle w:val="SpecialBold"/>
              </w:rPr>
              <w:t>This unit involves the skills and knowledge required to operate and monitor and evaluate performance of engines on a commercial ocean-going vessel powered by main propulsion machinery of unl</w:t>
            </w:r>
            <w:r w:rsidRPr="00677597">
              <w:rPr>
                <w:rStyle w:val="SpecialBold"/>
              </w:rPr>
              <w:t>imited propulsion power</w:t>
            </w:r>
            <w:r w:rsidRPr="00677597">
              <w:t>.</w:t>
            </w:r>
          </w:p>
          <w:p w:rsidR="00000000" w:rsidP="00677597">
            <w:pPr>
              <w:pStyle w:val="BodyText"/>
              <w:rPr>
                <w:lang w:val="en-NZ"/>
              </w:rPr>
            </w:pPr>
            <w:r w:rsidRPr="00677597">
              <w:rPr>
                <w:rStyle w:val="SpecialBold"/>
              </w:rPr>
              <w:t>This includes the management and coordination of relevant maintenance andfault-finding activities and the application of advanced diagnostic and problem solving techniques to maintenance procedures</w:t>
            </w:r>
            <w:r w:rsidRPr="00677597">
              <w:t>.</w:t>
            </w:r>
          </w:p>
        </w:tc>
      </w:tr>
      <w:tr w:rsidTr="00817CF8">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677597" w:rsidP="00677597">
            <w:pPr>
              <w:pStyle w:val="BodyText"/>
            </w:pPr>
          </w:p>
        </w:tc>
      </w:tr>
    </w:tbl>
    <w:p w:rsidR="00000000" w:rsidRPr="00677597" w:rsidP="00677597">
      <w:pPr>
        <w:pStyle w:val="BodyText"/>
      </w:pPr>
    </w:p>
    <w:p w:rsidR="00000000" w:rsidRPr="00677597" w:rsidP="00677597">
      <w:pPr>
        <w:pStyle w:val="AllowPageBreak"/>
      </w:pPr>
    </w:p>
    <w:p w:rsidR="00000000" w:rsidRPr="00677597" w:rsidP="00677597">
      <w:pPr>
        <w:pStyle w:val="Heading1"/>
      </w:pPr>
      <w:bookmarkStart w:id="3" w:name="O_152285"/>
      <w:bookmarkEnd w:id="3"/>
      <w:r w:rsidRPr="00677597">
        <w:t>Application of the Unit</w:t>
      </w:r>
    </w:p>
    <w:tbl>
      <w:tblPr>
        <w:tblW w:w="0" w:type="auto"/>
        <w:tblLayout w:type="fixed"/>
        <w:tblCellMar>
          <w:left w:w="62" w:type="dxa"/>
          <w:right w:w="62" w:type="dxa"/>
        </w:tblCellMar>
        <w:tblLook w:val="0000"/>
      </w:tblPr>
      <w:tblGrid>
        <w:gridCol w:w="1974"/>
        <w:gridCol w:w="6481"/>
      </w:tblGrid>
      <w:tr w:rsidTr="00817CF8">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t>The unit has application in qualifications for Chief Engineer on a vessel of unlimited propulsion power operating in national and international waters. It is usually packaged within the Advanced Diploma of Tr</w:t>
            </w:r>
            <w:r w:rsidRPr="00677597">
              <w:t>ansport&amp;Distribution(Marine Engineering Class 1).</w:t>
            </w:r>
          </w:p>
        </w:tc>
      </w:tr>
    </w:tbl>
    <w:p w:rsidR="00000000" w:rsidRPr="00677597" w:rsidP="00677597">
      <w:pPr>
        <w:pStyle w:val="BodyText"/>
      </w:pPr>
    </w:p>
    <w:p w:rsidR="00000000" w:rsidRPr="00677597" w:rsidP="00677597">
      <w:pPr>
        <w:pStyle w:val="AllowPageBreak"/>
      </w:pPr>
    </w:p>
    <w:p w:rsidR="00000000" w:rsidRPr="00677597" w:rsidP="00677597">
      <w:pPr>
        <w:pStyle w:val="Heading1"/>
      </w:pPr>
      <w:bookmarkStart w:id="4" w:name="O_152286"/>
      <w:bookmarkEnd w:id="4"/>
      <w:r w:rsidRPr="00677597">
        <w:t>Licensing/Regulatory Information</w:t>
      </w:r>
    </w:p>
    <w:tbl>
      <w:tblPr>
        <w:tblW w:w="0" w:type="auto"/>
        <w:tblLayout w:type="fixed"/>
        <w:tblCellMar>
          <w:left w:w="62" w:type="dxa"/>
          <w:right w:w="62" w:type="dxa"/>
        </w:tblCellMar>
        <w:tblLook w:val="0000"/>
      </w:tblPr>
      <w:tblGrid>
        <w:gridCol w:w="1974"/>
        <w:gridCol w:w="6481"/>
      </w:tblGrid>
      <w:tr w:rsidTr="00817CF8">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Licensing</w:t>
            </w:r>
            <w:r w:rsidRPr="00677597">
              <w:t>/</w:t>
            </w:r>
            <w:r w:rsidRPr="00677597">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t>The unit is consistent with the relevant sections of STCW 95 and Marine Orders under the Australian Navigation Act 1912, describing requirements for a Chief Engineer on a vessel of unlimited propulsion power operating in international waters.</w:t>
            </w:r>
          </w:p>
        </w:tc>
      </w:tr>
    </w:tbl>
    <w:p w:rsidR="00000000" w:rsidRPr="00677597" w:rsidP="00677597">
      <w:pPr>
        <w:pStyle w:val="BodyText"/>
      </w:pPr>
    </w:p>
    <w:p w:rsidR="00000000" w:rsidRPr="00677597" w:rsidP="00677597">
      <w:pPr>
        <w:pStyle w:val="AllowPageBreak"/>
      </w:pPr>
    </w:p>
    <w:p w:rsidR="00000000" w:rsidRPr="00677597" w:rsidP="00677597">
      <w:pPr>
        <w:pStyle w:val="Heading1"/>
      </w:pPr>
      <w:bookmarkStart w:id="5" w:name="O_152287"/>
      <w:bookmarkEnd w:id="5"/>
      <w:r w:rsidRPr="00677597">
        <w:t>Pre-Requisites</w:t>
      </w:r>
    </w:p>
    <w:p w:rsidR="00000000" w:rsidRPr="00677597" w:rsidP="00677597">
      <w:pPr>
        <w:pStyle w:val="BodyText"/>
      </w:pPr>
      <w:r w:rsidRPr="00677597">
        <w:t>Not applicable.</w:t>
      </w:r>
    </w:p>
    <w:p w:rsidR="00000000" w:rsidRPr="00677597" w:rsidP="00677597">
      <w:pPr>
        <w:pStyle w:val="AllowPageBreak"/>
      </w:pPr>
    </w:p>
    <w:p w:rsidR="00000000" w:rsidRPr="00677597" w:rsidP="00677597">
      <w:pPr>
        <w:pStyle w:val="Heading1"/>
      </w:pPr>
      <w:bookmarkStart w:id="6" w:name="O_152288"/>
      <w:bookmarkEnd w:id="6"/>
      <w:r w:rsidRPr="00677597">
        <w:t>Employability Skills Information</w:t>
      </w:r>
    </w:p>
    <w:p w:rsidR="00000000" w:rsidRPr="00677597" w:rsidP="00677597">
      <w:pPr>
        <w:pStyle w:val="BodyText"/>
      </w:pPr>
      <w:r w:rsidRPr="00677597">
        <w:t>Not applicable.</w:t>
      </w:r>
    </w:p>
    <w:p w:rsidR="00000000" w:rsidRPr="00677597" w:rsidP="00677597">
      <w:pPr>
        <w:pStyle w:val="AllowPageBreak"/>
      </w:pPr>
    </w:p>
    <w:p w:rsidR="00000000" w:rsidRPr="00677597" w:rsidP="00677597">
      <w:pPr>
        <w:pStyle w:val="Heading1"/>
      </w:pPr>
      <w:bookmarkStart w:id="7" w:name="O_152289"/>
      <w:bookmarkEnd w:id="7"/>
      <w:r w:rsidRPr="00677597">
        <w:t>Elements and Performance Criteria Pre-Content</w:t>
      </w:r>
    </w:p>
    <w:tbl>
      <w:tblPr>
        <w:tblW w:w="0" w:type="auto"/>
        <w:tblLayout w:type="fixed"/>
        <w:tblCellMar>
          <w:left w:w="62" w:type="dxa"/>
          <w:right w:w="62" w:type="dxa"/>
        </w:tblCellMar>
        <w:tblLook w:val="0000"/>
      </w:tblPr>
      <w:tblGrid>
        <w:gridCol w:w="1946"/>
        <w:gridCol w:w="6504"/>
      </w:tblGrid>
      <w:tr w:rsidTr="00817CF8">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677597" w:rsidP="00677597">
            <w:pPr>
              <w:pStyle w:val="BodyText"/>
            </w:pPr>
            <w:r w:rsidRPr="00677597">
              <w:rPr>
                <w:rStyle w:val="Emphasis"/>
              </w:rPr>
              <w:t>Elements describe the essential outcomes of a unit of competency</w:t>
            </w:r>
            <w:r w:rsidRPr="00677597">
              <w:t>.</w:t>
            </w:r>
          </w:p>
        </w:tc>
        <w:tc>
          <w:tcPr>
            <w:tcW w:w="6504" w:type="dxa"/>
            <w:tcBorders>
              <w:top w:val="single" w:sz="6" w:space="0" w:color="auto"/>
              <w:left w:val="single" w:sz="6" w:space="0" w:color="auto"/>
              <w:bottom w:val="nil"/>
              <w:right w:val="nil"/>
            </w:tcBorders>
            <w:tcMar>
              <w:top w:w="0" w:type="dxa"/>
              <w:left w:w="62" w:type="dxa"/>
              <w:bottom w:w="0" w:type="dxa"/>
              <w:right w:w="62" w:type="dxa"/>
            </w:tcMar>
          </w:tcPr>
          <w:p w:rsidR="00000000" w:rsidRPr="00677597" w:rsidP="00677597">
            <w:pPr>
              <w:pStyle w:val="BodyText"/>
            </w:pPr>
            <w:r w:rsidRPr="00677597">
              <w:rPr>
                <w:rStyle w:val="Emphasis"/>
              </w:rPr>
              <w:t>Performance Criteria describe the required performance needed to demonstrate achievement of the element</w:t>
            </w:r>
            <w:r w:rsidRPr="00677597">
              <w:t xml:space="preserve">. </w:t>
            </w:r>
            <w:r w:rsidRPr="00677597">
              <w:rPr>
                <w:rStyle w:val="Emphasis"/>
              </w:rPr>
              <w:t>Assessment of performance is to be consistent with the Evidence Guide</w:t>
            </w:r>
            <w:r w:rsidRPr="00677597">
              <w:t>.</w:t>
            </w:r>
          </w:p>
        </w:tc>
      </w:tr>
    </w:tbl>
    <w:p w:rsidR="00000000" w:rsidRPr="00677597" w:rsidP="00677597">
      <w:pPr>
        <w:pStyle w:val="BodyText"/>
      </w:pPr>
    </w:p>
    <w:p w:rsidR="00000000" w:rsidRPr="00677597" w:rsidP="00677597">
      <w:pPr>
        <w:pStyle w:val="AllowPageBreak"/>
      </w:pPr>
    </w:p>
    <w:p w:rsidR="00000000" w:rsidRPr="00677597" w:rsidP="00677597">
      <w:pPr>
        <w:pStyle w:val="Heading1"/>
      </w:pPr>
      <w:bookmarkStart w:id="8" w:name="O_152290"/>
      <w:bookmarkEnd w:id="8"/>
      <w:r w:rsidRPr="00677597">
        <w:t>Elements and Performance Criteria</w:t>
      </w:r>
    </w:p>
    <w:tbl>
      <w:tblPr>
        <w:tblW w:w="0" w:type="auto"/>
        <w:tblLayout w:type="fixed"/>
        <w:tblCellMar>
          <w:left w:w="62" w:type="dxa"/>
          <w:right w:w="62" w:type="dxa"/>
        </w:tblCellMar>
        <w:tblLook w:val="0000"/>
      </w:tblPr>
      <w:tblGrid>
        <w:gridCol w:w="340"/>
        <w:gridCol w:w="1606"/>
        <w:gridCol w:w="360"/>
        <w:gridCol w:w="6030"/>
        <w:gridCol w:w="114"/>
      </w:tblGrid>
      <w:tr w:rsidTr="00817CF8">
        <w:tblPrEx>
          <w:tblW w:w="0" w:type="auto"/>
          <w:tblLayout w:type="fixed"/>
          <w:tblCellMar>
            <w:left w:w="62" w:type="dxa"/>
            <w:right w:w="62" w:type="dxa"/>
          </w:tblCellMar>
          <w:tblLook w:val="0000"/>
        </w:tblPrEx>
        <w:trPr>
          <w:gridAfter w:val="1"/>
          <w:wAfter w:w="114"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rPr>
                <w:rStyle w:val="SpecialBold"/>
              </w:rPr>
              <w:t>PERFORMANCE CRITERIA</w:t>
            </w:r>
          </w:p>
        </w:tc>
      </w:tr>
      <w:tr w:rsidTr="00817CF8">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t>.</w:t>
            </w:r>
          </w:p>
        </w:tc>
        <w:tc>
          <w:tcPr>
            <w:tcW w:w="650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w:t>
            </w:r>
          </w:p>
        </w:tc>
      </w:tr>
      <w:tr w:rsidTr="00817CF8">
        <w:tblPrEx>
          <w:tblW w:w="0" w:type="auto"/>
          <w:tblLayout w:type="fixed"/>
          <w:tblCellMar>
            <w:left w:w="62" w:type="dxa"/>
            <w:right w:w="62" w:type="dxa"/>
          </w:tblCellMar>
          <w:tblLook w:val="0000"/>
        </w:tblPrEx>
        <w:trPr>
          <w:gridAfter w:val="1"/>
          <w:wAfter w:w="114" w:type="dxa"/>
        </w:trPr>
        <w:tc>
          <w:tcPr>
            <w:tcW w:w="340"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Operate and maintain engines and associated propulsion plant</w:t>
            </w: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603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Internal combustion engines, gas turbines, propulsion plant and auxiliary machinery are managed and operated as per established procedures</w:t>
            </w:r>
          </w:p>
        </w:tc>
      </w:tr>
      <w:tr w:rsidTr="00817CF8">
        <w:tblPrEx>
          <w:tblW w:w="0" w:type="auto"/>
          <w:tblLayout w:type="fixed"/>
          <w:tblCellMar>
            <w:left w:w="62" w:type="dxa"/>
            <w:right w:w="62" w:type="dxa"/>
          </w:tblCellMar>
          <w:tblLook w:val="0000"/>
        </w:tblPrEx>
        <w:trPr>
          <w:gridAfter w:val="1"/>
          <w:wAfter w:w="1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603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The performance of engines and propulsion plant is monitored in accordance with bridge orders, company procedures, survey requirements and manufacturer's instructions and performance is compared with technical specifications and recommended limits of perfo</w:t>
            </w:r>
            <w:r w:rsidRPr="00677597">
              <w:t>rmance</w:t>
            </w:r>
          </w:p>
        </w:tc>
      </w:tr>
      <w:tr w:rsidTr="00817CF8">
        <w:tblPrEx>
          <w:tblW w:w="0" w:type="auto"/>
          <w:tblLayout w:type="fixed"/>
          <w:tblCellMar>
            <w:left w:w="62" w:type="dxa"/>
            <w:right w:w="62" w:type="dxa"/>
          </w:tblCellMar>
          <w:tblLook w:val="0000"/>
        </w:tblPrEx>
        <w:trPr>
          <w:gridAfter w:val="1"/>
          <w:wAfter w:w="1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603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The methods of measuring the operational parameters and load capacity of the engines are in accordance with manufacturer's technical specifications</w:t>
            </w:r>
          </w:p>
        </w:tc>
      </w:tr>
      <w:tr w:rsidTr="00817CF8">
        <w:tblPrEx>
          <w:tblW w:w="0" w:type="auto"/>
          <w:tblLayout w:type="fixed"/>
          <w:tblCellMar>
            <w:left w:w="62" w:type="dxa"/>
            <w:right w:w="62" w:type="dxa"/>
          </w:tblCellMar>
          <w:tblLook w:val="0000"/>
        </w:tblPrEx>
        <w:trPr>
          <w:gridAfter w:val="1"/>
          <w:wAfter w:w="1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603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Poor performance and faults are identified as per established marine practice</w:t>
            </w:r>
          </w:p>
        </w:tc>
      </w:tr>
      <w:tr w:rsidTr="00817CF8">
        <w:tblPrEx>
          <w:tblW w:w="0" w:type="auto"/>
          <w:tblLayout w:type="fixed"/>
          <w:tblCellMar>
            <w:left w:w="62" w:type="dxa"/>
            <w:right w:w="62" w:type="dxa"/>
          </w:tblCellMar>
          <w:tblLook w:val="0000"/>
        </w:tblPrEx>
        <w:trPr>
          <w:gridAfter w:val="1"/>
          <w:wAfter w:w="1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603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Poor performance and faults are investigated in accordance with marine engineering practice and manufacturer's instructions and appropriate action initiated to rectify the identified problem</w:t>
            </w:r>
          </w:p>
        </w:tc>
      </w:tr>
      <w:tr w:rsidTr="00817CF8">
        <w:tblPrEx>
          <w:tblW w:w="0" w:type="auto"/>
          <w:tblLayout w:type="fixed"/>
          <w:tblCellMar>
            <w:left w:w="62" w:type="dxa"/>
            <w:right w:w="62" w:type="dxa"/>
          </w:tblCellMar>
          <w:tblLook w:val="0000"/>
        </w:tblPrEx>
        <w:trPr>
          <w:gridAfter w:val="1"/>
          <w:wAfter w:w="114"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f</w:t>
            </w:r>
          </w:p>
        </w:tc>
        <w:tc>
          <w:tcPr>
            <w:tcW w:w="6030" w:type="dxa"/>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Appropriate action is taken to prevent d</w:t>
            </w:r>
            <w:r w:rsidRPr="00677597">
              <w:t>amage/failure in accordance with vessel's planned maintenance system or procedures, established marine engineering practice, safety regulations and manufacturer's instructions</w:t>
            </w:r>
          </w:p>
        </w:tc>
      </w:tr>
    </w:tbl>
    <w:p w:rsidR="00000000" w:rsidRPr="00677597" w:rsidP="00677597">
      <w:pPr>
        <w:pStyle w:val="BodyText"/>
      </w:pP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MONITORING AND EVALUATIONOF THE PERFORMANCE OF</w:t>
            </w:r>
            <w:r w:rsidRPr="00677597">
              <w:rPr>
                <w:rStyle w:val="SpecialBold"/>
              </w:rPr>
              <w:t xml:space="preserve">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817CF8">
        <w:tblPrEx>
          <w:tblW w:w="0" w:type="auto"/>
          <w:tblLayout w:type="fixed"/>
          <w:tblCellMar>
            <w:left w:w="62" w:type="dxa"/>
            <w:right w:w="62" w:type="dxa"/>
          </w:tblCellMar>
          <w:tblLook w:val="0000"/>
        </w:tblPrEx>
        <w:trPr>
          <w:gridAfter w:val="1"/>
          <w:wAfter w:w="29"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rPr>
                <w:rStyle w:val="SpecialBold"/>
              </w:rPr>
              <w:t>PERFORMANCE CRITERIA</w:t>
            </w:r>
          </w:p>
        </w:tc>
      </w:tr>
      <w:tr w:rsidTr="00817CF8">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Operate and maintain engines and associated propulsion plant</w:t>
            </w:r>
          </w:p>
          <w:p w:rsidR="00000000" w:rsidP="00677597">
            <w:pPr>
              <w:pStyle w:val="BodyText"/>
              <w:rPr>
                <w:lang w:val="en-NZ"/>
              </w:rPr>
            </w:pPr>
            <w:r w:rsidRPr="00677597">
              <w:t>(</w:t>
            </w:r>
            <w:r w:rsidRPr="00677597">
              <w:rPr>
                <w:rStyle w:val="SpecialBold"/>
              </w:rPr>
              <w:t>continued</w:t>
            </w:r>
            <w:r w:rsidRPr="00677597">
              <w: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g</w:t>
            </w:r>
          </w:p>
        </w:tc>
        <w:tc>
          <w:tcPr>
            <w:tcW w:w="60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Faulty and worn engine (internal combustion or, gas turbine) equipment and components are identified and are reported and action is initiated as required for repair or replacement in accordance with company procedures and established marine engineering pra</w:t>
            </w:r>
            <w:r w:rsidRPr="00677597">
              <w:t>ctice</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h</w:t>
            </w:r>
          </w:p>
        </w:tc>
        <w:tc>
          <w:tcPr>
            <w:tcW w:w="60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Decisions are made to carry out temporary or permanent repairs depending on the vessel's position and circumstances</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i</w:t>
            </w:r>
          </w:p>
        </w:tc>
        <w:tc>
          <w:tcPr>
            <w:tcW w:w="60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Appropriate consultation is taken with class society and marine administration concerning the nature of the repairs and any contingency or emergency action required</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t>j</w:t>
            </w:r>
          </w:p>
        </w:tc>
        <w:tc>
          <w:tcPr>
            <w:tcW w:w="6033" w:type="dxa"/>
            <w:gridSpan w:val="2"/>
            <w:tcBorders>
              <w:top w:val="nil"/>
              <w:left w:val="nil"/>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t>Management of the repair processes and the organisation and control of engine room per</w:t>
            </w:r>
            <w:r w:rsidRPr="00677597">
              <w:t>sonnel to facilitate repairs is in accordance with established procedures</w:t>
            </w:r>
          </w:p>
        </w:tc>
      </w:tr>
      <w:tr w:rsidTr="00817CF8">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Repair faultsin engines</w:t>
            </w:r>
            <w:r w:rsidRPr="00677597">
              <w:t xml:space="preserve">, </w:t>
            </w:r>
            <w:r w:rsidRPr="00677597">
              <w:rPr>
                <w:rStyle w:val="SpecialBold"/>
              </w:rPr>
              <w:t>propulsion plant or auxiliary machinery</w:t>
            </w:r>
          </w:p>
        </w:tc>
        <w:tc>
          <w:tcPr>
            <w:tcW w:w="34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605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Identified faults in engines, (internal combustion and gas turbines), propulsion plant and auxiliary machinery are investigated using advanced diagnostic techniques in accordance with established procedures</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605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Malfunctioning </w:t>
            </w:r>
            <w:r w:rsidRPr="00677597">
              <w:t>engines, (internal combustion and gas turbines), propulsion plant and auxiliary machinery are correctly isolated and disassembled, if necessary, in accordance with manufacturer's instructions and established marine engineering practice</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605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Damaged or faulty components are repaired or replaced in accordance with established procedures</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605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Repaired engines, (internal combustion and gas turbines), propulsion plant and auxiliary machinery are reassembled, restarted, checked and adjusted in acco</w:t>
            </w:r>
            <w:r w:rsidRPr="00677597">
              <w:t>rdance with manufacturer's instructions and established marine engineering practice</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605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Performance of repaired engines, (internal combustion and gas turbines), propulsion plant and auxiliary machinery and associated safety devices, control systems and al</w:t>
            </w:r>
            <w:r w:rsidRPr="00677597">
              <w:t xml:space="preserve">arms is checked in accordance with manufacturer's instructions </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t>f</w:t>
            </w:r>
          </w:p>
        </w:tc>
        <w:tc>
          <w:tcPr>
            <w:tcW w:w="605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Performance against recommended technical specifications is confirmed and the engines, (internal combustion and gas turbines), propulsion plant </w:t>
            </w:r>
            <w:r w:rsidRPr="00677597">
              <w:t>or auxiliary machinery is recommissioned in accordance with vessel's procedures</w:t>
            </w:r>
          </w:p>
        </w:tc>
      </w:tr>
      <w:tr w:rsidTr="00817CF8">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Complete operational and performance evaluation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60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Correct records are made relating to the operation and performance evaluation of engines (internal combustion and or gas turbines), propulsion plant and auxiliary equipment and any engine, (internal combustion and gas turbine) and machinery failure inciden</w:t>
            </w:r>
            <w:r w:rsidRPr="00677597">
              <w:t>ts</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6033" w:type="dxa"/>
            <w:gridSpan w:val="2"/>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All operational and performance evaluation documentation is completed in accordance with vessel's procedures, bridge orders, survey and company requirements and regulations</w:t>
            </w:r>
          </w:p>
        </w:tc>
      </w:tr>
    </w:tbl>
    <w:p w:rsidR="00000000" w:rsidRPr="00677597" w:rsidP="00677597">
      <w:pPr>
        <w:pStyle w:val="BodyText"/>
      </w:pP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 xml:space="preserve">MONITORING AND EVALUATIONOF THE </w:t>
            </w:r>
            <w:r w:rsidRPr="00677597">
              <w:rPr>
                <w:rStyle w:val="SpecialBold"/>
              </w:rPr>
              <w:t>PERFORMANCE OF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340"/>
        <w:gridCol w:w="1606"/>
        <w:gridCol w:w="340"/>
        <w:gridCol w:w="20"/>
        <w:gridCol w:w="6004"/>
        <w:gridCol w:w="29"/>
      </w:tblGrid>
      <w:tr w:rsidTr="00817CF8">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rPr>
                <w:rStyle w:val="SpecialBold"/>
              </w:rPr>
              <w:t>PERFORMANCE CRITERIA</w:t>
            </w:r>
          </w:p>
        </w:tc>
      </w:tr>
      <w:tr w:rsidTr="00817CF8">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60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Vessel's safety management procedures and safety regulations are applied in the operation and performance evaluation of engines, (internal combustion and gas turbines), propulsion plant and auxiliary machinery </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60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Hazards involved in engines, (internal combustion and gas turbines), propulsion plant and auxiliary equipment operation and performance evaluation are identified and action is taken to minimise or eliminate risk to personnel, vessel and the environment</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60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Safety, hazard minimisation and pollution control procedures and national and international regulations are followed at all times during maintenance and repair operations</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60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Where relevant, procedures and precautions necessary for entry into a pump-roo</w:t>
            </w:r>
            <w:r w:rsidRPr="00677597">
              <w:t>m, fuel tanks or other confined spaces on a vessel are correctly followed</w:t>
            </w:r>
          </w:p>
        </w:tc>
      </w:tr>
      <w:tr w:rsidTr="00817CF8">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6033" w:type="dxa"/>
            <w:gridSpan w:val="2"/>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Action is taken in the event of an engine or machinery failure or emergency to secure the engine, (internal combustion and gas turbine) and machinery and the vessel and maintain</w:t>
            </w:r>
            <w:r w:rsidRPr="00677597">
              <w:t xml:space="preserve"> the safety of the vessel and persons involved, and shipboard emergency and contingency plans are followed</w:t>
            </w:r>
          </w:p>
        </w:tc>
      </w:tr>
    </w:tbl>
    <w:p w:rsidR="00000000" w:rsidRPr="00677597" w:rsidP="00677597">
      <w:pPr>
        <w:pStyle w:val="BodyText"/>
      </w:pP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MONITORING AND EVALUATIONOF THE PERFORMANCE OF ENGINES ON VESSELS OF UNLIMITED PROPULSION POWER</w:t>
            </w:r>
          </w:p>
        </w:tc>
      </w:tr>
    </w:tbl>
    <w:p w:rsidR="00817CF8" w:rsidP="00677597">
      <w:pPr>
        <w:pStyle w:val="BodyText"/>
      </w:pPr>
    </w:p>
    <w:p w:rsidR="00817CF8" w:rsidP="00677597">
      <w:pPr>
        <w:pStyle w:val="BodyText"/>
      </w:pPr>
    </w:p>
    <w:p w:rsidR="00000000" w:rsidRPr="00677597" w:rsidP="00677597">
      <w:pPr>
        <w:pStyle w:val="Heading1"/>
      </w:pPr>
      <w:bookmarkStart w:id="9" w:name="O_152291"/>
      <w:bookmarkEnd w:id="9"/>
      <w:r w:rsidRPr="00677597">
        <w:t>Required Skills and Knowledge</w:t>
      </w:r>
    </w:p>
    <w:tbl>
      <w:tblPr>
        <w:tblW w:w="0" w:type="auto"/>
        <w:tblLayout w:type="fixed"/>
        <w:tblCellMar>
          <w:left w:w="62" w:type="dxa"/>
          <w:right w:w="62" w:type="dxa"/>
        </w:tblCellMar>
        <w:tblLook w:val="0000"/>
      </w:tblPr>
      <w:tblGrid>
        <w:gridCol w:w="423"/>
        <w:gridCol w:w="353"/>
        <w:gridCol w:w="7553"/>
        <w:gridCol w:w="10"/>
      </w:tblGrid>
      <w:tr w:rsidTr="00817CF8">
        <w:tblPrEx>
          <w:tblW w:w="0" w:type="auto"/>
          <w:tblLayout w:type="fixed"/>
          <w:tblCellMar>
            <w:left w:w="62" w:type="dxa"/>
            <w:right w:w="62" w:type="dxa"/>
          </w:tblCellMar>
          <w:tblLook w:val="0000"/>
        </w:tblPrEx>
        <w:trPr>
          <w:tblHeader/>
        </w:trPr>
        <w:tc>
          <w:tcPr>
            <w:tcW w:w="8339" w:type="dxa"/>
            <w:gridSpan w:val="4"/>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rPr>
                <w:rStyle w:val="SpecialBold"/>
              </w:rPr>
              <w:t>REQUIRED KNOWLEDGE</w:t>
            </w:r>
          </w:p>
        </w:tc>
      </w:tr>
      <w:tr w:rsidTr="00817CF8">
        <w:tblPrEx>
          <w:tblW w:w="0" w:type="auto"/>
          <w:tblLayout w:type="fixed"/>
          <w:tblCellMar>
            <w:left w:w="62" w:type="dxa"/>
            <w:right w:w="62" w:type="dxa"/>
          </w:tblCellMar>
          <w:tblLook w:val="0000"/>
        </w:tblPrEx>
        <w:tc>
          <w:tcPr>
            <w:tcW w:w="8339" w:type="dxa"/>
            <w:gridSpan w:val="4"/>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rPr>
                <w:rStyle w:val="Emphasis"/>
              </w:rPr>
              <w:t>This describes the knowledge required for this unit</w:t>
            </w:r>
            <w:r w:rsidRPr="00677597">
              <w:t>.</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7916"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National and international regulations, IMO Conventions and Codes, class rules, including AMSA Marine Orders applicable to the operation and performance evaluation of engines and gas turbines, propulsion plant and auxiliary machinery on vessels of unlimite</w:t>
            </w:r>
            <w:r w:rsidRPr="00677597">
              <w:t>d propulsion power</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7916"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Relevant OH&amp;S legislation, policies and procedures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7916"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Established engineering practice for the operation and performance evaluation of engines (internal combustion and gas turbines), propulsion plant and auxiliary machinery</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4</w:t>
            </w:r>
          </w:p>
        </w:tc>
        <w:tc>
          <w:tcPr>
            <w:tcW w:w="7916"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Operational characteristics and performance specifications for the different types of marine engines, propulsion plant and auxiliary machinery usually found on a vessel of unlimited propulsion power</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5</w:t>
            </w:r>
          </w:p>
        </w:tc>
        <w:tc>
          <w:tcPr>
            <w:tcW w:w="7916"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Procedures for carrying out performance evaluation of</w:t>
            </w:r>
            <w:r w:rsidRPr="00677597">
              <w:t xml:space="preserve"> engines and gas turbines, propulsion plant and auxiliary machinery as part of routine operational and maintenance procedures to ensure performance is in compliance with the bridge orders, technical specifications, survey requirements and established safet</w:t>
            </w:r>
            <w:r w:rsidRPr="00677597">
              <w:t xml:space="preserve">y and anti-pollution rules and regulations </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6</w:t>
            </w:r>
          </w:p>
        </w:tc>
        <w:tc>
          <w:tcPr>
            <w:tcW w:w="7916"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The nature and causes of typical malfunctions and/or poor performance of engines, propulsion plant and auxiliary machinery and the available methods for their detection and rectification</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7</w:t>
            </w:r>
          </w:p>
        </w:tc>
        <w:tc>
          <w:tcPr>
            <w:tcW w:w="7916"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Hazards and probl</w:t>
            </w:r>
            <w:r w:rsidRPr="00677597">
              <w:t>ems that can occur during the operation and performance evaluation of marine engines and gas turbines, propulsion plant and auxiliary machinery and appropriate preventative, remedial and long term action and solutions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8</w:t>
            </w:r>
          </w:p>
        </w:tc>
        <w:tc>
          <w:tcPr>
            <w:tcW w:w="7916"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Safety, environmental and hazard control precautions and procedures relevant to the operation and performance evaluation of engines and gas turbines, propulsion plant and auxiliary machinery</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9</w:t>
            </w:r>
          </w:p>
        </w:tc>
        <w:tc>
          <w:tcPr>
            <w:tcW w:w="7916"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Operational and performance evaluation records that must be m</w:t>
            </w:r>
            <w:r w:rsidRPr="00677597">
              <w:t>aintained on a vessel to meet the requirements of the company, survey requirements and regulatory authorities</w:t>
            </w:r>
          </w:p>
        </w:tc>
      </w:tr>
      <w:tr w:rsidTr="00817CF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10</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Maritime communication techniques needed during the operation and performance evaluation of engines, propulsion plant and auxiliary machinery</w:t>
            </w:r>
          </w:p>
        </w:tc>
      </w:tr>
      <w:tr w:rsidTr="00817CF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11</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Typical material safety data sheets, vessel and machinery specifications, machinery design drawings, machine drawings, operational manuals, specifications and electrical and control circuit diagrams</w:t>
            </w:r>
          </w:p>
        </w:tc>
      </w:tr>
      <w:tr w:rsidTr="00817CF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12</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Procedures for the testing of auxiliary boiler water, machinery cooling water and lubricating oil</w:t>
            </w:r>
          </w:p>
        </w:tc>
      </w:tr>
      <w:tr w:rsidTr="00817CF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13</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Principles and operational characteristics of internal combustion engines, including:</w:t>
            </w:r>
          </w:p>
        </w:tc>
      </w:tr>
      <w:tr w:rsidTr="00817CF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two stroke and four stroke cycles</w:t>
            </w:r>
          </w:p>
        </w:tc>
      </w:tr>
      <w:tr w:rsidTr="00817CF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optimum combustion parameters and their control</w:t>
            </w:r>
          </w:p>
        </w:tc>
      </w:tr>
      <w:tr w:rsidTr="00817CF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diesel engine scavenging systems both in normal and emergency operation</w:t>
            </w:r>
          </w:p>
        </w:tc>
      </w:tr>
      <w:tr w:rsidTr="00817CF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atmospheric pollution caused by diesel engine combustion and ways in which it can be minimised</w:t>
            </w:r>
          </w:p>
        </w:tc>
      </w:tr>
      <w:tr w:rsidTr="00817CF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determination of shaft power</w:t>
            </w:r>
          </w:p>
        </w:tc>
      </w:tr>
      <w:tr w:rsidTr="00817CF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irregularities in the performance of machinery and plant</w:t>
            </w:r>
          </w:p>
        </w:tc>
      </w:tr>
      <w:tr w:rsidTr="00817CF8">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14</w:t>
            </w:r>
          </w:p>
        </w:tc>
        <w:tc>
          <w:tcPr>
            <w:tcW w:w="7906" w:type="dxa"/>
            <w:gridSpan w:val="2"/>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Principles and operational characteristics of marine gas turbines</w:t>
            </w:r>
          </w:p>
        </w:tc>
      </w:tr>
    </w:tbl>
    <w:p w:rsidR="00000000" w:rsidRPr="00677597" w:rsidP="00677597">
      <w:pPr>
        <w:pStyle w:val="BodyText"/>
      </w:pP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 xml:space="preserve">MONITORING AND EVALUATIONOF THE </w:t>
            </w:r>
            <w:r w:rsidRPr="00677597">
              <w:rPr>
                <w:rStyle w:val="SpecialBold"/>
              </w:rPr>
              <w:t>PERFORMANCE OF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423"/>
        <w:gridCol w:w="353"/>
        <w:gridCol w:w="7553"/>
        <w:gridCol w:w="9"/>
      </w:tblGrid>
      <w:tr w:rsidTr="00817CF8">
        <w:tblPrEx>
          <w:tblW w:w="0" w:type="auto"/>
          <w:tblLayout w:type="fixed"/>
          <w:tblCellMar>
            <w:left w:w="62" w:type="dxa"/>
            <w:right w:w="62" w:type="dxa"/>
          </w:tblCellMar>
          <w:tblLook w:val="0000"/>
        </w:tblPrEx>
        <w:trPr>
          <w:gridAfter w:val="1"/>
          <w:wAfter w:w="9" w:type="dxa"/>
          <w:tblHeader/>
        </w:trPr>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15</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Principles of operation of hydraulic and electronic governors and overspeed trips</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16</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Methods of providing air for combustion</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17</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Principles of fuel systems, including:</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typical injection pressures and viscosities for different grades of fuel</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alterations to fuel pumps, camshafts and injectors for varying fuel types</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differences between constant and variable injection timing of fuel</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injection requirements for different speeds of diesel engine</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common service faults, symptoms and causes of combustion problems and related solutions</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fuel line pulsation damping devices and leakage protection</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g</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fuel valve cooling arrangements</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h</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uni-fuel and dual fuel systems</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18</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Principles of engine cooling and lubrication, including: </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7562"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different methods of diesel engine cooling</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7562"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need for treatment of engine cooling water</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7562"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methods of treating engine cooling water</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7562"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diesel engine lubrication requirements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7562"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theory and types of lubrication, including methods of lubricating diesel engine components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w:t>
            </w:r>
          </w:p>
        </w:tc>
        <w:tc>
          <w:tcPr>
            <w:tcW w:w="7562"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relative characteristics, and applications of mineral and synthetic oils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g</w:t>
            </w:r>
          </w:p>
        </w:tc>
        <w:tc>
          <w:tcPr>
            <w:tcW w:w="7562"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contaminants that may affect lubricants, </w:t>
            </w:r>
            <w:r w:rsidRPr="00677597">
              <w:t>their effect on machinery performance, and action that can be taken to avoid and remedy contamination of lubricants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h</w:t>
            </w:r>
          </w:p>
        </w:tc>
        <w:tc>
          <w:tcPr>
            <w:tcW w:w="7562"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common lubrication problems and their solution</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19</w:t>
            </w:r>
          </w:p>
        </w:tc>
        <w:tc>
          <w:tcPr>
            <w:tcW w:w="7915"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Principles of marine control systems, including:</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common sensors and their associated transmitters</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analysis of control loops</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temperature and pressure control systems used on board vessel</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load-dependent cooling of diesel alternators </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analysis of typical level control systems used on board vessel</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operation and application of electronic PID controllers</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20</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Principles and functions of machinery space monitoring and alarm systems, including:</w:t>
            </w:r>
          </w:p>
        </w:tc>
      </w:tr>
      <w:tr w:rsidTr="00817CF8">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7553" w:type="dxa"/>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control systems for central cooling and load-dependent cooling systems</w:t>
            </w:r>
          </w:p>
        </w:tc>
      </w:tr>
    </w:tbl>
    <w:p w:rsidR="00000000" w:rsidRPr="00677597" w:rsidP="00677597">
      <w:pPr>
        <w:pStyle w:val="BodyText"/>
      </w:pP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MONITORING AND EVALUATIONOF THE PERFORMANCE OF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423"/>
        <w:gridCol w:w="353"/>
        <w:gridCol w:w="7553"/>
      </w:tblGrid>
      <w:tr w:rsidTr="00817CF8">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main engine control arrangements for fixed pitch and controllable pitch propeller systems requiring sequential control</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alarm and monitoring systems involving data loggers, alarm loggers and trend analysis of collected data</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21</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Theory and preventative s</w:t>
            </w:r>
            <w:r w:rsidRPr="00677597">
              <w:t>trategies for scavenge and uptake fires, and starting air-line, crankcase and gearbox explosions, including:</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plans for hazard reduction</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procedures for extinguishing scavenge fires and dealing with crankcase mist detector alarms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regaining of control after starting air-line, crankcase and gearbox explosions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22</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Principles of thermodynamics and heat and heat engines relevant to detection, identification and repair of faults, including:</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heat transfer, including log mean temperature and circular pressure vessels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gases and gas cycles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properties and expansion of steam</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auxiliary boilers and evaporators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steam turbines, including an understanding of isentropic efficiency</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combustion with a specific understanding of volumetric analysis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g</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refrigeration and air-conditioning, including the use of entropy charts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23</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Principles and operational characteristics of steam turbines, gearing and associated equipment as they apply to </w:t>
            </w:r>
            <w:r w:rsidRPr="00677597">
              <w:t>auxiliary systems, including:</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lubrication</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gear configurations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thrust blocks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determination of shaft power</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irregularities in the performance of machinery and plant</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24</w:t>
            </w:r>
          </w:p>
        </w:tc>
        <w:tc>
          <w:tcPr>
            <w:tcW w:w="7906"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Principles and operational characteristics of auxiliary boilers and associated equipment, including:</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boiler water tests and treatment</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corrosion</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superheaters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de-aerators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air ejectors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75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open and closed feed systems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w:t>
            </w:r>
          </w:p>
        </w:tc>
        <w:tc>
          <w:tcPr>
            <w:tcW w:w="7553" w:type="dxa"/>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uptake fires</w:t>
            </w:r>
          </w:p>
        </w:tc>
      </w:tr>
    </w:tbl>
    <w:p w:rsidR="00000000" w:rsidRPr="00677597" w:rsidP="00677597">
      <w:pPr>
        <w:pStyle w:val="BodyText"/>
      </w:pP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MONITORING AND EVALUATIONOF THE PERFORMANCE OF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423"/>
        <w:gridCol w:w="7906"/>
      </w:tblGrid>
      <w:tr w:rsidTr="00817CF8">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rPr>
                <w:rStyle w:val="SpecialBold"/>
              </w:rPr>
              <w:t>REQUIRED SKILLS</w:t>
            </w:r>
          </w:p>
        </w:tc>
      </w:tr>
      <w:tr w:rsidTr="00817CF8">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rPr>
                <w:rStyle w:val="Emphasis"/>
              </w:rPr>
              <w:t>This describes the basic skills required for this unit</w:t>
            </w:r>
            <w:r w:rsidRPr="00677597">
              <w:t>.</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7906"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Communicate effectively with other personnel when managing the operation, monitoring and evaluation of the performance of engines (internal combustion and gas turbines) on vessels of unlimited propulsion power</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7906"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Interpret and follow procedures for the ope</w:t>
            </w:r>
            <w:r w:rsidRPr="00677597">
              <w:t>ration, monitoring and evaluation of the performance of engines (internal combustion and gas turbines) on vessels of unlimited propulsion power</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7906"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Read and interpret equipment performance readings and instrumentation</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4</w:t>
            </w:r>
          </w:p>
        </w:tc>
        <w:tc>
          <w:tcPr>
            <w:tcW w:w="7906"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Read and interpret material safety d</w:t>
            </w:r>
            <w:r w:rsidRPr="00677597">
              <w:t>ata sheets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5</w:t>
            </w:r>
          </w:p>
        </w:tc>
        <w:tc>
          <w:tcPr>
            <w:tcW w:w="7906"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Read and interpret vessel and machinery specifications, machinery design drawings, machine drawings, operational manuals, specifications and electrical and control circuit diagrams</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6</w:t>
            </w:r>
          </w:p>
        </w:tc>
        <w:tc>
          <w:tcPr>
            <w:tcW w:w="7906"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Work collaboratively with other shipboard personnel when m</w:t>
            </w:r>
            <w:r w:rsidRPr="00677597">
              <w:t>anaging the operation, monitoring and evaluation of the performance of engines and gas turbines on vessels of unlimited propulsion power</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7</w:t>
            </w:r>
          </w:p>
        </w:tc>
        <w:tc>
          <w:tcPr>
            <w:tcW w:w="7906"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Identify problems that can occur during the operation, monitoring and evaluation of the performance of engines (inte</w:t>
            </w:r>
            <w:r w:rsidRPr="00677597">
              <w:t>rnal combustion and gas turbines) on vessels of unlimited propulsion power</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8</w:t>
            </w:r>
          </w:p>
        </w:tc>
        <w:tc>
          <w:tcPr>
            <w:tcW w:w="7906"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Carry out calculations required when operating, monitoring and evaluating the performance of engines (internal combustion and gas turbines) on vessels of unlimited propulsion pow</w:t>
            </w:r>
            <w:r w:rsidRPr="00677597">
              <w:t xml:space="preserve">er </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9</w:t>
            </w:r>
          </w:p>
        </w:tc>
        <w:tc>
          <w:tcPr>
            <w:tcW w:w="7906"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Adapt to differing types of fuel, bilge and ballast systems from one vessel to another and when equipment and systems are changed</w:t>
            </w:r>
          </w:p>
        </w:tc>
      </w:tr>
      <w:tr w:rsidTr="00817CF8">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10</w:t>
            </w:r>
          </w:p>
        </w:tc>
        <w:tc>
          <w:tcPr>
            <w:tcW w:w="7906" w:type="dxa"/>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 xml:space="preserve">Select and use tools and equipment required for the operation, repair, monitoring </w:t>
            </w:r>
            <w:r w:rsidRPr="00677597">
              <w:t>and evaluation of the performance of engines and gas turbines on vessels of unlimited propulsion power</w:t>
            </w:r>
          </w:p>
        </w:tc>
      </w:tr>
    </w:tbl>
    <w:p w:rsidR="00817CF8" w:rsidP="00677597">
      <w:pPr>
        <w:pStyle w:val="BodyText"/>
      </w:pPr>
    </w:p>
    <w:p w:rsidR="00817CF8" w:rsidP="00677597">
      <w:pPr>
        <w:pStyle w:val="BodyText"/>
      </w:pPr>
    </w:p>
    <w:p w:rsidR="00000000" w:rsidRPr="00677597" w:rsidP="00677597">
      <w:pPr>
        <w:pStyle w:val="Heading1"/>
      </w:pPr>
      <w:bookmarkStart w:id="10" w:name="O_152292"/>
      <w:bookmarkEnd w:id="10"/>
      <w:r w:rsidRPr="00677597">
        <w:t>Evidence Guide</w:t>
      </w:r>
    </w:p>
    <w:p w:rsidR="00000000" w:rsidRPr="00677597" w:rsidP="00677597">
      <w:pPr>
        <w:pStyle w:val="BodyText"/>
      </w:pPr>
      <w:r w:rsidRPr="00677597">
        <w:rPr>
          <w:rStyle w:val="SpecialBold"/>
        </w:rPr>
        <w:t>Evidence Guide</w:t>
      </w: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 xml:space="preserve">MONITORING AND EVALUATIONOF THE PERFORMANCE OF ENGINES ON VESSELS OF </w:t>
            </w:r>
            <w:r w:rsidRPr="00677597">
              <w:rPr>
                <w:rStyle w:val="SpecialBold"/>
              </w:rPr>
              <w:t>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303"/>
        <w:gridCol w:w="1787"/>
        <w:gridCol w:w="360"/>
        <w:gridCol w:w="357"/>
        <w:gridCol w:w="5671"/>
        <w:gridCol w:w="15"/>
        <w:gridCol w:w="75"/>
      </w:tblGrid>
      <w:tr w:rsidTr="00817CF8">
        <w:tblPrEx>
          <w:tblW w:w="0" w:type="auto"/>
          <w:tblLayout w:type="fixed"/>
          <w:tblCellMar>
            <w:left w:w="62" w:type="dxa"/>
            <w:right w:w="62" w:type="dxa"/>
          </w:tblCellMar>
          <w:tblLook w:val="0000"/>
        </w:tblPrEx>
        <w:tc>
          <w:tcPr>
            <w:tcW w:w="8568" w:type="dxa"/>
            <w:gridSpan w:val="7"/>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rPr>
                <w:rStyle w:val="Emphasis"/>
              </w:rPr>
              <w:t>The Evidence Guide provides advice on assessment and must be read in conjunction with the Performance Criteria</w:t>
            </w:r>
            <w:r w:rsidRPr="00677597">
              <w:t xml:space="preserve">, </w:t>
            </w:r>
            <w:r w:rsidRPr="00677597">
              <w:rPr>
                <w:rStyle w:val="Emphasis"/>
              </w:rPr>
              <w:t>Required Skills and Knowledge</w:t>
            </w:r>
            <w:r w:rsidRPr="00677597">
              <w:t xml:space="preserve">, </w:t>
            </w:r>
            <w:r w:rsidRPr="00677597">
              <w:rPr>
                <w:rStyle w:val="Emphasis"/>
              </w:rPr>
              <w:t>the Range Statement and the Assessment Guidelines for this Training Package</w:t>
            </w:r>
            <w:r w:rsidRPr="00677597">
              <w:t>.</w:t>
            </w:r>
          </w:p>
        </w:tc>
      </w:tr>
      <w:tr w:rsidTr="00817CF8">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677597" w:rsidP="00677597">
            <w:pPr>
              <w:pStyle w:val="BodyText"/>
            </w:pPr>
            <w:r w:rsidRPr="00677597">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Critical aspects of evidence 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Assessment must confirm appropriate knowledge and skills to:</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6028"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Manage the operation, monitor and evaluate the performance of engines and gas turbines, propulsion plant and auxiliary machinery on a vessel of unlimited propulsion power</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6028"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Identify malfunctioning and faulty engines and gas turbines, propulsion plant and auxiliary machinery and initiate appropriate action for repair or replacement</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6028"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Exercise all required safety, environmental and hazard control precautions and procedures </w:t>
            </w:r>
            <w:r w:rsidRPr="00677597">
              <w:t>when overseeing the operation, repair, maintenance and performance evaluation of engines and gas turbines, propulsion plant and auxiliary machinery</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6028"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Identify typical operational and performance evaluation problems and hazards and take appropriate action </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6028"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Communicate effectively with others during the operation and performance evaluation of engines and gas turbines, propulsion plant and auxiliary </w:t>
            </w:r>
            <w:r w:rsidRPr="00677597">
              <w:t>machinery</w:t>
            </w:r>
          </w:p>
        </w:tc>
      </w:tr>
      <w:tr w:rsidTr="00817CF8">
        <w:tblPrEx>
          <w:tblW w:w="0" w:type="auto"/>
          <w:tblLayout w:type="fixed"/>
          <w:tblCellMar>
            <w:left w:w="62" w:type="dxa"/>
            <w:right w:w="62" w:type="dxa"/>
          </w:tblCellMar>
          <w:tblLook w:val="0000"/>
        </w:tblPrEx>
        <w:trPr>
          <w:gridAfter w:val="1"/>
          <w:wAfter w:w="75"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2"/>
          <w:wAfter w:w="90" w:type="dxa"/>
        </w:trPr>
        <w:tc>
          <w:tcPr>
            <w:tcW w:w="303"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6028"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Performance is demonstrated consistently over a period of time and in a suitable range of contexts</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6028"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Consistently applies underpinning knowledge and skills when:</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5671"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managing the operation, monitoring and evaluation of the performance of engines (internal combustion and gas turbines), propulsion plant and auxiliary machinery</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5671"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identifying malfunctioning and faulty engines (internal combustion and gas turbines), propulsion plant and auxiliary machinery and initiating appropriate action for repair or replacement</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5671"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exercising all required safety, environmental and hazard contro</w:t>
            </w:r>
            <w:r w:rsidRPr="00677597">
              <w:t>l precautions and procedures when overseeing the operation and performance evaluation of engines and gas turbines, propulsion plant and auxiliary machinery</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4</w:t>
            </w:r>
          </w:p>
        </w:tc>
        <w:tc>
          <w:tcPr>
            <w:tcW w:w="5671"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identifying and implementing improvements to procedures for the operation and performance evaluation of engines and gas turbines, propulsion plant and auxiliary systems</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5</w:t>
            </w:r>
          </w:p>
        </w:tc>
        <w:tc>
          <w:tcPr>
            <w:tcW w:w="5671"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completing required documentation, reports and records when operating, monitoring</w:t>
            </w:r>
            <w:r w:rsidRPr="00677597">
              <w:t xml:space="preserve"> and evaluating the performance of engines and gas turbines, propulsion plant and auxiliary machinery</w:t>
            </w:r>
          </w:p>
        </w:tc>
      </w:tr>
      <w:tr w:rsidTr="00817CF8">
        <w:tblPrEx>
          <w:tblW w:w="0" w:type="auto"/>
          <w:tblLayout w:type="fixed"/>
          <w:tblCellMar>
            <w:left w:w="62" w:type="dxa"/>
            <w:right w:w="62" w:type="dxa"/>
          </w:tblCellMar>
          <w:tblLook w:val="0000"/>
        </w:tblPrEx>
        <w:trPr>
          <w:gridAfter w:val="2"/>
          <w:wAfter w:w="9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c</w:t>
            </w:r>
          </w:p>
        </w:tc>
        <w:tc>
          <w:tcPr>
            <w:tcW w:w="6028" w:type="dxa"/>
            <w:gridSpan w:val="2"/>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Shows evidence of application of relevant workplace procedures, including:</w:t>
            </w:r>
          </w:p>
        </w:tc>
      </w:tr>
    </w:tbl>
    <w:p w:rsidR="00000000" w:rsidRPr="00677597" w:rsidP="00677597">
      <w:pPr>
        <w:pStyle w:val="BodyText"/>
      </w:pPr>
    </w:p>
    <w:p w:rsidR="00000000" w:rsidRPr="00677597" w:rsidP="00677597">
      <w:pPr>
        <w:pStyle w:val="BodyText"/>
      </w:pPr>
      <w:r w:rsidRPr="00677597">
        <w:rPr>
          <w:rStyle w:val="SpecialBold"/>
        </w:rPr>
        <w:t>Evidence Guide</w:t>
      </w:r>
      <w:r w:rsidRPr="00677597">
        <w:t xml:space="preserve"> (</w:t>
      </w:r>
      <w:r w:rsidRPr="00677597">
        <w:rPr>
          <w:rStyle w:val="SpecialBold"/>
        </w:rPr>
        <w:t>continued</w:t>
      </w:r>
      <w:r w:rsidRPr="00677597">
        <w:t xml:space="preserve">) </w:t>
      </w: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MONITORING AND EVALUATIONOF THE PERFORMANCE OF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gridCol w:w="15"/>
      </w:tblGrid>
      <w:tr w:rsidTr="00817CF8">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Evidence required for demonstration of consistent performance</w:t>
            </w:r>
          </w:p>
          <w:p w:rsidR="00000000" w:rsidP="00677597">
            <w:pPr>
              <w:pStyle w:val="BodyText"/>
              <w:rPr>
                <w:lang w:val="en-NZ"/>
              </w:rPr>
            </w:pPr>
            <w:r w:rsidRPr="00677597">
              <w:t>(</w:t>
            </w:r>
            <w:r w:rsidRPr="00677597">
              <w:rPr>
                <w:rStyle w:val="SpecialBold"/>
              </w:rPr>
              <w:t>continued</w:t>
            </w:r>
            <w:r w:rsidRPr="00677597">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5670"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relevant sections maritime regulations</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5670"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OH&amp;S regulations and hazard prevention policies and procedures </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5670"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safety management system procedures and work instructions on the operation and performance evaluation of engines and gas turbines, propulsion plant and auxiliary machinery</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4</w:t>
            </w:r>
          </w:p>
        </w:tc>
        <w:tc>
          <w:tcPr>
            <w:tcW w:w="5670"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following on-board housekeeping processes</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5</w:t>
            </w:r>
          </w:p>
        </w:tc>
        <w:tc>
          <w:tcPr>
            <w:tcW w:w="5670"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waste, pollution and recycling management processes</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d</w:t>
            </w:r>
          </w:p>
        </w:tc>
        <w:tc>
          <w:tcPr>
            <w:tcW w:w="6027"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Action is taken promptly to report and/or rectify engine, plant and machinery malfunctions, non-conformities, accidents, hazardous occurrences </w:t>
            </w:r>
            <w:r w:rsidRPr="00677597">
              <w:t>and safety incidents in accordance with statutory requirements, company procedures and the ISM Code</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e</w:t>
            </w:r>
          </w:p>
        </w:tc>
        <w:tc>
          <w:tcPr>
            <w:tcW w:w="6027"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Work is managed, controlled and completed systematically with required attention to detail</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f</w:t>
            </w:r>
          </w:p>
        </w:tc>
        <w:tc>
          <w:tcPr>
            <w:tcW w:w="6027"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Recognises and adapts appropriately to cultural differences in the workplace, including modes of behaviour and interactions among crew and others</w:t>
            </w:r>
          </w:p>
        </w:tc>
      </w:tr>
      <w:tr w:rsidTr="00817CF8">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6027"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Assessment of competency must comply with the assessment requirements of the relevant maritime regulations</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6027"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Assessment of this unit must be undertaken within relevant marine authority approved and audited arran</w:t>
            </w:r>
            <w:r w:rsidRPr="00677597">
              <w:t>gements by a registered training organisation:</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5670"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As a minimum, assessment of knowledge must be conducted through appropriate written/oral examinations, and</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5670"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Appropriate practical assessment must occur:</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w:t>
            </w:r>
          </w:p>
        </w:tc>
        <w:tc>
          <w:tcPr>
            <w:tcW w:w="531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at the registered train</w:t>
            </w:r>
            <w:r w:rsidRPr="00677597">
              <w:t xml:space="preserve">ing organisation; and/or </w:t>
            </w:r>
          </w:p>
        </w:tc>
      </w:tr>
      <w:tr w:rsidTr="00817CF8">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t>on an appropriate working or training vessel</w:t>
            </w:r>
          </w:p>
        </w:tc>
      </w:tr>
      <w:tr w:rsidTr="00817CF8">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Access is required to opportunities to:</w:t>
            </w:r>
          </w:p>
        </w:tc>
      </w:tr>
      <w:tr w:rsidTr="00817CF8">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a</w:t>
            </w:r>
          </w:p>
        </w:tc>
        <w:tc>
          <w:tcPr>
            <w:tcW w:w="6027" w:type="dxa"/>
            <w:gridSpan w:val="3"/>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participate in a range of practical and theoretical assignments, exercises, case studies and other assessments that demonstrate the skills and knowledge to operate and evaluate the performance of marine engines, propulsion plant and auxiliary systems typic</w:t>
            </w:r>
            <w:r w:rsidRPr="00677597">
              <w:t>ally found on a vessel of unlimited propulsion power; and/or</w:t>
            </w:r>
          </w:p>
        </w:tc>
      </w:tr>
    </w:tbl>
    <w:p w:rsidR="00000000" w:rsidRPr="00677597" w:rsidP="00677597">
      <w:pPr>
        <w:pStyle w:val="BodyText"/>
      </w:pPr>
    </w:p>
    <w:p w:rsidR="00000000" w:rsidRPr="00677597" w:rsidP="00677597">
      <w:pPr>
        <w:pStyle w:val="BodyText"/>
      </w:pPr>
      <w:r w:rsidRPr="00677597">
        <w:rPr>
          <w:rStyle w:val="SpecialBold"/>
        </w:rPr>
        <w:t>Evidence Guide</w:t>
      </w:r>
      <w:r w:rsidRPr="00677597">
        <w:t xml:space="preserve"> (</w:t>
      </w:r>
      <w:r w:rsidRPr="00677597">
        <w:rPr>
          <w:rStyle w:val="SpecialBold"/>
        </w:rPr>
        <w:t>continued</w:t>
      </w:r>
      <w:r w:rsidRPr="00677597">
        <w:t xml:space="preserve">) </w:t>
      </w: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MONITORING AND EVALUATIONOF THE PERFORMANCE OF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2091"/>
        <w:gridCol w:w="360"/>
        <w:gridCol w:w="6027"/>
      </w:tblGrid>
      <w:tr w:rsidTr="00817CF8">
        <w:tblPrEx>
          <w:tblW w:w="0" w:type="auto"/>
          <w:tblLayout w:type="fixed"/>
          <w:tblCellMar>
            <w:left w:w="62" w:type="dxa"/>
            <w:right w:w="62" w:type="dxa"/>
          </w:tblCellMar>
          <w:tblLook w:val="0000"/>
        </w:tblPrEx>
        <w:tc>
          <w:tcPr>
            <w:tcW w:w="2091" w:type="dxa"/>
            <w:tcBorders>
              <w:top w:val="nil"/>
              <w:left w:val="nil"/>
              <w:bottom w:val="nil"/>
              <w:right w:val="single" w:sz="6" w:space="0" w:color="auto"/>
            </w:tcBorders>
            <w:tcMar>
              <w:top w:w="0" w:type="dxa"/>
              <w:left w:w="62" w:type="dxa"/>
              <w:bottom w:w="0" w:type="dxa"/>
              <w:right w:w="62" w:type="dxa"/>
            </w:tcMar>
          </w:tcPr>
          <w:p w:rsidR="00000000" w:rsidP="00677597">
            <w:pPr>
              <w:pStyle w:val="List"/>
              <w:rPr>
                <w:lang w:val="en-NZ"/>
              </w:rPr>
            </w:pPr>
            <w:r w:rsidRPr="00677597">
              <w:t>4</w:t>
            </w:r>
            <w:r w:rsidRPr="00677597">
              <w:tab/>
            </w:r>
            <w:r w:rsidRPr="00677597">
              <w:rPr>
                <w:rStyle w:val="SpecialBold"/>
              </w:rPr>
              <w:t>Specific resources required for assessment</w:t>
            </w:r>
            <w:r w:rsidRPr="00677597">
              <w:t xml:space="preserve">  (</w:t>
            </w:r>
            <w:r w:rsidRPr="00677597">
              <w:rPr>
                <w:rStyle w:val="SpecialBold"/>
              </w:rPr>
              <w:t>continued</w:t>
            </w:r>
            <w:r w:rsidRPr="00677597">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b</w:t>
            </w:r>
          </w:p>
        </w:tc>
        <w:tc>
          <w:tcPr>
            <w:tcW w:w="6027" w:type="dxa"/>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operate and evaluate the performance of marine engines, propulsion plant and auxiliary systems in a range of operational situations on a commercial or training vessel of unlimited propulsion power</w:t>
            </w:r>
          </w:p>
        </w:tc>
      </w:tr>
    </w:tbl>
    <w:p w:rsidR="00817CF8" w:rsidP="00677597">
      <w:pPr>
        <w:pStyle w:val="BodyText"/>
      </w:pPr>
    </w:p>
    <w:p w:rsidR="00817CF8" w:rsidP="00677597">
      <w:pPr>
        <w:pStyle w:val="BodyText"/>
      </w:pPr>
    </w:p>
    <w:p w:rsidR="00000000" w:rsidRPr="00677597" w:rsidP="00677597">
      <w:pPr>
        <w:pStyle w:val="Heading1"/>
      </w:pPr>
      <w:bookmarkStart w:id="11" w:name="O_152293"/>
      <w:bookmarkEnd w:id="11"/>
      <w:r w:rsidRPr="00677597">
        <w:t>Range Statement</w:t>
      </w:r>
    </w:p>
    <w:p w:rsidR="00000000" w:rsidRPr="00677597" w:rsidP="00677597">
      <w:pPr>
        <w:pStyle w:val="BodyText"/>
      </w:pPr>
      <w:r w:rsidRPr="00677597">
        <w:rPr>
          <w:rStyle w:val="SpecialBold"/>
        </w:rPr>
        <w:t>Range Statement</w:t>
      </w: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MONITORING AND EVALUATIONOF THE PERFORMANCE OF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817CF8">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rPr>
                <w:rStyle w:val="Emphasis"/>
              </w:rPr>
              <w:t>The Range Statement relates to the unit of competency as a whole</w:t>
            </w:r>
            <w:r w:rsidRPr="00677597">
              <w:t xml:space="preserve">. </w:t>
            </w:r>
            <w:r w:rsidRPr="00677597">
              <w:rPr>
                <w:rStyle w:val="Emphasis"/>
              </w:rPr>
              <w:t>It allows for different work environments and situations that may affect performance</w:t>
            </w:r>
            <w:r w:rsidRPr="00677597">
              <w:t>.</w:t>
            </w:r>
          </w:p>
        </w:tc>
      </w:tr>
      <w:tr w:rsidTr="00817CF8">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rPr>
                <w:rStyle w:val="SpecialBold"/>
              </w:rPr>
              <w:t>SCOPE</w:t>
            </w:r>
          </w:p>
        </w:tc>
      </w:tr>
      <w:tr w:rsidTr="00817CF8">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rPr>
                <w:rStyle w:val="SpecialBold"/>
              </w:rPr>
              <w:t>1</w:t>
            </w:r>
            <w:r w:rsidRPr="00677597">
              <w:t>.</w:t>
            </w:r>
            <w:r w:rsidRPr="00677597">
              <w:tab/>
            </w:r>
            <w:r w:rsidRPr="00677597">
              <w:rPr>
                <w:rStyle w:val="SpecialBold"/>
              </w:rPr>
              <w:t>GENERAL CONTEXT</w:t>
            </w:r>
          </w:p>
        </w:tc>
      </w:tr>
      <w:tr w:rsidTr="00817CF8">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77597" w:rsidP="00677597">
            <w:pPr>
              <w:pStyle w:val="BodyText"/>
            </w:pPr>
            <w:r w:rsidRPr="00677597">
              <w:rPr>
                <w:rStyle w:val="SpecialBold"/>
              </w:rPr>
              <w:t>a</w:t>
            </w:r>
            <w:r w:rsidRPr="00677597">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Work must be carried out</w:t>
            </w:r>
            <w:r w:rsidRPr="00677597">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t>1</w:t>
            </w:r>
          </w:p>
        </w:tc>
        <w:tc>
          <w:tcPr>
            <w:tcW w:w="6017" w:type="dxa"/>
            <w:tcBorders>
              <w:top w:val="nil"/>
              <w:left w:val="nil"/>
              <w:bottom w:val="single" w:sz="6" w:space="0" w:color="auto"/>
              <w:right w:val="nil"/>
            </w:tcBorders>
            <w:tcMar>
              <w:top w:w="0" w:type="dxa"/>
              <w:left w:w="62" w:type="dxa"/>
              <w:bottom w:w="0" w:type="dxa"/>
              <w:right w:w="62" w:type="dxa"/>
            </w:tcMar>
          </w:tcPr>
          <w:p w:rsidR="00000000" w:rsidRPr="00677597" w:rsidP="00677597">
            <w:pPr>
              <w:pStyle w:val="BodyText"/>
            </w:pPr>
            <w:r w:rsidRPr="00677597">
              <w:t>in compliance with mandatory rules and regulations and IMO Conventions and Codes, including the relevant sections of the AMSA Marine Orders. Applicable codes, guidelines and standards recommended by IMO, the classification societies and maritime industry o</w:t>
            </w:r>
            <w:r w:rsidRPr="00677597">
              <w:t>rganisations must be taken into account</w:t>
            </w:r>
          </w:p>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b</w:t>
            </w:r>
            <w:r w:rsidRPr="00677597">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Work is performed</w:t>
            </w:r>
            <w:r w:rsidRPr="00677597">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601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relatively mostly independently under broad operational requirements, with accountability for self and others in achieving the prescribed outcomes</w:t>
            </w:r>
          </w:p>
        </w:tc>
      </w:tr>
      <w:tr w:rsidTr="00817CF8">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77597" w:rsidP="00677597">
            <w:pPr>
              <w:pStyle w:val="BodyText"/>
            </w:pPr>
            <w:r w:rsidRPr="00677597">
              <w:rPr>
                <w:rStyle w:val="SpecialBold"/>
              </w:rPr>
              <w:t>c</w:t>
            </w:r>
            <w:r w:rsidRPr="00677597">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Work involves</w:t>
            </w:r>
            <w:r w:rsidRPr="00677597">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t>the application of marine engineering practice to the operation, repair, maintenance, monitoring and evaluation of engine (internal combustion or gas turbine) performance on a vessel of unlimited propulsion power in typical operational contexts. Contributi</w:t>
            </w:r>
            <w:r w:rsidRPr="00677597">
              <w:t>on to the development and implementation of a broad plan or strategy for the operation, monitoring and evaluation of engine performance is required and accountability and responsibility for self and others in achieving the outcomes is involved</w:t>
            </w:r>
          </w:p>
        </w:tc>
      </w:tr>
      <w:tr w:rsidTr="00817CF8">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d</w:t>
            </w:r>
            <w:r w:rsidRPr="00677597">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Work requires</w:t>
            </w:r>
            <w:r w:rsidRPr="00677597">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6017"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significant judgement in planning, engineering and leadership functions related to operation, monitoring and evaluation of engine or gas turbine and propulsion plant performance. This includes management and control of personnel, analysis</w:t>
            </w:r>
            <w:r w:rsidRPr="00677597">
              <w:t xml:space="preserve"> of the situation and decision making</w:t>
            </w:r>
          </w:p>
        </w:tc>
      </w:tr>
      <w:tr w:rsidTr="00817CF8">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rPr>
                <w:rStyle w:val="SpecialBold"/>
              </w:rPr>
              <w:t>2</w:t>
            </w:r>
            <w:r w:rsidRPr="00677597">
              <w:t>.</w:t>
            </w:r>
            <w:r w:rsidRPr="00677597">
              <w:tab/>
            </w:r>
            <w:r w:rsidRPr="00677597">
              <w:rPr>
                <w:rStyle w:val="SpecialBold"/>
              </w:rPr>
              <w:t>WORKSITE ENVIRONMENT</w:t>
            </w:r>
          </w:p>
        </w:tc>
      </w:tr>
      <w:tr w:rsidTr="00817CF8">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a</w:t>
            </w:r>
          </w:p>
        </w:tc>
        <w:tc>
          <w:tcPr>
            <w:tcW w:w="1744" w:type="dxa"/>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The operation</w:t>
            </w:r>
            <w:r w:rsidRPr="00677597">
              <w:t xml:space="preserve">, </w:t>
            </w:r>
            <w:r w:rsidRPr="00677597">
              <w:rPr>
                <w:rStyle w:val="SpecialBold"/>
              </w:rPr>
              <w:t>monitoring and evaluation of engine performance may be undertaken</w:t>
            </w:r>
            <w:r w:rsidRPr="0067759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6046" w:type="dxa"/>
            <w:gridSpan w:val="3"/>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on an Australian or international commercial vessel of unlimited propulsion power</w:t>
            </w:r>
          </w:p>
        </w:tc>
      </w:tr>
    </w:tbl>
    <w:p w:rsidR="00000000" w:rsidRPr="00677597" w:rsidP="00677597">
      <w:pPr>
        <w:pStyle w:val="BodyText"/>
      </w:pPr>
    </w:p>
    <w:p w:rsidR="00000000" w:rsidRPr="00677597" w:rsidP="00677597">
      <w:pPr>
        <w:pStyle w:val="BodyText"/>
      </w:pPr>
      <w:r w:rsidRPr="00677597">
        <w:rPr>
          <w:rStyle w:val="SpecialBold"/>
        </w:rPr>
        <w:t>Range Statement</w:t>
      </w:r>
      <w:r w:rsidRPr="00677597">
        <w:t xml:space="preserve"> (</w:t>
      </w:r>
      <w:r w:rsidRPr="00677597">
        <w:rPr>
          <w:rStyle w:val="SpecialBold"/>
        </w:rPr>
        <w:t>continued</w:t>
      </w:r>
      <w:r w:rsidRPr="00677597">
        <w:t>)</w:t>
      </w: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MONITORING AND EVALUATIONOF THE PERFORMANCE OF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346"/>
        <w:gridCol w:w="1743"/>
        <w:gridCol w:w="357"/>
        <w:gridCol w:w="433"/>
        <w:gridCol w:w="5610"/>
        <w:gridCol w:w="28"/>
      </w:tblGrid>
      <w:tr w:rsidTr="00817CF8">
        <w:tblPrEx>
          <w:tblW w:w="0" w:type="auto"/>
          <w:tblLayout w:type="fixed"/>
          <w:tblCellMar>
            <w:left w:w="62" w:type="dxa"/>
            <w:right w:w="62" w:type="dxa"/>
          </w:tblCellMar>
          <w:tblLook w:val="0000"/>
        </w:tblPrEx>
        <w:trPr>
          <w:tblHeader/>
        </w:trPr>
        <w:tc>
          <w:tcPr>
            <w:tcW w:w="208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VARIABLE</w:t>
            </w:r>
          </w:p>
        </w:tc>
        <w:tc>
          <w:tcPr>
            <w:tcW w:w="6428"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rPr>
                <w:rStyle w:val="SpecialBold"/>
              </w:rPr>
              <w:t>SCOPE</w:t>
            </w:r>
          </w:p>
        </w:tc>
      </w:tr>
      <w:tr w:rsidTr="00817CF8">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677597" w:rsidP="00677597">
            <w:pPr>
              <w:pStyle w:val="BodyText"/>
            </w:pPr>
          </w:p>
          <w:p w:rsidR="00000000" w:rsidP="00677597">
            <w:pPr>
              <w:pStyle w:val="BodyText"/>
              <w:rPr>
                <w:lang w:val="en-NZ"/>
              </w:rPr>
            </w:pPr>
            <w:r w:rsidRPr="00677597">
              <w:rPr>
                <w:rStyle w:val="SpecialBold"/>
              </w:rPr>
              <w:t>b</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677597" w:rsidP="00677597">
            <w:pPr>
              <w:pStyle w:val="BodyText"/>
            </w:pPr>
          </w:p>
          <w:p w:rsidR="00000000" w:rsidP="00677597">
            <w:pPr>
              <w:pStyle w:val="BodyText"/>
              <w:rPr>
                <w:lang w:val="en-NZ"/>
              </w:rPr>
            </w:pPr>
            <w:r w:rsidRPr="00677597">
              <w:rPr>
                <w:rStyle w:val="SpecialBold"/>
              </w:rPr>
              <w:t>The operation</w:t>
            </w:r>
            <w:r w:rsidRPr="00677597">
              <w:t xml:space="preserve">, </w:t>
            </w:r>
            <w:r w:rsidRPr="00677597">
              <w:rPr>
                <w:rStyle w:val="SpecialBold"/>
              </w:rPr>
              <w:t>monitoring and evaluation of engine performanc</w:t>
            </w:r>
            <w:r w:rsidRPr="00677597">
              <w:rPr>
                <w:rStyle w:val="SpecialBold"/>
              </w:rPr>
              <w:t>e may be carried out</w:t>
            </w:r>
            <w:r w:rsidRPr="00677597">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677597" w:rsidP="00677597">
            <w:pPr>
              <w:pStyle w:val="BodyText"/>
            </w:pPr>
          </w:p>
          <w:p w:rsidR="00000000" w:rsidP="00677597">
            <w:pPr>
              <w:pStyle w:val="BodyText"/>
              <w:rPr>
                <w:lang w:val="en-NZ"/>
              </w:rPr>
            </w:pPr>
            <w:r w:rsidRPr="00677597">
              <w:t>1</w:t>
            </w:r>
          </w:p>
        </w:tc>
        <w:tc>
          <w:tcPr>
            <w:tcW w:w="6043" w:type="dxa"/>
            <w:gridSpan w:val="2"/>
            <w:tcBorders>
              <w:top w:val="nil"/>
              <w:left w:val="nil"/>
              <w:bottom w:val="nil"/>
              <w:right w:val="nil"/>
            </w:tcBorders>
            <w:tcMar>
              <w:top w:w="0" w:type="dxa"/>
              <w:left w:w="62" w:type="dxa"/>
              <w:bottom w:w="0" w:type="dxa"/>
              <w:right w:w="62" w:type="dxa"/>
            </w:tcMar>
          </w:tcPr>
          <w:p w:rsidR="00000000" w:rsidRPr="00677597" w:rsidP="00677597">
            <w:pPr>
              <w:pStyle w:val="BodyText"/>
            </w:pPr>
          </w:p>
          <w:p w:rsidR="00000000" w:rsidP="00677597">
            <w:pPr>
              <w:pStyle w:val="BodyText"/>
              <w:rPr>
                <w:lang w:val="en-NZ"/>
              </w:rPr>
            </w:pPr>
            <w:r w:rsidRPr="00677597">
              <w:t>by day or night in both normal and emergency situations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under any permissible conditions of weather </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while underway</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4</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during berthing and unberthing operations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5</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while anchored or moored</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6</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when bunkering</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t>7</w:t>
            </w:r>
          </w:p>
        </w:tc>
        <w:tc>
          <w:tcPr>
            <w:tcW w:w="6043" w:type="dxa"/>
            <w:gridSpan w:val="2"/>
            <w:tcBorders>
              <w:top w:val="nil"/>
              <w:left w:val="nil"/>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t>while alongside or during cargo operations</w:t>
            </w:r>
          </w:p>
        </w:tc>
      </w:tr>
      <w:tr w:rsidTr="00817CF8">
        <w:tblPrEx>
          <w:tblW w:w="0" w:type="auto"/>
          <w:tblLayout w:type="fixed"/>
          <w:tblCellMar>
            <w:left w:w="62" w:type="dxa"/>
            <w:right w:w="62" w:type="dxa"/>
          </w:tblCellMar>
          <w:tblLook w:val="0000"/>
        </w:tblPrEx>
        <w:trPr>
          <w:gridAfter w:val="1"/>
          <w:wAfter w:w="28"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Propulsion plant configurations may include</w:t>
            </w:r>
            <w:r w:rsidRPr="0067759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low speed, medium and high speed diesel propulsion</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stern tube bearing</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fixed pitch and CPP</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4</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direct drive shaft or those using a clutch</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5</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diesel electric</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6</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steam turbine plant and boilers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7</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gas turbine</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8</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reduction gears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9</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thrust blocks, detuners and shaft bearings</w:t>
            </w:r>
          </w:p>
        </w:tc>
      </w:tr>
      <w:tr w:rsidTr="00817CF8">
        <w:tblPrEx>
          <w:tblW w:w="0" w:type="auto"/>
          <w:tblLayout w:type="fixed"/>
          <w:tblCellMar>
            <w:left w:w="62" w:type="dxa"/>
            <w:right w:w="62" w:type="dxa"/>
          </w:tblCellMar>
          <w:tblLook w:val="0000"/>
        </w:tblPrEx>
        <w:trPr>
          <w:gridAfter w:val="1"/>
          <w:wAfter w:w="28"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Types of engines</w:t>
            </w:r>
            <w:r w:rsidRPr="00677597">
              <w:t xml:space="preserve">, </w:t>
            </w:r>
            <w:r w:rsidRPr="00677597">
              <w:rPr>
                <w:rStyle w:val="SpecialBold"/>
              </w:rPr>
              <w:t>propulsion equipment and related auxiliary machinery may include</w:t>
            </w:r>
            <w:r w:rsidRPr="0067759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diesel, diesel electric and gas turbine propulsion systems and controls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steam boilers (as they apply to auxiliary systems)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steering gear, stabilisers, bow thrusters, rudders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4</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fluid power systems and controls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5</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pumps and pumping systems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6</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portable and fixed firefighting installations and fire control and monitoring systems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7</w:t>
            </w:r>
          </w:p>
        </w:tc>
        <w:tc>
          <w:tcPr>
            <w:tcW w:w="604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auxiliary systems and controls, including</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w:t>
            </w:r>
          </w:p>
        </w:tc>
        <w:tc>
          <w:tcPr>
            <w:tcW w:w="561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fresh and salt water cooling systems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ii</w:t>
            </w:r>
          </w:p>
        </w:tc>
        <w:tc>
          <w:tcPr>
            <w:tcW w:w="561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lubricating oil cooling systems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iii</w:t>
            </w:r>
          </w:p>
        </w:tc>
        <w:tc>
          <w:tcPr>
            <w:tcW w:w="561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fuel, oil, gas, coal systems and centrifuges</w:t>
            </w:r>
          </w:p>
        </w:tc>
      </w:tr>
      <w:tr w:rsidTr="00817CF8">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iv</w:t>
            </w:r>
          </w:p>
        </w:tc>
        <w:tc>
          <w:tcPr>
            <w:tcW w:w="5610" w:type="dxa"/>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air starting systems</w:t>
            </w:r>
          </w:p>
        </w:tc>
      </w:tr>
    </w:tbl>
    <w:p w:rsidR="00000000" w:rsidRPr="00677597" w:rsidP="00677597">
      <w:pPr>
        <w:pStyle w:val="BodyText"/>
      </w:pPr>
    </w:p>
    <w:p w:rsidR="00000000" w:rsidRPr="00677597" w:rsidP="00677597">
      <w:pPr>
        <w:pStyle w:val="BodyText"/>
      </w:pPr>
      <w:r w:rsidRPr="00677597">
        <w:rPr>
          <w:rStyle w:val="SpecialBold"/>
        </w:rPr>
        <w:t>Range Statement</w:t>
      </w:r>
      <w:r w:rsidRPr="00677597">
        <w:t xml:space="preserve"> (</w:t>
      </w:r>
      <w:r w:rsidRPr="00677597">
        <w:rPr>
          <w:rStyle w:val="SpecialBold"/>
        </w:rPr>
        <w:t>continued</w:t>
      </w:r>
      <w:r w:rsidRPr="00677597">
        <w:t>)</w:t>
      </w: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MONITORING AND EVALUATIONOF THE PERFORMANCE OF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346"/>
        <w:gridCol w:w="1747"/>
        <w:gridCol w:w="353"/>
        <w:gridCol w:w="54"/>
        <w:gridCol w:w="379"/>
        <w:gridCol w:w="5610"/>
        <w:gridCol w:w="42"/>
        <w:gridCol w:w="18"/>
      </w:tblGrid>
      <w:tr w:rsidTr="00817CF8">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VARIABLE</w:t>
            </w:r>
          </w:p>
        </w:tc>
        <w:tc>
          <w:tcPr>
            <w:tcW w:w="6456"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rPr>
                <w:rStyle w:val="SpecialBold"/>
              </w:rPr>
              <w:t>SCOPE</w:t>
            </w:r>
          </w:p>
        </w:tc>
      </w:tr>
      <w:tr w:rsidTr="00817CF8">
        <w:tblPrEx>
          <w:tblW w:w="0" w:type="auto"/>
          <w:tblLayout w:type="fixed"/>
          <w:tblCellMar>
            <w:left w:w="62" w:type="dxa"/>
            <w:right w:w="62" w:type="dxa"/>
          </w:tblCellMar>
          <w:tblLook w:val="0000"/>
        </w:tblPrEx>
        <w:trPr>
          <w:gridAfter w:val="2"/>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p>
          <w:p w:rsidR="00000000" w:rsidP="00677597">
            <w:pPr>
              <w:pStyle w:val="BodyText"/>
              <w:rPr>
                <w:lang w:val="en-NZ"/>
              </w:rPr>
            </w:pPr>
            <w:r w:rsidRPr="00677597">
              <w:rPr>
                <w:rStyle w:val="SpecialBold"/>
              </w:rPr>
              <w:t>d</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677597" w:rsidP="00677597">
            <w:pPr>
              <w:pStyle w:val="BodyText"/>
            </w:pPr>
          </w:p>
          <w:p w:rsidR="00000000" w:rsidRPr="00677597" w:rsidP="00677597">
            <w:pPr>
              <w:pStyle w:val="BodyText"/>
            </w:pPr>
            <w:r w:rsidRPr="00677597">
              <w:rPr>
                <w:rStyle w:val="SpecialBold"/>
              </w:rPr>
              <w:t>Types of engines</w:t>
            </w:r>
            <w:r w:rsidRPr="00677597">
              <w:t xml:space="preserve">, </w:t>
            </w:r>
            <w:r w:rsidRPr="00677597">
              <w:rPr>
                <w:rStyle w:val="SpecialBold"/>
              </w:rPr>
              <w:t>propulsion equipment and related auxiliary machinery may include</w:t>
            </w:r>
            <w:r w:rsidRPr="00677597">
              <w:t>:</w:t>
            </w:r>
          </w:p>
          <w:p w:rsidR="00000000" w:rsidP="00677597">
            <w:pPr>
              <w:pStyle w:val="BodyText"/>
              <w:rPr>
                <w:lang w:val="en-NZ"/>
              </w:rPr>
            </w:pPr>
            <w:r w:rsidRPr="00677597">
              <w:t>(</w:t>
            </w:r>
            <w:r w:rsidRPr="00677597">
              <w:rPr>
                <w:rStyle w:val="SpecialBold"/>
              </w:rPr>
              <w:t>continued</w:t>
            </w:r>
            <w:r w:rsidRPr="00677597">
              <w:t xml:space="preserve">) </w:t>
            </w:r>
          </w:p>
        </w:tc>
        <w:tc>
          <w:tcPr>
            <w:tcW w:w="35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RPr="00677597" w:rsidP="00677597">
            <w:pPr>
              <w:pStyle w:val="BodyText"/>
            </w:pPr>
          </w:p>
          <w:p w:rsidR="00000000" w:rsidP="00677597">
            <w:pPr>
              <w:pStyle w:val="BodyText"/>
              <w:rPr>
                <w:lang w:val="en-NZ"/>
              </w:rPr>
            </w:pPr>
            <w:r w:rsidRPr="00677597">
              <w:t>v</w:t>
            </w:r>
          </w:p>
        </w:tc>
        <w:tc>
          <w:tcPr>
            <w:tcW w:w="5610" w:type="dxa"/>
            <w:tcBorders>
              <w:top w:val="nil"/>
              <w:left w:val="nil"/>
              <w:bottom w:val="nil"/>
              <w:right w:val="nil"/>
            </w:tcBorders>
            <w:tcMar>
              <w:top w:w="0" w:type="dxa"/>
              <w:left w:w="62" w:type="dxa"/>
              <w:bottom w:w="0" w:type="dxa"/>
              <w:right w:w="62" w:type="dxa"/>
            </w:tcMar>
          </w:tcPr>
          <w:p w:rsidR="00000000" w:rsidRPr="00677597" w:rsidP="00677597">
            <w:pPr>
              <w:pStyle w:val="BodyText"/>
            </w:pPr>
          </w:p>
          <w:p w:rsidR="00000000" w:rsidP="00677597">
            <w:pPr>
              <w:pStyle w:val="BodyText"/>
              <w:rPr>
                <w:lang w:val="en-NZ"/>
              </w:rPr>
            </w:pPr>
            <w:r w:rsidRPr="00677597">
              <w:t>lubrication</w:t>
            </w:r>
          </w:p>
        </w:tc>
      </w:tr>
      <w:tr w:rsidTr="00817CF8">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vi</w:t>
            </w:r>
          </w:p>
        </w:tc>
        <w:tc>
          <w:tcPr>
            <w:tcW w:w="561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air compressors and compressed air and control air systems</w:t>
            </w:r>
          </w:p>
        </w:tc>
      </w:tr>
      <w:tr w:rsidTr="00817CF8">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vii</w:t>
            </w:r>
          </w:p>
        </w:tc>
        <w:tc>
          <w:tcPr>
            <w:tcW w:w="561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waste management and pollution control systems </w:t>
            </w:r>
          </w:p>
        </w:tc>
      </w:tr>
      <w:tr w:rsidTr="00817CF8">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viii</w:t>
            </w:r>
          </w:p>
        </w:tc>
        <w:tc>
          <w:tcPr>
            <w:tcW w:w="561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sewage plant</w:t>
            </w:r>
          </w:p>
        </w:tc>
      </w:tr>
      <w:tr w:rsidTr="00817CF8">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ix</w:t>
            </w:r>
          </w:p>
        </w:tc>
        <w:tc>
          <w:tcPr>
            <w:tcW w:w="561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portable fixed firefighting installations and fire control and monitoring systems</w:t>
            </w:r>
          </w:p>
        </w:tc>
      </w:tr>
      <w:tr w:rsidTr="00817CF8">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x</w:t>
            </w:r>
          </w:p>
        </w:tc>
        <w:tc>
          <w:tcPr>
            <w:tcW w:w="5610"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auxiliary boilers and waste heat generators</w:t>
            </w:r>
          </w:p>
        </w:tc>
      </w:tr>
      <w:tr w:rsidTr="00817CF8">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e</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Potential hazards during operations and performance evaluation of engines</w:t>
            </w:r>
            <w:r w:rsidRPr="00677597">
              <w:t xml:space="preserve">, </w:t>
            </w:r>
            <w:r w:rsidRPr="00677597">
              <w:rPr>
                <w:rStyle w:val="SpecialBold"/>
              </w:rPr>
              <w:t>propulsion plant and auxiliary machinery may include</w:t>
            </w:r>
            <w:r w:rsidRPr="00677597">
              <w:t>:</w:t>
            </w: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cold pipes and valves (refrigeration and liquefied gas cargoes)</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dangerous atmosphere</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electrical wiring and systems</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4</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faulty machinery equipment handling equipment and lifting gear</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5</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flammable liquids, vapours and fuel</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6</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hot pipes and valves (steam, fuel oil, lubricating oil)</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7</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machinery overload</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8</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moving and rotating machinery</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9</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moving heavy loads using unsafe lifting procedures</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10</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non-compliance with safe working procedures</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11</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noxious and dangerous cargoes</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12</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operating equipment beyond safe working limits</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13</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overspeed of electrical machinery, emergency trips</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14</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poor housekeeping procedures</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15</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power tools and other sharp tools and implements</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16</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slippery deck</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17</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unsecured machinery, components or equipment</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18</w:t>
            </w:r>
          </w:p>
        </w:tc>
        <w:tc>
          <w:tcPr>
            <w:tcW w:w="6031"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using equipment beyond safe working limits</w:t>
            </w:r>
          </w:p>
        </w:tc>
      </w:tr>
      <w:tr w:rsidTr="00817CF8">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7"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19</w:t>
            </w:r>
          </w:p>
        </w:tc>
        <w:tc>
          <w:tcPr>
            <w:tcW w:w="6031" w:type="dxa"/>
            <w:gridSpan w:val="3"/>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working at heights and in confined spaces</w:t>
            </w:r>
          </w:p>
        </w:tc>
      </w:tr>
    </w:tbl>
    <w:p w:rsidR="00000000" w:rsidRPr="00677597" w:rsidP="00677597">
      <w:pPr>
        <w:pStyle w:val="BodyText"/>
      </w:pPr>
    </w:p>
    <w:p w:rsidR="00000000" w:rsidRPr="00677597" w:rsidP="00677597">
      <w:pPr>
        <w:pStyle w:val="BodyText"/>
      </w:pPr>
      <w:r w:rsidRPr="00677597">
        <w:rPr>
          <w:rStyle w:val="SpecialBold"/>
        </w:rPr>
        <w:t>Range Statement</w:t>
      </w:r>
      <w:r w:rsidRPr="00677597">
        <w:t xml:space="preserve"> (</w:t>
      </w:r>
      <w:r w:rsidRPr="00677597">
        <w:rPr>
          <w:rStyle w:val="SpecialBold"/>
        </w:rPr>
        <w:t>continued</w:t>
      </w:r>
      <w:r w:rsidRPr="00677597">
        <w:t>)</w:t>
      </w: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MONITORING AND EVALUATIONOF THE PERFORMANCE OF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345"/>
        <w:gridCol w:w="1746"/>
        <w:gridCol w:w="357"/>
        <w:gridCol w:w="96"/>
        <w:gridCol w:w="444"/>
        <w:gridCol w:w="5543"/>
        <w:gridCol w:w="18"/>
      </w:tblGrid>
      <w:tr w:rsidTr="00817CF8">
        <w:tblPrEx>
          <w:tblW w:w="0" w:type="auto"/>
          <w:tblLayout w:type="fixed"/>
          <w:tblCellMar>
            <w:left w:w="62" w:type="dxa"/>
            <w:right w:w="62" w:type="dxa"/>
          </w:tblCellMar>
          <w:tblLook w:val="0000"/>
        </w:tblPrEx>
        <w:trPr>
          <w:tblHeader/>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VARIABLE</w:t>
            </w:r>
          </w:p>
        </w:tc>
        <w:tc>
          <w:tcPr>
            <w:tcW w:w="6458"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rPr>
                <w:rStyle w:val="SpecialBold"/>
              </w:rPr>
              <w:t>SCOPE</w:t>
            </w:r>
          </w:p>
        </w:tc>
      </w:tr>
      <w:tr w:rsidTr="00817CF8">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f</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Testing and repair equipment may include</w:t>
            </w:r>
            <w:r w:rsidRPr="00677597">
              <w:t>:</w:t>
            </w: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5987"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test equipment, meters and gauges (including micrometers, vernier callipers, rules)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5987"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computer displays of performance parameters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5987"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hand tools, such as spanners, wrenches, screwdrivers, hacksaws, etc.</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4</w:t>
            </w:r>
          </w:p>
        </w:tc>
        <w:tc>
          <w:tcPr>
            <w:tcW w:w="5987"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greasing and lubrication tools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5</w:t>
            </w:r>
          </w:p>
        </w:tc>
        <w:tc>
          <w:tcPr>
            <w:tcW w:w="5987"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electric power tools, such as grinders, lathes, drills, etc.</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6</w:t>
            </w:r>
          </w:p>
        </w:tc>
        <w:tc>
          <w:tcPr>
            <w:tcW w:w="5987"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pneumatic power tools, such as grinders, sanders, drills, etc.</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7</w:t>
            </w:r>
          </w:p>
        </w:tc>
        <w:tc>
          <w:tcPr>
            <w:tcW w:w="5987"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welding equipment</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8</w:t>
            </w:r>
          </w:p>
        </w:tc>
        <w:tc>
          <w:tcPr>
            <w:tcW w:w="5987"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block and tackle</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9</w:t>
            </w:r>
          </w:p>
        </w:tc>
        <w:tc>
          <w:tcPr>
            <w:tcW w:w="5987"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portable and manual lifting equipment and hydraulic jacks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10</w:t>
            </w:r>
          </w:p>
        </w:tc>
        <w:tc>
          <w:tcPr>
            <w:tcW w:w="5987"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material safety data sheets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11</w:t>
            </w:r>
          </w:p>
        </w:tc>
        <w:tc>
          <w:tcPr>
            <w:tcW w:w="5987" w:type="dxa"/>
            <w:gridSpan w:val="2"/>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protective clothing and equipment such as: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w:t>
            </w:r>
          </w:p>
        </w:tc>
        <w:tc>
          <w:tcPr>
            <w:tcW w:w="554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eye and ear protection and safety boots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ii</w:t>
            </w:r>
          </w:p>
        </w:tc>
        <w:tc>
          <w:tcPr>
            <w:tcW w:w="554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dust and fume masks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iii</w:t>
            </w:r>
          </w:p>
        </w:tc>
        <w:tc>
          <w:tcPr>
            <w:tcW w:w="554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safety helmet</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iv</w:t>
            </w:r>
          </w:p>
        </w:tc>
        <w:tc>
          <w:tcPr>
            <w:tcW w:w="554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boilersuit/overalls</w:t>
            </w:r>
          </w:p>
        </w:tc>
      </w:tr>
      <w:tr w:rsidTr="00817CF8">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g</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Emergencies may include</w:t>
            </w:r>
            <w:r w:rsidRPr="0067759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608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loss of propulsion</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608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loss of electrical power</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608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loss of steering</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4</w:t>
            </w:r>
          </w:p>
        </w:tc>
        <w:tc>
          <w:tcPr>
            <w:tcW w:w="608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flooding of engine room</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5</w:t>
            </w:r>
          </w:p>
        </w:tc>
        <w:tc>
          <w:tcPr>
            <w:tcW w:w="608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fire or explosion in engine room</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6</w:t>
            </w:r>
          </w:p>
        </w:tc>
        <w:tc>
          <w:tcPr>
            <w:tcW w:w="608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fuel oil, lubrication oil, steam and gas leaks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7</w:t>
            </w:r>
          </w:p>
        </w:tc>
        <w:tc>
          <w:tcPr>
            <w:tcW w:w="608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overheating and overspeed of machinery, governors, emergency trips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8</w:t>
            </w:r>
          </w:p>
        </w:tc>
        <w:tc>
          <w:tcPr>
            <w:tcW w:w="608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foundering/grounding of vessel</w:t>
            </w:r>
          </w:p>
        </w:tc>
      </w:tr>
      <w:tr w:rsidTr="00817CF8">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h</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Documentation and records may include</w:t>
            </w:r>
            <w:r w:rsidRPr="0067759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608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ISM Code safety management system plans, procedures, checklists and instructions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6083" w:type="dxa"/>
            <w:gridSpan w:val="3"/>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vessel and company's planned maintenance system, repair procedures and instructions</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6083" w:type="dxa"/>
            <w:gridSpan w:val="3"/>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 xml:space="preserve">manufacturer's specifications, instructions and recommended procedures for engines and gas turbines, propulsion plant and auxiliary machinery </w:t>
            </w:r>
            <w:r w:rsidRPr="00677597">
              <w:t>on vessels of unlimited propulsion power</w:t>
            </w:r>
          </w:p>
        </w:tc>
      </w:tr>
    </w:tbl>
    <w:p w:rsidR="00000000" w:rsidRPr="00677597" w:rsidP="00677597">
      <w:pPr>
        <w:pStyle w:val="BodyText"/>
      </w:pPr>
    </w:p>
    <w:p w:rsidR="00000000" w:rsidRPr="00677597" w:rsidP="00677597">
      <w:pPr>
        <w:pStyle w:val="BodyText"/>
      </w:pPr>
      <w:r w:rsidRPr="00677597">
        <w:rPr>
          <w:rStyle w:val="SpecialBold"/>
        </w:rPr>
        <w:t>Range Statement</w:t>
      </w:r>
      <w:r w:rsidRPr="00677597">
        <w:t xml:space="preserve"> (</w:t>
      </w:r>
      <w:r w:rsidRPr="00677597">
        <w:rPr>
          <w:rStyle w:val="SpecialBold"/>
        </w:rPr>
        <w:t>continued</w:t>
      </w:r>
      <w:r w:rsidRPr="00677597">
        <w:t>)</w:t>
      </w:r>
    </w:p>
    <w:tbl>
      <w:tblPr>
        <w:tblW w:w="0" w:type="auto"/>
        <w:tblLayout w:type="fixed"/>
        <w:tblCellMar>
          <w:left w:w="62" w:type="dxa"/>
          <w:right w:w="62" w:type="dxa"/>
        </w:tblCellMar>
        <w:tblLook w:val="0000"/>
      </w:tblPr>
      <w:tblGrid>
        <w:gridCol w:w="7695"/>
      </w:tblGrid>
      <w:tr w:rsidTr="00817CF8">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TDMMR607B MANAGE THE OPERATION</w:t>
            </w:r>
            <w:r w:rsidRPr="00677597">
              <w:t xml:space="preserve">, </w:t>
            </w:r>
            <w:r w:rsidRPr="00677597">
              <w:rPr>
                <w:rStyle w:val="SpecialBold"/>
              </w:rPr>
              <w:t>MONITORING AND EVALUATIONOF THE PERFORMANCE OF ENGINES ON VESSELS OF UNLIMITED PROPULSION POWER</w:t>
            </w:r>
          </w:p>
        </w:tc>
      </w:tr>
    </w:tbl>
    <w:p w:rsidR="00000000" w:rsidRPr="00677597" w:rsidP="00677597">
      <w:pPr>
        <w:pStyle w:val="BodyText"/>
      </w:pPr>
    </w:p>
    <w:tbl>
      <w:tblPr>
        <w:tblW w:w="0" w:type="auto"/>
        <w:tblLayout w:type="fixed"/>
        <w:tblCellMar>
          <w:left w:w="62" w:type="dxa"/>
          <w:right w:w="62" w:type="dxa"/>
        </w:tblCellMar>
        <w:tblLook w:val="0000"/>
      </w:tblPr>
      <w:tblGrid>
        <w:gridCol w:w="345"/>
        <w:gridCol w:w="1746"/>
        <w:gridCol w:w="357"/>
        <w:gridCol w:w="6083"/>
        <w:gridCol w:w="18"/>
      </w:tblGrid>
      <w:tr w:rsidTr="00817CF8">
        <w:tblPrEx>
          <w:tblW w:w="0" w:type="auto"/>
          <w:tblLayout w:type="fixed"/>
          <w:tblCellMar>
            <w:left w:w="62" w:type="dxa"/>
            <w:right w:w="62" w:type="dxa"/>
          </w:tblCellMar>
          <w:tblLook w:val="0000"/>
        </w:tblPrEx>
        <w:trPr>
          <w:tblHeader/>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rPr>
                <w:rStyle w:val="SpecialBold"/>
              </w:rPr>
              <w:t>VARIABLE</w:t>
            </w:r>
          </w:p>
        </w:tc>
        <w:tc>
          <w:tcPr>
            <w:tcW w:w="6458"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77597">
            <w:pPr>
              <w:pStyle w:val="BodyText"/>
              <w:rPr>
                <w:lang w:val="en-NZ"/>
              </w:rPr>
            </w:pPr>
            <w:r w:rsidRPr="00677597">
              <w:rPr>
                <w:rStyle w:val="SpecialBold"/>
              </w:rPr>
              <w:t>SCOPE</w:t>
            </w:r>
          </w:p>
        </w:tc>
      </w:tr>
      <w:tr w:rsidTr="00817CF8">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p>
          <w:p w:rsidR="00000000" w:rsidP="00677597">
            <w:pPr>
              <w:pStyle w:val="BodyText"/>
              <w:rPr>
                <w:lang w:val="en-NZ"/>
              </w:rPr>
            </w:pPr>
            <w:r w:rsidRPr="00677597">
              <w:rPr>
                <w:rStyle w:val="SpecialBold"/>
              </w:rPr>
              <w:t>h</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RPr="00677597" w:rsidP="00677597">
            <w:pPr>
              <w:pStyle w:val="BodyText"/>
            </w:pPr>
          </w:p>
          <w:p w:rsidR="00000000" w:rsidRPr="00677597" w:rsidP="00677597">
            <w:pPr>
              <w:pStyle w:val="BodyText"/>
            </w:pPr>
            <w:r w:rsidRPr="00677597">
              <w:rPr>
                <w:rStyle w:val="SpecialBold"/>
              </w:rPr>
              <w:t>Documentation and records may include</w:t>
            </w:r>
            <w:r w:rsidRPr="00677597">
              <w:t>:</w:t>
            </w:r>
          </w:p>
          <w:p w:rsidR="00000000" w:rsidP="00677597">
            <w:pPr>
              <w:pStyle w:val="BodyText"/>
              <w:rPr>
                <w:lang w:val="en-NZ"/>
              </w:rPr>
            </w:pPr>
            <w:r w:rsidRPr="00677597">
              <w:t>(</w:t>
            </w:r>
            <w:r w:rsidRPr="00677597">
              <w:rPr>
                <w:rStyle w:val="SpecialBold"/>
              </w:rPr>
              <w:t>continued</w:t>
            </w:r>
            <w:r w:rsidRPr="00677597">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677597" w:rsidP="00677597">
            <w:pPr>
              <w:pStyle w:val="BodyText"/>
            </w:pPr>
          </w:p>
          <w:p w:rsidR="00000000" w:rsidP="00677597">
            <w:pPr>
              <w:pStyle w:val="BodyText"/>
              <w:rPr>
                <w:lang w:val="en-NZ"/>
              </w:rPr>
            </w:pPr>
            <w:r w:rsidRPr="00677597">
              <w:t>4</w:t>
            </w:r>
          </w:p>
        </w:tc>
        <w:tc>
          <w:tcPr>
            <w:tcW w:w="6083" w:type="dxa"/>
            <w:tcBorders>
              <w:top w:val="nil"/>
              <w:left w:val="nil"/>
              <w:bottom w:val="nil"/>
              <w:right w:val="nil"/>
            </w:tcBorders>
            <w:tcMar>
              <w:top w:w="0" w:type="dxa"/>
              <w:left w:w="62" w:type="dxa"/>
              <w:bottom w:w="0" w:type="dxa"/>
              <w:right w:w="62" w:type="dxa"/>
            </w:tcMar>
          </w:tcPr>
          <w:p w:rsidR="00000000" w:rsidRPr="00677597" w:rsidP="00677597">
            <w:pPr>
              <w:pStyle w:val="BodyText"/>
            </w:pPr>
          </w:p>
          <w:p w:rsidR="00000000" w:rsidP="00677597">
            <w:pPr>
              <w:pStyle w:val="BodyText"/>
              <w:rPr>
                <w:lang w:val="en-NZ"/>
              </w:rPr>
            </w:pPr>
            <w:r w:rsidRPr="00677597">
              <w:t>operational and performance log, running sheets and records, including computer database of operational and performance records where relevant</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5</w:t>
            </w:r>
          </w:p>
        </w:tc>
        <w:tc>
          <w:tcPr>
            <w:tcW w:w="608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vessel's survey as it relates to engines (internal combustion and gas turbines), propulsion plant and auxiliary machinery</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6</w:t>
            </w:r>
          </w:p>
        </w:tc>
        <w:tc>
          <w:tcPr>
            <w:tcW w:w="608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relevant sections of national and international regulations, IMO Conventions and Codes, including AMSA Marine Orders and class society rules dealing with the operation and performance evaluation of engines and gas turbines, propulsion plant and auxiliary m</w:t>
            </w:r>
            <w:r w:rsidRPr="00677597">
              <w:t>achinery on vessels of unlimited propulsion power</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7</w:t>
            </w:r>
          </w:p>
        </w:tc>
        <w:tc>
          <w:tcPr>
            <w:tcW w:w="608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instructions of relevant maritime authorities and class societies concerning the operation and performance evaluation of engines and gas turbines, propulsion plant and auxiliary machinery</w:t>
            </w:r>
          </w:p>
        </w:tc>
      </w:tr>
      <w:tr w:rsidTr="00817CF8">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77597">
            <w:pPr>
              <w:pStyle w:val="BodyText"/>
              <w:rPr>
                <w:lang w:val="en-NZ"/>
              </w:rPr>
            </w:pPr>
          </w:p>
        </w:tc>
      </w:tr>
      <w:tr w:rsidTr="00817CF8">
        <w:tblPrEx>
          <w:tblW w:w="0" w:type="auto"/>
          <w:tblLayout w:type="fixed"/>
          <w:tblCellMar>
            <w:left w:w="62" w:type="dxa"/>
            <w:right w:w="62" w:type="dxa"/>
          </w:tblCellMar>
          <w:tblLook w:val="0000"/>
        </w:tblPrEx>
        <w:trPr>
          <w:gridAfter w:val="1"/>
          <w:wAfter w:w="18" w:type="dxa"/>
        </w:trPr>
        <w:tc>
          <w:tcPr>
            <w:tcW w:w="345" w:type="dxa"/>
            <w:vMerge w:val="restart"/>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rPr>
                <w:rStyle w:val="SpecialBold"/>
              </w:rPr>
              <w:t>i</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Applicable legislation</w:t>
            </w:r>
            <w:r w:rsidRPr="00677597">
              <w:t xml:space="preserve">, </w:t>
            </w:r>
            <w:r w:rsidRPr="00677597">
              <w:rPr>
                <w:rStyle w:val="SpecialBold"/>
              </w:rPr>
              <w:t>regulations and codes may include</w:t>
            </w:r>
            <w:r w:rsidRPr="00677597">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1</w:t>
            </w:r>
          </w:p>
        </w:tc>
        <w:tc>
          <w:tcPr>
            <w:tcW w:w="608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 xml:space="preserve">sections of national and international regulations, IMO Conventions and Codes, including AMSA Marine Orders and class society rules related to the operation and performance evaluation of engines </w:t>
            </w:r>
            <w:r w:rsidRPr="00677597">
              <w:t>and gas turbines, propulsion plant and auxiliary machinery on vessels of unlimited propulsion power</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2</w:t>
            </w:r>
          </w:p>
        </w:tc>
        <w:tc>
          <w:tcPr>
            <w:tcW w:w="6083" w:type="dxa"/>
            <w:tcBorders>
              <w:top w:val="nil"/>
              <w:left w:val="nil"/>
              <w:bottom w:val="nil"/>
              <w:right w:val="nil"/>
            </w:tcBorders>
            <w:tcMar>
              <w:top w:w="0" w:type="dxa"/>
              <w:left w:w="62" w:type="dxa"/>
              <w:bottom w:w="0" w:type="dxa"/>
              <w:right w:w="62" w:type="dxa"/>
            </w:tcMar>
          </w:tcPr>
          <w:p w:rsidR="00000000" w:rsidP="00677597">
            <w:pPr>
              <w:pStyle w:val="BodyText"/>
              <w:rPr>
                <w:lang w:val="en-NZ"/>
              </w:rPr>
            </w:pPr>
            <w:r w:rsidRPr="00677597">
              <w:t>relevant international, Commonwealth, State and Territory OH&amp;S legislation</w:t>
            </w:r>
          </w:p>
        </w:tc>
      </w:tr>
      <w:tr w:rsidTr="00817CF8">
        <w:tblPrEx>
          <w:tblW w:w="0" w:type="auto"/>
          <w:tblLayout w:type="fixed"/>
          <w:tblCellMar>
            <w:left w:w="62" w:type="dxa"/>
            <w:right w:w="62" w:type="dxa"/>
          </w:tblCellMar>
          <w:tblLook w:val="0000"/>
        </w:tblPrEx>
        <w:trPr>
          <w:gridAfter w:val="1"/>
          <w:wAfter w:w="18" w:type="dxa"/>
        </w:trPr>
        <w:tc>
          <w:tcPr>
            <w:tcW w:w="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77597">
            <w:pPr>
              <w:pStyle w:val="BodyText"/>
              <w:rPr>
                <w:lang w:val="en-NZ"/>
              </w:rPr>
            </w:pPr>
            <w:r w:rsidRPr="00677597">
              <w:t>3</w:t>
            </w:r>
          </w:p>
        </w:tc>
        <w:tc>
          <w:tcPr>
            <w:tcW w:w="6083" w:type="dxa"/>
            <w:tcBorders>
              <w:top w:val="nil"/>
              <w:left w:val="nil"/>
              <w:bottom w:val="nil"/>
              <w:right w:val="nil"/>
            </w:tcBorders>
            <w:tcMar>
              <w:top w:w="0" w:type="dxa"/>
              <w:left w:w="62" w:type="dxa"/>
              <w:bottom w:w="0" w:type="dxa"/>
              <w:right w:w="62" w:type="dxa"/>
            </w:tcMar>
          </w:tcPr>
          <w:p w:rsidR="00000000" w:rsidRPr="00677597" w:rsidP="00677597">
            <w:pPr>
              <w:pStyle w:val="BodyText"/>
            </w:pPr>
            <w:r w:rsidRPr="00677597">
              <w:t>relevant international, Commonwealth, State and Territory engineering practice standards</w:t>
            </w:r>
          </w:p>
        </w:tc>
      </w:tr>
    </w:tbl>
    <w:p w:rsidR="00817CF8" w:rsidP="00677597">
      <w:pPr>
        <w:pStyle w:val="BodyText"/>
      </w:pPr>
    </w:p>
    <w:p w:rsidR="00817CF8" w:rsidP="00677597">
      <w:pPr>
        <w:pStyle w:val="BodyText"/>
      </w:pPr>
    </w:p>
    <w:p w:rsidR="00000000" w:rsidRPr="00677597" w:rsidP="00677597">
      <w:pPr>
        <w:pStyle w:val="Heading1"/>
      </w:pPr>
      <w:bookmarkStart w:id="12" w:name="O_152294"/>
      <w:bookmarkEnd w:id="12"/>
      <w:r w:rsidRPr="00677597">
        <w:t>Unit Sector(s)</w:t>
      </w:r>
    </w:p>
    <w:p w:rsidR="00000000" w:rsidRPr="00677597" w:rsidP="00677597">
      <w:pPr>
        <w:pStyle w:val="BodyText"/>
      </w:pPr>
      <w:r w:rsidRPr="00677597">
        <w:t>Not applicable.</w:t>
      </w:r>
    </w:p>
    <w:p w:rsidR="00000000" w:rsidRPr="00677597" w:rsidP="00677597">
      <w:pPr>
        <w:pStyle w:val="AllowPageBreak"/>
      </w:pPr>
    </w:p>
    <w:p w:rsidR="00000000" w:rsidRPr="00677597" w:rsidP="00677597">
      <w:pPr>
        <w:pStyle w:val="Heading1"/>
      </w:pPr>
      <w:bookmarkStart w:id="13" w:name="O_163946"/>
      <w:bookmarkEnd w:id="13"/>
      <w:r w:rsidRPr="00677597">
        <w:t>Field</w:t>
      </w:r>
    </w:p>
    <w:p w:rsidR="00817CF8" w:rsidP="00677597">
      <w:pPr>
        <w:pStyle w:val="BodyText"/>
      </w:pPr>
      <w:r w:rsidRPr="00677597">
        <w:t>Field</w:t>
      </w:r>
      <w:r w:rsidRPr="00677597">
        <w:tab/>
        <w:t>R</w:t>
      </w:r>
      <w:r w:rsidRPr="00677597">
        <w:tab/>
        <w:t>Carry Out Operations on Equipment and Systems</w:t>
      </w:r>
    </w:p>
    <w:p w:rsidR="00817CF8" w:rsidP="00677597">
      <w:pPr>
        <w:pStyle w:val="BodyText"/>
      </w:pPr>
    </w:p>
    <w:p w:rsidR="00000000" w:rsidRPr="00677597" w:rsidP="00677597">
      <w:pPr>
        <w:pStyle w:val="Heading1"/>
      </w:pPr>
      <w:bookmarkStart w:id="14" w:name="O_163947"/>
      <w:bookmarkEnd w:id="14"/>
      <w:r w:rsidRPr="00677597">
        <w:t>Relationship to other units</w:t>
      </w:r>
    </w:p>
    <w:tbl>
      <w:tblPr>
        <w:tblW w:w="0" w:type="auto"/>
        <w:tblLayout w:type="fixed"/>
        <w:tblCellMar>
          <w:left w:w="62" w:type="dxa"/>
          <w:right w:w="62" w:type="dxa"/>
        </w:tblCellMar>
        <w:tblLook w:val="0000"/>
      </w:tblPr>
      <w:tblGrid>
        <w:gridCol w:w="1974"/>
        <w:gridCol w:w="6481"/>
      </w:tblGrid>
      <w:tr w:rsidTr="00817CF8">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597">
            <w:pPr>
              <w:pStyle w:val="BodyText"/>
              <w:rPr>
                <w:lang w:val="en-NZ"/>
              </w:rPr>
            </w:pPr>
            <w:r w:rsidRPr="00677597">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597" w:rsidP="00677597">
            <w:pPr>
              <w:pStyle w:val="BodyText"/>
            </w:pPr>
            <w:r w:rsidRPr="00677597">
              <w:t>The unit may be assessed in conjunction with other units that relate to the functions of the occupation(s) concerned.</w:t>
            </w:r>
          </w:p>
        </w:tc>
      </w:tr>
    </w:tbl>
    <w:p w:rsidR="00000000" w:rsidRPr="00677597" w:rsidP="00677597">
      <w:pPr>
        <w:pStyle w:val="BodyText"/>
      </w:pPr>
    </w:p>
    <w:p w:rsidR="00000000" w:rsidRPr="00677597" w:rsidP="00677597"/>
    <w:sectPr w:rsidSect="006775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7CF8" w:rsidP="00817C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F8" w:rsidP="006775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817CF8" w:rsidP="006775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17CF8" w:rsidP="006775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97" w:rsidRPr="00817CF8" w:rsidP="00817C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F8" w:rsidRPr="002D2AF8" w:rsidP="00677597">
    <w:pPr>
      <w:pStyle w:val="Header"/>
      <w:framePr w:wrap="around"/>
    </w:pPr>
    <w:r>
      <w:fldChar w:fldCharType="begin"/>
    </w:r>
    <w:r>
      <w:instrText xml:space="preserve"> TITLE   \* MERGEFORMAT </w:instrText>
    </w:r>
    <w:r>
      <w:fldChar w:fldCharType="separate"/>
    </w:r>
    <w:r>
      <w:t>TDMMR607B MANAGE THE OPERATION, MONITORING AND EVALUATION OF THE PERFORMANCE OF ENGINES ON VESSELS OF UNLIMITED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17CF8" w:rsidP="006775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5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597"/>
    <w:pPr>
      <w:spacing w:before="360" w:after="60"/>
      <w:outlineLvl w:val="0"/>
    </w:pPr>
    <w:rPr>
      <w:sz w:val="32"/>
    </w:rPr>
  </w:style>
  <w:style w:type="paragraph" w:styleId="Heading2">
    <w:name w:val="heading 2"/>
    <w:basedOn w:val="HeadingBase"/>
    <w:next w:val="BodyText"/>
    <w:link w:val="Heading2Char"/>
    <w:qFormat/>
    <w:rsid w:val="00677597"/>
    <w:pPr>
      <w:keepLines/>
      <w:spacing w:before="240" w:after="120"/>
      <w:outlineLvl w:val="1"/>
    </w:pPr>
    <w:rPr>
      <w:sz w:val="28"/>
      <w:szCs w:val="40"/>
    </w:rPr>
  </w:style>
  <w:style w:type="paragraph" w:styleId="Heading3">
    <w:name w:val="heading 3"/>
    <w:basedOn w:val="HeadingBase"/>
    <w:next w:val="BodyText"/>
    <w:link w:val="Heading3Char"/>
    <w:qFormat/>
    <w:rsid w:val="00677597"/>
    <w:pPr>
      <w:spacing w:before="180" w:after="120"/>
      <w:outlineLvl w:val="2"/>
    </w:pPr>
    <w:rPr>
      <w:spacing w:val="-10"/>
      <w:kern w:val="32"/>
    </w:rPr>
  </w:style>
  <w:style w:type="paragraph" w:styleId="Heading4">
    <w:name w:val="heading 4"/>
    <w:basedOn w:val="HeadingBase"/>
    <w:next w:val="BodyText"/>
    <w:link w:val="Heading4Char"/>
    <w:qFormat/>
    <w:rsid w:val="00677597"/>
    <w:pPr>
      <w:spacing w:before="160" w:after="120"/>
      <w:outlineLvl w:val="3"/>
    </w:pPr>
    <w:rPr>
      <w:sz w:val="22"/>
    </w:rPr>
  </w:style>
  <w:style w:type="paragraph" w:styleId="Heading5">
    <w:name w:val="heading 5"/>
    <w:basedOn w:val="HeadingBase"/>
    <w:next w:val="Normal"/>
    <w:link w:val="Heading5Char"/>
    <w:qFormat/>
    <w:rsid w:val="00677597"/>
    <w:pPr>
      <w:spacing w:before="80"/>
      <w:outlineLvl w:val="4"/>
    </w:pPr>
    <w:rPr>
      <w:color w:val="918585"/>
      <w:sz w:val="20"/>
    </w:rPr>
  </w:style>
  <w:style w:type="paragraph" w:styleId="Heading6">
    <w:name w:val="heading 6"/>
    <w:basedOn w:val="HeadingBase"/>
    <w:next w:val="Normal"/>
    <w:link w:val="Heading6Char"/>
    <w:qFormat/>
    <w:rsid w:val="00677597"/>
    <w:pPr>
      <w:spacing w:before="60"/>
      <w:outlineLvl w:val="5"/>
    </w:pPr>
    <w:rPr>
      <w:color w:val="918585"/>
      <w:sz w:val="20"/>
    </w:rPr>
  </w:style>
  <w:style w:type="paragraph" w:styleId="Heading7">
    <w:name w:val="heading 7"/>
    <w:basedOn w:val="Normal"/>
    <w:next w:val="Normal"/>
    <w:link w:val="Heading7Char"/>
    <w:qFormat/>
    <w:rsid w:val="00677597"/>
    <w:pPr>
      <w:ind w:left="720"/>
      <w:outlineLvl w:val="6"/>
    </w:pPr>
    <w:rPr>
      <w:i/>
    </w:rPr>
  </w:style>
  <w:style w:type="paragraph" w:styleId="Heading8">
    <w:name w:val="heading 8"/>
    <w:basedOn w:val="Normal"/>
    <w:next w:val="Normal"/>
    <w:link w:val="Heading8Char"/>
    <w:qFormat/>
    <w:rsid w:val="00677597"/>
    <w:pPr>
      <w:ind w:left="720"/>
      <w:outlineLvl w:val="7"/>
    </w:pPr>
    <w:rPr>
      <w:i/>
    </w:rPr>
  </w:style>
  <w:style w:type="paragraph" w:styleId="Heading9">
    <w:name w:val="heading 9"/>
    <w:basedOn w:val="Normal"/>
    <w:next w:val="Normal"/>
    <w:link w:val="Heading9Char"/>
    <w:qFormat/>
    <w:rsid w:val="00677597"/>
    <w:pPr>
      <w:ind w:left="720"/>
      <w:outlineLvl w:val="8"/>
    </w:pPr>
    <w:rPr>
      <w:i/>
    </w:rPr>
  </w:style>
  <w:style w:type="character" w:default="1" w:styleId="DefaultParagraphFont">
    <w:name w:val="Default Paragraph Font"/>
    <w:uiPriority w:val="1"/>
    <w:unhideWhenUsed/>
    <w:rsid w:val="00677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597"/>
  </w:style>
  <w:style w:type="character" w:customStyle="1" w:styleId="Heading1Char">
    <w:name w:val="Heading 1 Char"/>
    <w:basedOn w:val="DefaultParagraphFont"/>
    <w:link w:val="Heading1"/>
    <w:rsid w:val="00677597"/>
    <w:rPr>
      <w:rFonts w:ascii="Times New Roman" w:eastAsia="Times New Roman" w:hAnsi="Times New Roman" w:cs="Times New Roman"/>
      <w:b/>
      <w:sz w:val="32"/>
      <w:szCs w:val="20"/>
      <w:lang w:eastAsia="en-US"/>
    </w:rPr>
  </w:style>
  <w:style w:type="paragraph" w:styleId="BodyText">
    <w:name w:val="Body Text"/>
    <w:basedOn w:val="Normal"/>
    <w:link w:val="BodyTextChar"/>
    <w:rsid w:val="006775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7597"/>
    <w:rPr>
      <w:rFonts w:ascii="Times New Roman" w:eastAsia="Times New Roman" w:hAnsi="Times New Roman" w:cs="Times New Roman"/>
      <w:sz w:val="24"/>
      <w:lang w:eastAsia="en-US"/>
    </w:rPr>
  </w:style>
  <w:style w:type="paragraph" w:styleId="Footer">
    <w:name w:val="footer"/>
    <w:basedOn w:val="Normal"/>
    <w:link w:val="FooterChar"/>
    <w:rsid w:val="00677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597"/>
    <w:rPr>
      <w:rFonts w:ascii="Times New Roman" w:eastAsia="Times New Roman" w:hAnsi="Times New Roman" w:cs="Times New Roman"/>
      <w:sz w:val="16"/>
      <w:lang w:eastAsia="en-US"/>
    </w:rPr>
  </w:style>
  <w:style w:type="paragraph" w:styleId="List">
    <w:name w:val="List"/>
    <w:basedOn w:val="BodyText"/>
    <w:next w:val="BodyText"/>
    <w:rsid w:val="00677597"/>
    <w:pPr>
      <w:tabs>
        <w:tab w:val="left" w:pos="340"/>
      </w:tabs>
      <w:spacing w:before="60" w:after="60"/>
      <w:ind w:left="340" w:hanging="340"/>
    </w:pPr>
  </w:style>
  <w:style w:type="character" w:customStyle="1" w:styleId="SpecialBold">
    <w:name w:val="Special Bold"/>
    <w:basedOn w:val="DefaultParagraphFont"/>
    <w:rsid w:val="00677597"/>
    <w:rPr>
      <w:b/>
      <w:spacing w:val="0"/>
    </w:rPr>
  </w:style>
  <w:style w:type="character" w:styleId="Emphasis">
    <w:name w:val="Emphasis"/>
    <w:basedOn w:val="DefaultParagraphFont"/>
    <w:qFormat/>
    <w:rsid w:val="00677597"/>
    <w:rPr>
      <w:i/>
    </w:rPr>
  </w:style>
  <w:style w:type="paragraph" w:customStyle="1" w:styleId="SuperHeading">
    <w:name w:val="SuperHeading"/>
    <w:basedOn w:val="Normal"/>
    <w:rsid w:val="00677597"/>
    <w:pPr>
      <w:spacing w:before="240" w:after="120"/>
      <w:outlineLvl w:val="0"/>
    </w:pPr>
    <w:rPr>
      <w:rFonts w:ascii="Times New Roman" w:hAnsi="Times New Roman"/>
      <w:b/>
      <w:sz w:val="28"/>
    </w:rPr>
  </w:style>
  <w:style w:type="paragraph" w:customStyle="1" w:styleId="AllowPageBreak">
    <w:name w:val="AllowPageBreak"/>
    <w:rsid w:val="006775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5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5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597"/>
    <w:rPr>
      <w:rFonts w:ascii="Courier New" w:eastAsia="Times New Roman" w:hAnsi="Courier New" w:cs="Times New Roman"/>
      <w:i/>
      <w:szCs w:val="20"/>
      <w:lang w:eastAsia="en-US"/>
    </w:rPr>
  </w:style>
  <w:style w:type="paragraph" w:customStyle="1" w:styleId="HeadingBase">
    <w:name w:val="Heading Base"/>
    <w:rsid w:val="00677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597"/>
    <w:pPr>
      <w:tabs>
        <w:tab w:val="right" w:leader="dot" w:pos="9072"/>
      </w:tabs>
      <w:ind w:left="567"/>
    </w:pPr>
    <w:rPr>
      <w:szCs w:val="22"/>
    </w:rPr>
  </w:style>
  <w:style w:type="paragraph" w:customStyle="1" w:styleId="TOCBase">
    <w:name w:val="TOC Base"/>
    <w:rsid w:val="00677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597"/>
    <w:pPr>
      <w:tabs>
        <w:tab w:val="right" w:leader="dot" w:pos="9072"/>
      </w:tabs>
      <w:spacing w:before="40" w:after="40"/>
      <w:ind w:left="284"/>
    </w:pPr>
    <w:rPr>
      <w:rFonts w:ascii="Times New Roman" w:hAnsi="Times New Roman"/>
    </w:rPr>
  </w:style>
  <w:style w:type="paragraph" w:styleId="TOC1">
    <w:name w:val="toc 1"/>
    <w:basedOn w:val="TOCBase"/>
    <w:next w:val="Normal"/>
    <w:rsid w:val="006775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7597"/>
    <w:pPr>
      <w:spacing w:before="5040"/>
      <w:jc w:val="center"/>
    </w:pPr>
    <w:rPr>
      <w:sz w:val="48"/>
      <w:szCs w:val="72"/>
      <w:lang w:val="en-US"/>
    </w:rPr>
  </w:style>
  <w:style w:type="character" w:customStyle="1" w:styleId="TitleChar">
    <w:name w:val="Title Char"/>
    <w:basedOn w:val="DefaultParagraphFont"/>
    <w:link w:val="Title"/>
    <w:rsid w:val="00677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597"/>
    <w:pPr>
      <w:tabs>
        <w:tab w:val="left" w:pos="3600"/>
        <w:tab w:val="left" w:pos="3958"/>
      </w:tabs>
    </w:pPr>
  </w:style>
  <w:style w:type="paragraph" w:styleId="ListBullet">
    <w:name w:val="List Bullet"/>
    <w:basedOn w:val="List"/>
    <w:rsid w:val="00677597"/>
    <w:pPr>
      <w:numPr>
        <w:numId w:val="11"/>
      </w:numPr>
      <w:tabs>
        <w:tab w:val="clear" w:pos="340"/>
      </w:tabs>
      <w:spacing w:before="40" w:after="40"/>
    </w:pPr>
  </w:style>
  <w:style w:type="paragraph" w:customStyle="1" w:styleId="Note">
    <w:name w:val="Note"/>
    <w:basedOn w:val="BodyText"/>
    <w:rsid w:val="00677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597"/>
    <w:pPr>
      <w:framePr w:wrap="auto" w:hAnchor="text" w:y="6049"/>
    </w:pPr>
    <w:rPr>
      <w:color w:val="000000"/>
      <w:sz w:val="40"/>
    </w:rPr>
  </w:style>
  <w:style w:type="paragraph" w:customStyle="1" w:styleId="TOCTitle">
    <w:name w:val="TOCTitle"/>
    <w:basedOn w:val="Heading1"/>
    <w:rsid w:val="00677597"/>
    <w:pPr>
      <w:spacing w:after="240"/>
      <w:jc w:val="center"/>
      <w:outlineLvl w:val="9"/>
    </w:pPr>
    <w:rPr>
      <w:caps/>
    </w:rPr>
  </w:style>
  <w:style w:type="paragraph" w:customStyle="1" w:styleId="Version">
    <w:name w:val="Version"/>
    <w:rsid w:val="006775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7597"/>
    <w:pPr>
      <w:numPr>
        <w:numId w:val="12"/>
      </w:numPr>
      <w:tabs>
        <w:tab w:val="clear" w:pos="680"/>
      </w:tabs>
    </w:pPr>
  </w:style>
  <w:style w:type="paragraph" w:styleId="Index1">
    <w:name w:val="index 1"/>
    <w:basedOn w:val="Normal"/>
    <w:next w:val="Normal"/>
    <w:semiHidden/>
    <w:rsid w:val="00677597"/>
    <w:pPr>
      <w:keepNext w:val="0"/>
      <w:tabs>
        <w:tab w:val="right" w:pos="4176"/>
      </w:tabs>
      <w:ind w:left="198" w:hanging="198"/>
    </w:pPr>
    <w:rPr>
      <w:rFonts w:ascii="Garamond" w:hAnsi="Garamond"/>
    </w:rPr>
  </w:style>
  <w:style w:type="paragraph" w:styleId="IndexHeading">
    <w:name w:val="index heading"/>
    <w:basedOn w:val="Normal"/>
    <w:next w:val="Index1"/>
    <w:semiHidden/>
    <w:rsid w:val="00677597"/>
    <w:pPr>
      <w:spacing w:before="120" w:after="120"/>
    </w:pPr>
    <w:rPr>
      <w:rFonts w:ascii="Arial" w:hAnsi="Arial"/>
      <w:b/>
      <w:color w:val="918585"/>
      <w:sz w:val="24"/>
    </w:rPr>
  </w:style>
  <w:style w:type="paragraph" w:styleId="Header">
    <w:name w:val="header"/>
    <w:basedOn w:val="Normal"/>
    <w:link w:val="HeaderChar"/>
    <w:rsid w:val="00677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597"/>
    <w:rPr>
      <w:rFonts w:ascii="Times New Roman" w:eastAsia="Times New Roman" w:hAnsi="Times New Roman" w:cs="Times New Roman"/>
      <w:sz w:val="16"/>
      <w:szCs w:val="20"/>
      <w:lang w:val="en-GB" w:eastAsia="en-US"/>
    </w:rPr>
  </w:style>
  <w:style w:type="paragraph" w:customStyle="1" w:styleId="Chapter">
    <w:name w:val="Chapter"/>
    <w:basedOn w:val="Normal"/>
    <w:rsid w:val="00677597"/>
    <w:pPr>
      <w:spacing w:before="240"/>
    </w:pPr>
    <w:rPr>
      <w:rFonts w:ascii="Times New Roman" w:hAnsi="Times New Roman"/>
      <w:smallCaps/>
      <w:spacing w:val="80"/>
      <w:sz w:val="28"/>
    </w:rPr>
  </w:style>
  <w:style w:type="paragraph" w:customStyle="1" w:styleId="InChapter">
    <w:name w:val="InChapter"/>
    <w:basedOn w:val="Heading3"/>
    <w:rsid w:val="00677597"/>
    <w:pPr>
      <w:spacing w:after="240"/>
      <w:outlineLvl w:val="9"/>
    </w:pPr>
    <w:rPr>
      <w:noProof/>
    </w:rPr>
  </w:style>
  <w:style w:type="paragraph" w:styleId="Index2">
    <w:name w:val="index 2"/>
    <w:basedOn w:val="Normal"/>
    <w:next w:val="Normal"/>
    <w:semiHidden/>
    <w:rsid w:val="00677597"/>
    <w:pPr>
      <w:tabs>
        <w:tab w:val="right" w:pos="4176"/>
      </w:tabs>
      <w:ind w:left="568" w:hanging="284"/>
    </w:pPr>
    <w:rPr>
      <w:rFonts w:ascii="Garamond" w:hAnsi="Garamond"/>
    </w:rPr>
  </w:style>
  <w:style w:type="paragraph" w:customStyle="1" w:styleId="Byline">
    <w:name w:val="Byline"/>
    <w:rsid w:val="00677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597"/>
    <w:pPr>
      <w:tabs>
        <w:tab w:val="clear" w:pos="3600"/>
        <w:tab w:val="clear" w:pos="3958"/>
      </w:tabs>
      <w:jc w:val="right"/>
    </w:pPr>
  </w:style>
  <w:style w:type="paragraph" w:styleId="Caption">
    <w:name w:val="caption"/>
    <w:basedOn w:val="BodyText"/>
    <w:next w:val="Normal"/>
    <w:qFormat/>
    <w:rsid w:val="00677597"/>
    <w:pPr>
      <w:framePr w:w="2268" w:hSpace="181" w:vSpace="181" w:wrap="around" w:vAnchor="text" w:hAnchor="page" w:x="1135" w:y="285" w:anchorLock="1"/>
    </w:pPr>
    <w:rPr>
      <w:i/>
    </w:rPr>
  </w:style>
  <w:style w:type="paragraph" w:customStyle="1" w:styleId="MiniTOCTitle">
    <w:name w:val="MiniTOCTitle"/>
    <w:basedOn w:val="Heading4"/>
    <w:rsid w:val="00677597"/>
    <w:pPr>
      <w:spacing w:before="240"/>
      <w:outlineLvl w:val="9"/>
    </w:pPr>
    <w:rPr>
      <w:noProof/>
      <w:sz w:val="24"/>
    </w:rPr>
  </w:style>
  <w:style w:type="paragraph" w:customStyle="1" w:styleId="MiniTOCItem">
    <w:name w:val="MiniTOCItem"/>
    <w:basedOn w:val="ListBullet"/>
    <w:rsid w:val="00677597"/>
    <w:pPr>
      <w:numPr>
        <w:numId w:val="0"/>
      </w:numPr>
      <w:tabs>
        <w:tab w:val="right" w:leader="dot" w:pos="6521"/>
      </w:tabs>
      <w:spacing w:before="0" w:after="0"/>
    </w:pPr>
  </w:style>
  <w:style w:type="paragraph" w:customStyle="1" w:styleId="TOFTitle">
    <w:name w:val="TOFTitle"/>
    <w:basedOn w:val="TOCTitle"/>
    <w:rsid w:val="00677597"/>
  </w:style>
  <w:style w:type="paragraph" w:styleId="TableofFigures">
    <w:name w:val="table of figures"/>
    <w:basedOn w:val="Normal"/>
    <w:next w:val="Normal"/>
    <w:semiHidden/>
    <w:rsid w:val="00677597"/>
    <w:pPr>
      <w:tabs>
        <w:tab w:val="right" w:leader="dot" w:pos="9072"/>
      </w:tabs>
      <w:ind w:left="970" w:hanging="403"/>
    </w:pPr>
    <w:rPr>
      <w:rFonts w:ascii="Times New Roman" w:hAnsi="Times New Roman"/>
      <w:b/>
    </w:rPr>
  </w:style>
  <w:style w:type="paragraph" w:styleId="ListNumber">
    <w:name w:val="List Number"/>
    <w:basedOn w:val="List"/>
    <w:rsid w:val="00677597"/>
    <w:pPr>
      <w:numPr>
        <w:numId w:val="9"/>
      </w:numPr>
    </w:pPr>
  </w:style>
  <w:style w:type="character" w:customStyle="1" w:styleId="WingdingSymbols">
    <w:name w:val="Wingding Symbols"/>
    <w:rsid w:val="00677597"/>
    <w:rPr>
      <w:rFonts w:ascii="Wingdings" w:hAnsi="Wingdings"/>
    </w:rPr>
  </w:style>
  <w:style w:type="paragraph" w:customStyle="1" w:styleId="TableHeading">
    <w:name w:val="Table Heading"/>
    <w:basedOn w:val="HeadingBase"/>
    <w:rsid w:val="00677597"/>
    <w:pPr>
      <w:keepLines/>
      <w:pBdr>
        <w:bottom w:val="single" w:sz="6" w:space="1" w:color="918585"/>
      </w:pBdr>
      <w:spacing w:before="240"/>
    </w:pPr>
  </w:style>
  <w:style w:type="character" w:customStyle="1" w:styleId="HotSpot">
    <w:name w:val="HotSpot"/>
    <w:rsid w:val="00677597"/>
    <w:rPr>
      <w:color w:val="0033CC"/>
      <w:u w:val="none"/>
    </w:rPr>
  </w:style>
  <w:style w:type="paragraph" w:customStyle="1" w:styleId="BodyTextRight">
    <w:name w:val="Body Text Right"/>
    <w:basedOn w:val="BodyText"/>
    <w:rsid w:val="00677597"/>
    <w:pPr>
      <w:spacing w:before="0" w:after="0"/>
      <w:jc w:val="right"/>
    </w:pPr>
  </w:style>
  <w:style w:type="paragraph" w:styleId="Index3">
    <w:name w:val="index 3"/>
    <w:basedOn w:val="ListNumber2"/>
    <w:next w:val="Normal"/>
    <w:semiHidden/>
    <w:rsid w:val="00677597"/>
    <w:pPr>
      <w:numPr>
        <w:numId w:val="0"/>
      </w:numPr>
      <w:tabs>
        <w:tab w:val="right" w:leader="dot" w:pos="4176"/>
      </w:tabs>
    </w:pPr>
  </w:style>
  <w:style w:type="paragraph" w:styleId="ListNumber2">
    <w:name w:val="List Number 2"/>
    <w:basedOn w:val="List2"/>
    <w:rsid w:val="00677597"/>
    <w:pPr>
      <w:numPr>
        <w:numId w:val="8"/>
      </w:numPr>
      <w:tabs>
        <w:tab w:val="clear" w:pos="1060"/>
      </w:tabs>
    </w:pPr>
  </w:style>
  <w:style w:type="paragraph" w:customStyle="1" w:styleId="MarginNote">
    <w:name w:val="Margin Note"/>
    <w:basedOn w:val="BodyText"/>
    <w:rsid w:val="00677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5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597"/>
    <w:rPr>
      <w:sz w:val="32"/>
    </w:rPr>
  </w:style>
  <w:style w:type="paragraph" w:customStyle="1" w:styleId="HeadingProcedure">
    <w:name w:val="Heading Procedure"/>
    <w:basedOn w:val="HeadingBase"/>
    <w:next w:val="Normal"/>
    <w:rsid w:val="00677597"/>
    <w:pPr>
      <w:tabs>
        <w:tab w:val="left" w:pos="0"/>
      </w:tabs>
      <w:spacing w:before="120" w:after="60"/>
    </w:pPr>
    <w:rPr>
      <w:i/>
      <w:color w:val="918585"/>
      <w:sz w:val="22"/>
    </w:rPr>
  </w:style>
  <w:style w:type="paragraph" w:customStyle="1" w:styleId="TableBodyText">
    <w:name w:val="Table Body Text"/>
    <w:basedOn w:val="BodyText"/>
    <w:rsid w:val="00677597"/>
    <w:pPr>
      <w:spacing w:before="60" w:after="60"/>
    </w:pPr>
  </w:style>
  <w:style w:type="paragraph" w:styleId="ListContinue">
    <w:name w:val="List Continue"/>
    <w:basedOn w:val="List"/>
    <w:rsid w:val="00677597"/>
    <w:pPr>
      <w:ind w:firstLine="0"/>
    </w:pPr>
  </w:style>
  <w:style w:type="paragraph" w:customStyle="1" w:styleId="ListNote">
    <w:name w:val="List Note"/>
    <w:basedOn w:val="List"/>
    <w:rsid w:val="00677597"/>
    <w:pPr>
      <w:pBdr>
        <w:top w:val="single" w:sz="6" w:space="2" w:color="918585"/>
        <w:bottom w:val="single" w:sz="6" w:space="2" w:color="918585"/>
      </w:pBdr>
      <w:tabs>
        <w:tab w:val="left" w:pos="1021"/>
      </w:tabs>
      <w:ind w:firstLine="0"/>
    </w:pPr>
  </w:style>
  <w:style w:type="paragraph" w:customStyle="1" w:styleId="Warning">
    <w:name w:val="Warning"/>
    <w:basedOn w:val="BodyText"/>
    <w:rsid w:val="00677597"/>
    <w:pPr>
      <w:shd w:val="clear" w:color="auto" w:fill="D9D9D9"/>
      <w:tabs>
        <w:tab w:val="left" w:pos="992"/>
      </w:tabs>
      <w:ind w:left="119" w:right="119"/>
    </w:pPr>
    <w:rPr>
      <w:sz w:val="20"/>
    </w:rPr>
  </w:style>
  <w:style w:type="paragraph" w:customStyle="1" w:styleId="MarginIcons">
    <w:name w:val="Margin Icons"/>
    <w:basedOn w:val="BodyText"/>
    <w:rsid w:val="00677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597"/>
    <w:rPr>
      <w:rFonts w:ascii="Courier New" w:hAnsi="Courier New"/>
    </w:rPr>
  </w:style>
  <w:style w:type="paragraph" w:customStyle="1" w:styleId="NoteBullet">
    <w:name w:val="Note Bullet"/>
    <w:basedOn w:val="Note"/>
    <w:rsid w:val="00677597"/>
    <w:pPr>
      <w:tabs>
        <w:tab w:val="clear" w:pos="680"/>
      </w:tabs>
      <w:spacing w:before="60" w:after="60"/>
    </w:pPr>
  </w:style>
  <w:style w:type="paragraph" w:customStyle="1" w:styleId="SubHeading2">
    <w:name w:val="SubHeading2"/>
    <w:basedOn w:val="HeadingBase"/>
    <w:rsid w:val="00677597"/>
    <w:pPr>
      <w:spacing w:before="240" w:after="60"/>
    </w:pPr>
    <w:rPr>
      <w:sz w:val="20"/>
    </w:rPr>
  </w:style>
  <w:style w:type="paragraph" w:customStyle="1" w:styleId="SubHeading1">
    <w:name w:val="SubHeading1"/>
    <w:basedOn w:val="HeadingBase"/>
    <w:rsid w:val="00677597"/>
    <w:pPr>
      <w:spacing w:before="240" w:after="60"/>
    </w:pPr>
    <w:rPr>
      <w:color w:val="918585"/>
      <w:sz w:val="22"/>
    </w:rPr>
  </w:style>
  <w:style w:type="paragraph" w:customStyle="1" w:styleId="SideHeading">
    <w:name w:val="Side Heading"/>
    <w:basedOn w:val="HeadingBase"/>
    <w:rsid w:val="00677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597"/>
    <w:pPr>
      <w:numPr>
        <w:numId w:val="10"/>
      </w:numPr>
    </w:pPr>
  </w:style>
  <w:style w:type="paragraph" w:styleId="PlainText">
    <w:name w:val="Plain Text"/>
    <w:basedOn w:val="Normal"/>
    <w:link w:val="PlainTextChar"/>
    <w:rsid w:val="00677597"/>
    <w:rPr>
      <w:sz w:val="20"/>
    </w:rPr>
  </w:style>
  <w:style w:type="character" w:customStyle="1" w:styleId="PlainTextChar">
    <w:name w:val="Plain Text Char"/>
    <w:basedOn w:val="DefaultParagraphFont"/>
    <w:link w:val="PlainText"/>
    <w:rsid w:val="00677597"/>
    <w:rPr>
      <w:rFonts w:ascii="Courier New" w:eastAsia="Times New Roman" w:hAnsi="Courier New" w:cs="Times New Roman"/>
      <w:sz w:val="20"/>
      <w:szCs w:val="20"/>
      <w:lang w:eastAsia="en-US"/>
    </w:rPr>
  </w:style>
  <w:style w:type="character" w:customStyle="1" w:styleId="MenuOption">
    <w:name w:val="Menu Option"/>
    <w:basedOn w:val="DefaultParagraphFont"/>
    <w:rsid w:val="00677597"/>
    <w:rPr>
      <w:b/>
      <w:smallCaps/>
    </w:rPr>
  </w:style>
  <w:style w:type="paragraph" w:customStyle="1" w:styleId="TableListNumber">
    <w:name w:val="Table List Number"/>
    <w:basedOn w:val="ListNumber"/>
    <w:rsid w:val="00677597"/>
    <w:pPr>
      <w:numPr>
        <w:numId w:val="0"/>
      </w:numPr>
    </w:pPr>
  </w:style>
  <w:style w:type="paragraph" w:styleId="TOC4">
    <w:name w:val="toc 4"/>
    <w:basedOn w:val="TOCBase"/>
    <w:next w:val="Normal"/>
    <w:semiHidden/>
    <w:rsid w:val="00677597"/>
    <w:pPr>
      <w:tabs>
        <w:tab w:val="right" w:leader="dot" w:pos="9071"/>
      </w:tabs>
      <w:ind w:left="1701"/>
    </w:pPr>
  </w:style>
  <w:style w:type="paragraph" w:customStyle="1" w:styleId="ListAlpha">
    <w:name w:val="List Alpha"/>
    <w:basedOn w:val="List"/>
    <w:rsid w:val="00677597"/>
    <w:pPr>
      <w:numPr>
        <w:numId w:val="7"/>
      </w:numPr>
    </w:pPr>
  </w:style>
  <w:style w:type="paragraph" w:customStyle="1" w:styleId="ListAlpha2">
    <w:name w:val="List Alpha 2"/>
    <w:basedOn w:val="List2"/>
    <w:rsid w:val="00677597"/>
    <w:pPr>
      <w:numPr>
        <w:numId w:val="6"/>
      </w:numPr>
    </w:pPr>
  </w:style>
  <w:style w:type="paragraph" w:styleId="List2">
    <w:name w:val="List 2"/>
    <w:basedOn w:val="BodyText"/>
    <w:rsid w:val="00677597"/>
    <w:pPr>
      <w:tabs>
        <w:tab w:val="left" w:pos="680"/>
      </w:tabs>
      <w:spacing w:before="60" w:after="60"/>
      <w:ind w:left="680" w:hanging="340"/>
    </w:pPr>
  </w:style>
  <w:style w:type="paragraph" w:styleId="List3">
    <w:name w:val="List 3"/>
    <w:basedOn w:val="BodyText"/>
    <w:rsid w:val="00677597"/>
    <w:pPr>
      <w:tabs>
        <w:tab w:val="left" w:pos="1021"/>
      </w:tabs>
      <w:spacing w:before="60" w:after="60"/>
      <w:ind w:left="1020" w:hanging="340"/>
    </w:pPr>
  </w:style>
  <w:style w:type="paragraph" w:styleId="List4">
    <w:name w:val="List 4"/>
    <w:basedOn w:val="BodyText"/>
    <w:rsid w:val="00677597"/>
    <w:pPr>
      <w:tabs>
        <w:tab w:val="left" w:pos="1361"/>
      </w:tabs>
      <w:spacing w:before="60" w:after="60"/>
      <w:ind w:left="1361" w:hanging="340"/>
    </w:pPr>
  </w:style>
  <w:style w:type="paragraph" w:styleId="List5">
    <w:name w:val="List 5"/>
    <w:basedOn w:val="BodyText"/>
    <w:rsid w:val="00677597"/>
    <w:pPr>
      <w:tabs>
        <w:tab w:val="left" w:pos="1701"/>
      </w:tabs>
      <w:spacing w:before="60" w:after="60"/>
      <w:ind w:left="1701" w:hanging="340"/>
    </w:pPr>
  </w:style>
  <w:style w:type="paragraph" w:styleId="ListBullet3">
    <w:name w:val="List Bullet 3"/>
    <w:basedOn w:val="List3"/>
    <w:rsid w:val="00677597"/>
    <w:pPr>
      <w:numPr>
        <w:numId w:val="13"/>
      </w:numPr>
      <w:tabs>
        <w:tab w:val="clear" w:pos="1021"/>
      </w:tabs>
      <w:ind w:left="1037" w:hanging="357"/>
    </w:pPr>
  </w:style>
  <w:style w:type="paragraph" w:styleId="ListBullet4">
    <w:name w:val="List Bullet 4"/>
    <w:basedOn w:val="List4"/>
    <w:rsid w:val="00677597"/>
    <w:pPr>
      <w:numPr>
        <w:numId w:val="1"/>
      </w:numPr>
    </w:pPr>
  </w:style>
  <w:style w:type="paragraph" w:styleId="ListBullet5">
    <w:name w:val="List Bullet 5"/>
    <w:basedOn w:val="List5"/>
    <w:rsid w:val="00677597"/>
    <w:pPr>
      <w:numPr>
        <w:numId w:val="2"/>
      </w:numPr>
    </w:pPr>
  </w:style>
  <w:style w:type="paragraph" w:styleId="ListContinue2">
    <w:name w:val="List Continue 2"/>
    <w:basedOn w:val="List2"/>
    <w:rsid w:val="00677597"/>
    <w:pPr>
      <w:ind w:firstLine="0"/>
    </w:pPr>
  </w:style>
  <w:style w:type="paragraph" w:styleId="ListContinue3">
    <w:name w:val="List Continue 3"/>
    <w:basedOn w:val="List3"/>
    <w:rsid w:val="00677597"/>
    <w:pPr>
      <w:ind w:left="1021" w:firstLine="0"/>
    </w:pPr>
  </w:style>
  <w:style w:type="paragraph" w:styleId="ListContinue4">
    <w:name w:val="List Continue 4"/>
    <w:basedOn w:val="List4"/>
    <w:rsid w:val="00677597"/>
    <w:pPr>
      <w:ind w:firstLine="0"/>
    </w:pPr>
  </w:style>
  <w:style w:type="paragraph" w:styleId="ListContinue5">
    <w:name w:val="List Continue 5"/>
    <w:basedOn w:val="List5"/>
    <w:rsid w:val="00677597"/>
    <w:pPr>
      <w:ind w:firstLine="0"/>
    </w:pPr>
  </w:style>
  <w:style w:type="paragraph" w:styleId="ListNumber3">
    <w:name w:val="List Number 3"/>
    <w:basedOn w:val="List3"/>
    <w:rsid w:val="00677597"/>
    <w:pPr>
      <w:numPr>
        <w:numId w:val="3"/>
      </w:numPr>
    </w:pPr>
  </w:style>
  <w:style w:type="paragraph" w:styleId="ListNumber4">
    <w:name w:val="List Number 4"/>
    <w:basedOn w:val="List4"/>
    <w:rsid w:val="00677597"/>
    <w:pPr>
      <w:numPr>
        <w:numId w:val="4"/>
      </w:numPr>
    </w:pPr>
  </w:style>
  <w:style w:type="paragraph" w:styleId="ListNumber5">
    <w:name w:val="List Number 5"/>
    <w:basedOn w:val="List5"/>
    <w:rsid w:val="00677597"/>
    <w:pPr>
      <w:numPr>
        <w:numId w:val="5"/>
      </w:numPr>
    </w:pPr>
  </w:style>
  <w:style w:type="paragraph" w:styleId="BlockText">
    <w:name w:val="Block Text"/>
    <w:basedOn w:val="Normal"/>
    <w:rsid w:val="00677597"/>
    <w:pPr>
      <w:spacing w:after="120"/>
      <w:ind w:left="1440" w:right="1440"/>
    </w:pPr>
  </w:style>
  <w:style w:type="character" w:customStyle="1" w:styleId="Subscript">
    <w:name w:val="Subscript"/>
    <w:basedOn w:val="DefaultParagraphFont"/>
    <w:rsid w:val="00677597"/>
    <w:rPr>
      <w:sz w:val="16"/>
      <w:vertAlign w:val="subscript"/>
    </w:rPr>
  </w:style>
  <w:style w:type="character" w:customStyle="1" w:styleId="Superscript">
    <w:name w:val="Superscript"/>
    <w:basedOn w:val="DefaultParagraphFont"/>
    <w:rsid w:val="00677597"/>
    <w:rPr>
      <w:sz w:val="16"/>
      <w:vertAlign w:val="superscript"/>
    </w:rPr>
  </w:style>
  <w:style w:type="character" w:customStyle="1" w:styleId="Symbols">
    <w:name w:val="Symbols"/>
    <w:basedOn w:val="DefaultParagraphFont"/>
    <w:rsid w:val="00677597"/>
    <w:rPr>
      <w:rFonts w:ascii="Symbol" w:hAnsi="Symbol"/>
    </w:rPr>
  </w:style>
  <w:style w:type="character" w:customStyle="1" w:styleId="MenuOptions">
    <w:name w:val="Menu Options"/>
    <w:basedOn w:val="DefaultParagraphFont"/>
    <w:rsid w:val="00677597"/>
    <w:rPr>
      <w:rFonts w:ascii="Arial Narrow" w:hAnsi="Arial Narrow"/>
      <w:smallCaps/>
    </w:rPr>
  </w:style>
  <w:style w:type="character" w:customStyle="1" w:styleId="Buttons">
    <w:name w:val="Buttons"/>
    <w:basedOn w:val="DefaultParagraphFont"/>
    <w:rsid w:val="00677597"/>
    <w:rPr>
      <w:b/>
    </w:rPr>
  </w:style>
  <w:style w:type="character" w:customStyle="1" w:styleId="Underlined">
    <w:name w:val="Underlined"/>
    <w:basedOn w:val="DefaultParagraphFont"/>
    <w:rsid w:val="00677597"/>
    <w:rPr>
      <w:u w:val="single"/>
    </w:rPr>
  </w:style>
  <w:style w:type="paragraph" w:customStyle="1" w:styleId="TableBodyTextRight">
    <w:name w:val="Table Body Text Right"/>
    <w:basedOn w:val="TableBodyText"/>
    <w:rsid w:val="00677597"/>
    <w:pPr>
      <w:widowControl w:val="0"/>
      <w:autoSpaceDE w:val="0"/>
      <w:autoSpaceDN w:val="0"/>
      <w:adjustRightInd w:val="0"/>
      <w:jc w:val="right"/>
    </w:pPr>
    <w:rPr>
      <w:rFonts w:cs="Arial"/>
      <w:szCs w:val="18"/>
    </w:rPr>
  </w:style>
  <w:style w:type="paragraph" w:customStyle="1" w:styleId="CopyrightText">
    <w:name w:val="Copyright Text"/>
    <w:basedOn w:val="BodyText"/>
    <w:rsid w:val="00677597"/>
    <w:rPr>
      <w:sz w:val="18"/>
    </w:rPr>
  </w:style>
  <w:style w:type="paragraph" w:customStyle="1" w:styleId="BodySmallRight">
    <w:name w:val="Body Small Right"/>
    <w:basedOn w:val="BodyTextRight"/>
    <w:rsid w:val="00677597"/>
    <w:rPr>
      <w:sz w:val="18"/>
      <w:szCs w:val="18"/>
    </w:rPr>
  </w:style>
  <w:style w:type="paragraph" w:customStyle="1" w:styleId="MarginEdition">
    <w:name w:val="Margin Edition"/>
    <w:basedOn w:val="MarginNote"/>
    <w:rsid w:val="00677597"/>
    <w:pPr>
      <w:spacing w:before="0" w:after="0"/>
    </w:pPr>
    <w:rPr>
      <w:rFonts w:ascii="Times New Roman" w:hAnsi="Times New Roman"/>
      <w:color w:val="999999"/>
    </w:rPr>
  </w:style>
  <w:style w:type="paragraph" w:customStyle="1" w:styleId="Spacer">
    <w:name w:val="Spacer"/>
    <w:basedOn w:val="Normal"/>
    <w:rsid w:val="00677597"/>
    <w:rPr>
      <w:sz w:val="2"/>
      <w:szCs w:val="2"/>
    </w:rPr>
  </w:style>
  <w:style w:type="character" w:customStyle="1" w:styleId="Small">
    <w:name w:val="Small"/>
    <w:basedOn w:val="DefaultParagraphFont"/>
    <w:rsid w:val="00677597"/>
    <w:rPr>
      <w:sz w:val="16"/>
    </w:rPr>
  </w:style>
  <w:style w:type="paragraph" w:customStyle="1" w:styleId="WideTable">
    <w:name w:val="Wide Table"/>
    <w:basedOn w:val="Normal"/>
    <w:rsid w:val="00677597"/>
    <w:pPr>
      <w:ind w:left="-1418"/>
    </w:pPr>
    <w:rPr>
      <w:sz w:val="2"/>
      <w:szCs w:val="2"/>
    </w:rPr>
  </w:style>
  <w:style w:type="character" w:styleId="PageNumber">
    <w:name w:val="page number"/>
    <w:basedOn w:val="DefaultParagraphFont"/>
    <w:rsid w:val="00677597"/>
  </w:style>
  <w:style w:type="paragraph" w:styleId="Quote">
    <w:name w:val="Quote"/>
    <w:basedOn w:val="Heading1"/>
    <w:link w:val="QuoteChar"/>
    <w:qFormat/>
    <w:rsid w:val="00677597"/>
    <w:rPr>
      <w:b w:val="0"/>
      <w:sz w:val="72"/>
      <w:szCs w:val="72"/>
      <w:lang w:val="en-NZ"/>
    </w:rPr>
  </w:style>
  <w:style w:type="character" w:customStyle="1" w:styleId="QuoteChar">
    <w:name w:val="Quote Char"/>
    <w:basedOn w:val="DefaultParagraphFont"/>
    <w:link w:val="Quote"/>
    <w:rsid w:val="00677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597"/>
    <w:pPr>
      <w:pageBreakBefore/>
    </w:pPr>
  </w:style>
  <w:style w:type="paragraph" w:customStyle="1" w:styleId="Border">
    <w:name w:val="Border"/>
    <w:basedOn w:val="Normal"/>
    <w:qFormat/>
    <w:rsid w:val="00677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597"/>
    <w:rPr>
      <w:b/>
      <w:bCs/>
      <w:i/>
      <w:iCs/>
      <w:color w:val="auto"/>
    </w:rPr>
  </w:style>
  <w:style w:type="paragraph" w:styleId="IntenseQuote">
    <w:name w:val="Intense Quote"/>
    <w:basedOn w:val="Normal"/>
    <w:next w:val="Normal"/>
    <w:link w:val="IntenseQuoteChar"/>
    <w:uiPriority w:val="30"/>
    <w:qFormat/>
    <w:rsid w:val="00677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5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597"/>
    <w:rPr>
      <w:smallCaps/>
      <w:color w:val="auto"/>
      <w:u w:val="single"/>
    </w:rPr>
  </w:style>
  <w:style w:type="character" w:styleId="IntenseReference">
    <w:name w:val="Intense Reference"/>
    <w:basedOn w:val="DefaultParagraphFont"/>
    <w:uiPriority w:val="32"/>
    <w:qFormat/>
    <w:rsid w:val="00677597"/>
    <w:rPr>
      <w:b/>
      <w:bCs/>
      <w:smallCaps/>
      <w:color w:val="auto"/>
      <w:spacing w:val="5"/>
      <w:u w:val="single"/>
    </w:rPr>
  </w:style>
  <w:style w:type="paragraph" w:customStyle="1" w:styleId="2ColumnHeading">
    <w:name w:val="2Column Heading"/>
    <w:basedOn w:val="BodyText"/>
    <w:qFormat/>
    <w:rsid w:val="00677597"/>
    <w:pPr>
      <w:spacing w:after="60"/>
      <w:ind w:left="-2268"/>
    </w:pPr>
    <w:rPr>
      <w:b/>
    </w:rPr>
  </w:style>
  <w:style w:type="paragraph" w:customStyle="1" w:styleId="Heading1TOC">
    <w:name w:val="Heading1 TOC"/>
    <w:basedOn w:val="Normal"/>
    <w:qFormat/>
    <w:rsid w:val="00677597"/>
    <w:pPr>
      <w:spacing w:before="240" w:after="120"/>
    </w:pPr>
    <w:rPr>
      <w:rFonts w:ascii="Times New Roman" w:hAnsi="Times New Roman"/>
      <w:b/>
      <w:sz w:val="32"/>
    </w:rPr>
  </w:style>
  <w:style w:type="paragraph" w:customStyle="1" w:styleId="Heading2TOC">
    <w:name w:val="Heading2 TOC"/>
    <w:basedOn w:val="Normal"/>
    <w:qFormat/>
    <w:rsid w:val="00677597"/>
    <w:pPr>
      <w:spacing w:before="240" w:after="60"/>
    </w:pPr>
    <w:rPr>
      <w:rFonts w:ascii="Times New Roman" w:hAnsi="Times New Roman"/>
      <w:b/>
      <w:sz w:val="28"/>
    </w:rPr>
  </w:style>
  <w:style w:type="character" w:customStyle="1" w:styleId="Underline">
    <w:name w:val="Underline"/>
    <w:basedOn w:val="DefaultParagraphFont"/>
    <w:qFormat/>
    <w:rsid w:val="00677597"/>
    <w:rPr>
      <w:u w:val="single"/>
    </w:rPr>
  </w:style>
  <w:style w:type="character" w:customStyle="1" w:styleId="BoldandItalics">
    <w:name w:val="Bold and Italics"/>
    <w:qFormat/>
    <w:rsid w:val="00677597"/>
    <w:rPr>
      <w:b/>
      <w:i/>
      <w:u w:val="none"/>
    </w:rPr>
  </w:style>
  <w:style w:type="paragraph" w:styleId="BalloonText">
    <w:name w:val="Balloon Text"/>
    <w:basedOn w:val="Normal"/>
    <w:link w:val="BalloonTextChar"/>
    <w:rsid w:val="00677597"/>
    <w:rPr>
      <w:rFonts w:ascii="Tahoma" w:hAnsi="Tahoma" w:cs="Tahoma"/>
      <w:sz w:val="16"/>
      <w:szCs w:val="16"/>
    </w:rPr>
  </w:style>
  <w:style w:type="character" w:customStyle="1" w:styleId="BalloonTextChar">
    <w:name w:val="Balloon Text Char"/>
    <w:basedOn w:val="DefaultParagraphFont"/>
    <w:link w:val="BalloonText"/>
    <w:rsid w:val="006775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5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75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597"/>
    <w:rPr>
      <w:b/>
      <w:color w:val="660033"/>
      <w:spacing w:val="0"/>
    </w:rPr>
  </w:style>
  <w:style w:type="paragraph" w:customStyle="1" w:styleId="Nameditemlist">
    <w:name w:val="Named item list"/>
    <w:basedOn w:val="BodyText"/>
    <w:qFormat/>
    <w:rsid w:val="006775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3997</Words>
  <Characters>24627</Characters>
  <Application>Microsoft Office Word</Application>
  <DocSecurity>0</DocSecurity>
  <Lines>1396</Lines>
  <Paragraphs>595</Paragraphs>
  <ScaleCrop>false</ScaleCrop>
  <Company>Author-it Software Corporation Ltd.</Company>
  <LinksUpToDate>false</LinksUpToDate>
  <CharactersWithSpaces>28047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TDMMR607B MANAGE THE OPERATION, MONITORING AND EVALUATION OF THE PERFORMANCE OF ENGINES ON VESSELS OF UNLIMITED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2012-10-11T19:34:00Z</dcterms:created>
  <dcterms:modified xsi:type="dcterms:W3CDTF">2012-10-11T19:34:00Z</dcterms:modified>
</cp:coreProperties>
</file>