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887" w:rsidP="00991887">
      <w:pPr>
        <w:pStyle w:val="Title"/>
      </w:pPr>
      <w:r>
        <w:fldChar w:fldCharType="begin"/>
      </w:r>
      <w:r>
        <w:instrText xml:space="preserve"> TITLE   \* MERGEFORMAT </w:instrText>
      </w:r>
      <w:r>
        <w:fldChar w:fldCharType="separate"/>
      </w:r>
      <w:r>
        <w:t>TDMMR5907A OPERATE STEAM PROPULSION PLANT AND ASSOCIATED SYSTEMS ON STEAM VESSELS</w:t>
      </w:r>
      <w:r>
        <w:fldChar w:fldCharType="end"/>
      </w:r>
    </w:p>
    <w:p w:rsidR="00991887" w:rsidP="00991887">
      <w:pPr>
        <w:pStyle w:val="Version"/>
        <w:sectPr w:rsidSect="00FA6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94D" w:rsidP="00FA694D">
      <w:pPr>
        <w:pStyle w:val="SuperHeading"/>
      </w:pPr>
      <w:r w:rsidRPr="00FA694D">
        <w:t>TDMM</w:t>
      </w:r>
      <w:r w:rsidRPr="00FA694D">
        <w:t>R5907A OPERATE STEAM PROPULSION PLANT AND ASSOCIATED SYSTEMS ON STEAM VESSELS</w:t>
      </w:r>
    </w:p>
    <w:p w:rsidR="00000000" w:rsidRPr="00FA694D" w:rsidP="00FA694D">
      <w:pPr>
        <w:pStyle w:val="Heading1"/>
      </w:pPr>
      <w:bookmarkStart w:id="1" w:name="O_152259"/>
      <w:bookmarkEnd w:id="1"/>
      <w:r w:rsidRPr="00FA694D">
        <w:t>Modification History</w:t>
      </w:r>
    </w:p>
    <w:p w:rsidR="00000000" w:rsidRPr="00FA694D" w:rsidP="00FA694D">
      <w:pPr>
        <w:pStyle w:val="BodyText"/>
      </w:pPr>
      <w:r w:rsidRPr="00FA694D">
        <w:t>Not applicable.</w:t>
      </w:r>
    </w:p>
    <w:p w:rsidR="00000000" w:rsidRPr="00FA694D" w:rsidP="00FA694D">
      <w:pPr>
        <w:pStyle w:val="AllowPageBreak"/>
      </w:pPr>
    </w:p>
    <w:p w:rsidR="00000000" w:rsidRPr="00FA694D" w:rsidP="00FA694D">
      <w:pPr>
        <w:pStyle w:val="Heading1"/>
      </w:pPr>
      <w:bookmarkStart w:id="2" w:name="O_152260"/>
      <w:bookmarkEnd w:id="2"/>
      <w:r w:rsidRPr="00FA694D">
        <w:t>Unit Descriptor</w:t>
      </w:r>
    </w:p>
    <w:tbl>
      <w:tblPr>
        <w:tblW w:w="0" w:type="auto"/>
        <w:tblLayout w:type="fixed"/>
        <w:tblCellMar>
          <w:left w:w="62" w:type="dxa"/>
          <w:right w:w="62" w:type="dxa"/>
        </w:tblCellMar>
        <w:tblLook w:val="0000"/>
      </w:tblPr>
      <w:tblGrid>
        <w:gridCol w:w="1974"/>
        <w:gridCol w:w="6481"/>
      </w:tblGrid>
      <w:tr w:rsidTr="00991887">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t>UNIT DESCRIPTOR:</w:t>
            </w:r>
          </w:p>
          <w:p w:rsidR="00000000" w:rsidP="00FA694D">
            <w:pPr>
              <w:pStyle w:val="BodyText"/>
              <w:rPr>
                <w:lang w:val="en-NZ"/>
              </w:rPr>
            </w:pPr>
            <w:r w:rsidRPr="00FA694D">
              <w:rPr>
                <w:rStyle w:val="SpecialBold"/>
              </w:rPr>
              <w:t>This unit involves the skills and knowledge required to operate main steam propulsion plant and associated control systems on board a commercial steam vessel</w:t>
            </w:r>
            <w:r w:rsidRPr="00FA694D">
              <w:t xml:space="preserve">, </w:t>
            </w:r>
            <w:r w:rsidRPr="00FA694D">
              <w:rPr>
                <w:rStyle w:val="SpecialBold"/>
              </w:rPr>
              <w:t xml:space="preserve">including start up and shut down of steam propulsion plant and associated systems on a vessel of </w:t>
            </w:r>
            <w:r w:rsidRPr="00FA694D">
              <w:rPr>
                <w:rStyle w:val="SpecialBold"/>
              </w:rPr>
              <w:t>unlimited propulsion power</w:t>
            </w:r>
            <w:r w:rsidRPr="00FA694D">
              <w:t xml:space="preserve">., </w:t>
            </w:r>
            <w:r w:rsidRPr="00FA694D">
              <w:rPr>
                <w:rStyle w:val="SpecialBold"/>
              </w:rPr>
              <w:t>identifying malfunctions and taking appropriate action</w:t>
            </w:r>
            <w:r w:rsidRPr="00FA694D">
              <w:t xml:space="preserve">, </w:t>
            </w:r>
            <w:r w:rsidRPr="00FA694D">
              <w:rPr>
                <w:rStyle w:val="SpecialBold"/>
              </w:rPr>
              <w:t>exercising all required safety and pollution control measures</w:t>
            </w:r>
            <w:r w:rsidRPr="00FA694D">
              <w:t xml:space="preserve">, </w:t>
            </w:r>
            <w:r w:rsidRPr="00FA694D">
              <w:rPr>
                <w:rStyle w:val="SpecialBold"/>
              </w:rPr>
              <w:t>and keeping all required operational records</w:t>
            </w:r>
            <w:r w:rsidRPr="00FA694D">
              <w:t>.</w:t>
            </w:r>
          </w:p>
        </w:tc>
      </w:tr>
      <w:tr w:rsidTr="00991887">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FA694D" w:rsidP="00FA694D">
            <w:pPr>
              <w:pStyle w:val="BodyText"/>
            </w:pPr>
          </w:p>
        </w:tc>
      </w:tr>
    </w:tbl>
    <w:p w:rsidR="00000000" w:rsidRPr="00FA694D" w:rsidP="00FA694D">
      <w:pPr>
        <w:pStyle w:val="BodyText"/>
      </w:pPr>
    </w:p>
    <w:p w:rsidR="00000000" w:rsidRPr="00FA694D" w:rsidP="00FA694D">
      <w:pPr>
        <w:pStyle w:val="AllowPageBreak"/>
      </w:pPr>
    </w:p>
    <w:p w:rsidR="00000000" w:rsidRPr="00FA694D" w:rsidP="00FA694D">
      <w:pPr>
        <w:pStyle w:val="Heading1"/>
      </w:pPr>
      <w:bookmarkStart w:id="3" w:name="O_152261"/>
      <w:bookmarkEnd w:id="3"/>
      <w:r w:rsidRPr="00FA694D">
        <w:t>Application of the Unit</w:t>
      </w:r>
    </w:p>
    <w:tbl>
      <w:tblPr>
        <w:tblW w:w="0" w:type="auto"/>
        <w:tblLayout w:type="fixed"/>
        <w:tblCellMar>
          <w:left w:w="62" w:type="dxa"/>
          <w:right w:w="62" w:type="dxa"/>
        </w:tblCellMar>
        <w:tblLook w:val="0000"/>
      </w:tblPr>
      <w:tblGrid>
        <w:gridCol w:w="1974"/>
        <w:gridCol w:w="6481"/>
      </w:tblGrid>
      <w:tr w:rsidTr="0099188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t>The unit has application in the qualifications for an Engineer Watchkeeper on a vessel greater than 750 kW, i.e. Diploma of Transport&amp;Distribution(Marine Engineering - Engineer Watchkeeper).</w:t>
            </w:r>
          </w:p>
        </w:tc>
      </w:tr>
    </w:tbl>
    <w:p w:rsidR="00000000" w:rsidRPr="00FA694D" w:rsidP="00FA694D">
      <w:pPr>
        <w:pStyle w:val="BodyText"/>
      </w:pPr>
    </w:p>
    <w:p w:rsidR="00000000" w:rsidRPr="00FA694D" w:rsidP="00FA694D">
      <w:pPr>
        <w:pStyle w:val="AllowPageBreak"/>
      </w:pPr>
    </w:p>
    <w:p w:rsidR="00000000" w:rsidRPr="00FA694D" w:rsidP="00FA694D">
      <w:pPr>
        <w:pStyle w:val="Heading1"/>
      </w:pPr>
      <w:bookmarkStart w:id="4" w:name="O_152262"/>
      <w:bookmarkEnd w:id="4"/>
      <w:r w:rsidRPr="00FA694D">
        <w:t>Licensing/Regulatory I</w:t>
      </w:r>
      <w:r w:rsidRPr="00FA694D">
        <w:t>nformation</w:t>
      </w:r>
    </w:p>
    <w:tbl>
      <w:tblPr>
        <w:tblW w:w="0" w:type="auto"/>
        <w:tblLayout w:type="fixed"/>
        <w:tblCellMar>
          <w:left w:w="62" w:type="dxa"/>
          <w:right w:w="62" w:type="dxa"/>
        </w:tblCellMar>
        <w:tblLook w:val="0000"/>
      </w:tblPr>
      <w:tblGrid>
        <w:gridCol w:w="1974"/>
        <w:gridCol w:w="6481"/>
      </w:tblGrid>
      <w:tr w:rsidTr="0099188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Licensing</w:t>
            </w:r>
            <w:r w:rsidRPr="00FA694D">
              <w:t>/</w:t>
            </w:r>
            <w:r w:rsidRPr="00FA694D">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t>The unit is consistent with the relevant sections of STCW 95 and Marine Orders under the Australian Navigation Act 1912, describing the role and responsibilities of an Engineer Watchkeeper.</w:t>
            </w:r>
          </w:p>
        </w:tc>
      </w:tr>
    </w:tbl>
    <w:p w:rsidR="00000000" w:rsidRPr="00FA694D" w:rsidP="00FA694D">
      <w:pPr>
        <w:pStyle w:val="BodyText"/>
      </w:pPr>
    </w:p>
    <w:p w:rsidR="00000000" w:rsidRPr="00FA694D" w:rsidP="00FA694D">
      <w:pPr>
        <w:pStyle w:val="AllowPageBreak"/>
      </w:pPr>
    </w:p>
    <w:p w:rsidR="00000000" w:rsidRPr="00FA694D" w:rsidP="00FA694D">
      <w:pPr>
        <w:pStyle w:val="Heading1"/>
      </w:pPr>
      <w:bookmarkStart w:id="5" w:name="O_152263"/>
      <w:bookmarkEnd w:id="5"/>
      <w:r w:rsidRPr="00FA694D">
        <w:t>P</w:t>
      </w:r>
      <w:r w:rsidRPr="00FA694D">
        <w:t>re-Requisites</w:t>
      </w:r>
    </w:p>
    <w:p w:rsidR="00000000" w:rsidRPr="00FA694D" w:rsidP="00FA694D">
      <w:pPr>
        <w:pStyle w:val="BodyText"/>
      </w:pPr>
      <w:r w:rsidRPr="00FA694D">
        <w:t>Not applicable.</w:t>
      </w:r>
    </w:p>
    <w:p w:rsidR="00000000" w:rsidRPr="00FA694D" w:rsidP="00FA694D">
      <w:pPr>
        <w:pStyle w:val="AllowPageBreak"/>
      </w:pPr>
    </w:p>
    <w:p w:rsidR="00000000" w:rsidRPr="00FA694D" w:rsidP="00FA694D">
      <w:pPr>
        <w:pStyle w:val="Heading1"/>
      </w:pPr>
      <w:bookmarkStart w:id="6" w:name="O_152264"/>
      <w:bookmarkEnd w:id="6"/>
      <w:r w:rsidRPr="00FA694D">
        <w:t>Employability Skills Information</w:t>
      </w:r>
    </w:p>
    <w:p w:rsidR="00000000" w:rsidRPr="00FA694D" w:rsidP="00FA694D">
      <w:pPr>
        <w:pStyle w:val="BodyText"/>
      </w:pPr>
      <w:r w:rsidRPr="00FA694D">
        <w:t>Not applicable.</w:t>
      </w:r>
    </w:p>
    <w:p w:rsidR="00000000" w:rsidRPr="00FA694D" w:rsidP="00FA694D">
      <w:pPr>
        <w:pStyle w:val="AllowPageBreak"/>
      </w:pPr>
    </w:p>
    <w:p w:rsidR="00000000" w:rsidRPr="00FA694D" w:rsidP="00FA694D">
      <w:pPr>
        <w:pStyle w:val="Heading1"/>
      </w:pPr>
      <w:bookmarkStart w:id="7" w:name="O_152265"/>
      <w:bookmarkEnd w:id="7"/>
      <w:r w:rsidRPr="00FA694D">
        <w:t>Elements and Performance Criteria Pre-Content</w:t>
      </w:r>
    </w:p>
    <w:tbl>
      <w:tblPr>
        <w:tblW w:w="0" w:type="auto"/>
        <w:tblLayout w:type="fixed"/>
        <w:tblCellMar>
          <w:left w:w="62" w:type="dxa"/>
          <w:right w:w="62" w:type="dxa"/>
        </w:tblCellMar>
        <w:tblLook w:val="0000"/>
      </w:tblPr>
      <w:tblGrid>
        <w:gridCol w:w="1946"/>
        <w:gridCol w:w="6494"/>
      </w:tblGrid>
      <w:tr w:rsidTr="00991887">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FA694D" w:rsidP="00FA694D">
            <w:pPr>
              <w:pStyle w:val="BodyText"/>
            </w:pPr>
            <w:r w:rsidRPr="00FA694D">
              <w:rPr>
                <w:rStyle w:val="Emphasis"/>
              </w:rPr>
              <w:t>Elements describe the essential outcomes of a unit of competency</w:t>
            </w:r>
            <w:r w:rsidRPr="00FA694D">
              <w:t>.</w:t>
            </w:r>
          </w:p>
        </w:tc>
        <w:tc>
          <w:tcPr>
            <w:tcW w:w="6494" w:type="dxa"/>
            <w:tcBorders>
              <w:top w:val="single" w:sz="6" w:space="0" w:color="auto"/>
              <w:left w:val="single" w:sz="6" w:space="0" w:color="auto"/>
              <w:bottom w:val="nil"/>
              <w:right w:val="nil"/>
            </w:tcBorders>
            <w:tcMar>
              <w:top w:w="0" w:type="dxa"/>
              <w:left w:w="62" w:type="dxa"/>
              <w:bottom w:w="0" w:type="dxa"/>
              <w:right w:w="62" w:type="dxa"/>
            </w:tcMar>
          </w:tcPr>
          <w:p w:rsidR="00000000" w:rsidRPr="00FA694D" w:rsidP="00FA694D">
            <w:pPr>
              <w:pStyle w:val="BodyText"/>
            </w:pPr>
            <w:r w:rsidRPr="00FA694D">
              <w:rPr>
                <w:rStyle w:val="Emphasis"/>
              </w:rPr>
              <w:t>Performance Criteria describe t</w:t>
            </w:r>
            <w:r w:rsidRPr="00FA694D">
              <w:rPr>
                <w:rStyle w:val="Emphasis"/>
              </w:rPr>
              <w:t>he required performance needed to demonstrate achievement of the element</w:t>
            </w:r>
            <w:r w:rsidRPr="00FA694D">
              <w:t xml:space="preserve">. </w:t>
            </w:r>
            <w:r w:rsidRPr="00FA694D">
              <w:rPr>
                <w:rStyle w:val="Emphasis"/>
              </w:rPr>
              <w:t>Assessment of performance is to be consistent with the Evidence Guide</w:t>
            </w:r>
            <w:r w:rsidRPr="00FA694D">
              <w:t>.</w:t>
            </w:r>
          </w:p>
        </w:tc>
      </w:tr>
    </w:tbl>
    <w:p w:rsidR="00000000" w:rsidRPr="00FA694D" w:rsidP="00FA694D">
      <w:pPr>
        <w:pStyle w:val="BodyText"/>
      </w:pPr>
    </w:p>
    <w:p w:rsidR="00000000" w:rsidRPr="00FA694D" w:rsidP="00FA694D">
      <w:pPr>
        <w:pStyle w:val="AllowPageBreak"/>
      </w:pPr>
    </w:p>
    <w:p w:rsidR="00000000" w:rsidRPr="00FA694D" w:rsidP="00FA694D">
      <w:pPr>
        <w:pStyle w:val="Heading1"/>
      </w:pPr>
      <w:bookmarkStart w:id="8" w:name="O_152266"/>
      <w:bookmarkEnd w:id="8"/>
      <w:r w:rsidRPr="00FA694D">
        <w:t>Elements and Performance Criteria</w:t>
      </w:r>
    </w:p>
    <w:tbl>
      <w:tblPr>
        <w:tblW w:w="0" w:type="auto"/>
        <w:tblLayout w:type="fixed"/>
        <w:tblCellMar>
          <w:left w:w="62" w:type="dxa"/>
          <w:right w:w="62" w:type="dxa"/>
        </w:tblCellMar>
        <w:tblLook w:val="0000"/>
      </w:tblPr>
      <w:tblGrid>
        <w:gridCol w:w="340"/>
        <w:gridCol w:w="1606"/>
        <w:gridCol w:w="360"/>
        <w:gridCol w:w="6030"/>
        <w:gridCol w:w="104"/>
      </w:tblGrid>
      <w:tr w:rsidTr="00991887">
        <w:tblPrEx>
          <w:tblW w:w="0" w:type="auto"/>
          <w:tblLayout w:type="fixed"/>
          <w:tblCellMar>
            <w:left w:w="62" w:type="dxa"/>
            <w:right w:w="62" w:type="dxa"/>
          </w:tblCellMar>
          <w:tblLook w:val="0000"/>
        </w:tblPrEx>
        <w:trPr>
          <w:gridAfter w:val="1"/>
          <w:wAfter w:w="104"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rPr>
                <w:rStyle w:val="SpecialBold"/>
              </w:rPr>
              <w:t>PERFORMANCE CRITERIA</w:t>
            </w:r>
          </w:p>
        </w:tc>
      </w:tr>
      <w:tr w:rsidTr="00991887">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t>.</w:t>
            </w:r>
          </w:p>
        </w:tc>
        <w:tc>
          <w:tcPr>
            <w:tcW w:w="649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w:t>
            </w:r>
          </w:p>
        </w:tc>
      </w:tr>
      <w:tr w:rsidTr="00991887">
        <w:tblPrEx>
          <w:tblW w:w="0" w:type="auto"/>
          <w:tblLayout w:type="fixed"/>
          <w:tblCellMar>
            <w:left w:w="62" w:type="dxa"/>
            <w:right w:w="62" w:type="dxa"/>
          </w:tblCellMar>
          <w:tblLook w:val="0000"/>
        </w:tblPrEx>
        <w:trPr>
          <w:gridAfter w:val="1"/>
          <w:wAfter w:w="104" w:type="dxa"/>
        </w:trPr>
        <w:tc>
          <w:tcPr>
            <w:tcW w:w="340"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Operate steam propulsion plant and associated systems</w:t>
            </w:r>
          </w:p>
        </w:tc>
        <w:tc>
          <w:tcPr>
            <w:tcW w:w="36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603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Work plans for the operation of main steam propulsion plant and associated systems are as per watchkeeping procedures, operational instructions, </w:t>
            </w:r>
            <w:r w:rsidRPr="00FA694D">
              <w:t>vessel and company rules, and marine engineering practice</w:t>
            </w:r>
          </w:p>
        </w:tc>
      </w:tr>
      <w:tr w:rsidTr="00991887">
        <w:tblPrEx>
          <w:tblW w:w="0" w:type="auto"/>
          <w:tblLayout w:type="fixed"/>
          <w:tblCellMar>
            <w:left w:w="62" w:type="dxa"/>
            <w:right w:w="62" w:type="dxa"/>
          </w:tblCellMar>
          <w:tblLook w:val="0000"/>
        </w:tblPrEx>
        <w:trPr>
          <w:gridAfter w:val="1"/>
          <w:wAfter w:w="10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603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Method of preparing the start up and shut down of main and auxiliary machinery as per manufacturer's specifications and instructions and established engineering practice and shipboard procedure</w:t>
            </w:r>
            <w:r w:rsidRPr="00FA694D">
              <w:t>s</w:t>
            </w:r>
          </w:p>
        </w:tc>
      </w:tr>
      <w:tr w:rsidTr="00991887">
        <w:tblPrEx>
          <w:tblW w:w="0" w:type="auto"/>
          <w:tblLayout w:type="fixed"/>
          <w:tblCellMar>
            <w:left w:w="62" w:type="dxa"/>
            <w:right w:w="62" w:type="dxa"/>
          </w:tblCellMar>
          <w:tblLook w:val="0000"/>
        </w:tblPrEx>
        <w:trPr>
          <w:gridAfter w:val="1"/>
          <w:wAfter w:w="10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603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Procedures for making available fuels, lubricants, cooling water, steam and air for the start up of main and auxiliary machinery are as per manufacturer's specifications and instructions and established engineering practice</w:t>
            </w:r>
          </w:p>
        </w:tc>
      </w:tr>
      <w:tr w:rsidTr="00991887">
        <w:tblPrEx>
          <w:tblW w:w="0" w:type="auto"/>
          <w:tblLayout w:type="fixed"/>
          <w:tblCellMar>
            <w:left w:w="62" w:type="dxa"/>
            <w:right w:w="62" w:type="dxa"/>
          </w:tblCellMar>
          <w:tblLook w:val="0000"/>
        </w:tblPrEx>
        <w:trPr>
          <w:gridAfter w:val="1"/>
          <w:wAfter w:w="10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603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Required precautions are taken prior to start up of main propulsion and auxiliary machinery to minimise and control hazards and operational risks</w:t>
            </w:r>
          </w:p>
        </w:tc>
      </w:tr>
      <w:tr w:rsidTr="00991887">
        <w:tblPrEx>
          <w:tblW w:w="0" w:type="auto"/>
          <w:tblLayout w:type="fixed"/>
          <w:tblCellMar>
            <w:left w:w="62" w:type="dxa"/>
            <w:right w:w="62" w:type="dxa"/>
          </w:tblCellMar>
          <w:tblLook w:val="0000"/>
        </w:tblPrEx>
        <w:trPr>
          <w:gridAfter w:val="1"/>
          <w:wAfter w:w="10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603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Steam propulsion plant and associated systems are operated within specified limits as per plans, procedur</w:t>
            </w:r>
            <w:r w:rsidRPr="00FA694D">
              <w:t xml:space="preserve">es and manufacturer's instructions and specifications </w:t>
            </w:r>
          </w:p>
        </w:tc>
      </w:tr>
      <w:tr w:rsidTr="00991887">
        <w:tblPrEx>
          <w:tblW w:w="0" w:type="auto"/>
          <w:tblLayout w:type="fixed"/>
          <w:tblCellMar>
            <w:left w:w="62" w:type="dxa"/>
            <w:right w:w="62" w:type="dxa"/>
          </w:tblCellMar>
          <w:tblLook w:val="0000"/>
        </w:tblPrEx>
        <w:trPr>
          <w:gridAfter w:val="1"/>
          <w:wAfter w:w="10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6030"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 xml:space="preserve">The performance of steam propulsion plant and auxiliary machinery and associated systems is monitored as per vessel's survey requirements and </w:t>
            </w:r>
            <w:r w:rsidRPr="00FA694D">
              <w:t>manufacturer's instructions and performance is compared with specifications and recommended limits of performance</w:t>
            </w:r>
          </w:p>
        </w:tc>
      </w:tr>
    </w:tbl>
    <w:p w:rsidR="00000000" w:rsidRPr="00FA694D" w:rsidP="00FA694D">
      <w:pPr>
        <w:pStyle w:val="BodyText"/>
      </w:pP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340"/>
        <w:gridCol w:w="1606"/>
        <w:gridCol w:w="340"/>
        <w:gridCol w:w="20"/>
        <w:gridCol w:w="6205"/>
      </w:tblGrid>
      <w:tr w:rsidTr="00991887">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ELEMENT</w:t>
            </w:r>
          </w:p>
        </w:tc>
        <w:tc>
          <w:tcPr>
            <w:tcW w:w="6565"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rPr>
                <w:rStyle w:val="SpecialBold"/>
              </w:rPr>
              <w:t>PERFORMANCE CRITERIA</w:t>
            </w:r>
          </w:p>
        </w:tc>
      </w:tr>
      <w:tr w:rsidTr="00991887">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25" w:type="dxa"/>
            <w:gridSpan w:val="2"/>
            <w:tcBorders>
              <w:top w:val="single" w:sz="6" w:space="0" w:color="auto"/>
              <w:left w:val="nil"/>
              <w:bottom w:val="nil"/>
              <w:right w:val="nil"/>
            </w:tcBorders>
            <w:tcMar>
              <w:top w:w="0" w:type="dxa"/>
              <w:left w:w="62" w:type="dxa"/>
              <w:bottom w:w="0" w:type="dxa"/>
              <w:right w:w="62" w:type="dxa"/>
            </w:tcMar>
          </w:tcPr>
          <w:p w:rsidR="00000000" w:rsidP="00FA694D">
            <w:pPr>
              <w:pStyle w:val="BodyText"/>
              <w:rPr>
                <w:lang w:val="en-NZ"/>
              </w:rPr>
            </w:pPr>
          </w:p>
        </w:tc>
      </w:tr>
      <w:tr w:rsidTr="0099188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Operate steam propulsion plant and associated systems</w:t>
            </w:r>
          </w:p>
          <w:p w:rsidR="00000000" w:rsidP="00FA694D">
            <w:pPr>
              <w:pStyle w:val="BodyText"/>
              <w:rPr>
                <w:lang w:val="en-NZ"/>
              </w:rPr>
            </w:pPr>
            <w:r w:rsidRPr="00FA694D">
              <w:t>(</w:t>
            </w:r>
            <w:r w:rsidRPr="00FA694D">
              <w:rPr>
                <w:rStyle w:val="SpecialBold"/>
              </w:rPr>
              <w:t>continued</w:t>
            </w:r>
            <w:r w:rsidRPr="00FA694D">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6205"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Malfunctions and deviations from performance norms are identified and appropriate action initiated to report or rectify the problem in accordance with marine engineering practice and vesse</w:t>
            </w:r>
            <w:r w:rsidRPr="00FA694D">
              <w:t>l's procedures</w:t>
            </w:r>
          </w:p>
        </w:tc>
      </w:tr>
      <w:tr w:rsidTr="0099188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h</w:t>
            </w:r>
          </w:p>
        </w:tc>
        <w:tc>
          <w:tcPr>
            <w:tcW w:w="6205"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Records of performance are maintained on running sheets and operations logs in accordance with vessel's procedures</w:t>
            </w:r>
          </w:p>
        </w:tc>
      </w:tr>
      <w:tr w:rsidTr="00991887">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25" w:type="dxa"/>
            <w:gridSpan w:val="2"/>
            <w:tcBorders>
              <w:top w:val="single" w:sz="6" w:space="0" w:color="auto"/>
              <w:left w:val="nil"/>
              <w:bottom w:val="nil"/>
              <w:right w:val="nil"/>
            </w:tcBorders>
            <w:tcMar>
              <w:top w:w="0" w:type="dxa"/>
              <w:left w:w="62" w:type="dxa"/>
              <w:bottom w:w="0" w:type="dxa"/>
              <w:right w:w="62" w:type="dxa"/>
            </w:tcMar>
          </w:tcPr>
          <w:p w:rsidR="00000000" w:rsidP="00FA694D">
            <w:pPr>
              <w:pStyle w:val="BodyText"/>
              <w:rPr>
                <w:lang w:val="en-NZ"/>
              </w:rPr>
            </w:pPr>
          </w:p>
        </w:tc>
      </w:tr>
      <w:tr w:rsidTr="0099188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622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All required watchkeeping procedures, </w:t>
            </w:r>
            <w:r w:rsidRPr="00FA694D">
              <w:t>safety precautions and regulations are followed when operating steam propulsion plant and associated systems</w:t>
            </w:r>
          </w:p>
        </w:tc>
      </w:tr>
      <w:tr w:rsidTr="0099188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622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Operational hazards are identified and action is taken to minimise or eliminate risk to personnel, vessel and the environment</w:t>
            </w:r>
          </w:p>
        </w:tc>
      </w:tr>
      <w:tr w:rsidTr="0099188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622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Safety, hazard minimisation and pollution control procedures and national and international regulations are followed at all times during the operation of steam propulsion plant and associated systems</w:t>
            </w:r>
          </w:p>
        </w:tc>
      </w:tr>
      <w:tr w:rsidTr="0099188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622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Where relevant and in consultation with a senior en</w:t>
            </w:r>
            <w:r w:rsidRPr="00FA694D">
              <w:t>gineer, procedures and precautions necessary for entry into confined spaces on a vessel are correctly followed</w:t>
            </w:r>
          </w:p>
        </w:tc>
      </w:tr>
      <w:tr w:rsidTr="0099188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622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Appropriate action is taken in a failure or emergency involving steam propulsion plant and associated systems to isolate and secure the plan</w:t>
            </w:r>
            <w:r w:rsidRPr="00FA694D">
              <w:t xml:space="preserve">t and equipment and the vessel and maintain the safety of the vessel and persons involved </w:t>
            </w:r>
          </w:p>
        </w:tc>
      </w:tr>
      <w:tr w:rsidTr="0099188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622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Appropriate action is taken to follow safety procedures during vessel manoeuvring</w:t>
            </w:r>
          </w:p>
        </w:tc>
      </w:tr>
      <w:tr w:rsidTr="0099188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6225" w:type="dxa"/>
            <w:gridSpan w:val="2"/>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Shipboard emergency and contingency plans are followed in the event of a failure or emergency associated with steam propulsion plant and associated systems</w:t>
            </w:r>
          </w:p>
        </w:tc>
      </w:tr>
    </w:tbl>
    <w:p w:rsidR="00000000" w:rsidRPr="00FA694D" w:rsidP="00FA694D">
      <w:pPr>
        <w:pStyle w:val="BodyText"/>
      </w:pP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991887" w:rsidP="00FA694D">
      <w:pPr>
        <w:pStyle w:val="BodyText"/>
      </w:pPr>
    </w:p>
    <w:p w:rsidR="00991887" w:rsidP="00FA694D">
      <w:pPr>
        <w:pStyle w:val="BodyText"/>
      </w:pPr>
    </w:p>
    <w:p w:rsidR="00000000" w:rsidRPr="00FA694D" w:rsidP="00FA694D">
      <w:pPr>
        <w:pStyle w:val="Heading1"/>
      </w:pPr>
      <w:bookmarkStart w:id="9" w:name="O_152267"/>
      <w:bookmarkEnd w:id="9"/>
      <w:r w:rsidRPr="00FA694D">
        <w:t>Required Skills and Knowledge</w:t>
      </w:r>
    </w:p>
    <w:tbl>
      <w:tblPr>
        <w:tblW w:w="0" w:type="auto"/>
        <w:tblLayout w:type="fixed"/>
        <w:tblCellMar>
          <w:left w:w="62" w:type="dxa"/>
          <w:right w:w="62" w:type="dxa"/>
        </w:tblCellMar>
        <w:tblLook w:val="0000"/>
      </w:tblPr>
      <w:tblGrid>
        <w:gridCol w:w="423"/>
        <w:gridCol w:w="353"/>
        <w:gridCol w:w="7693"/>
        <w:gridCol w:w="42"/>
      </w:tblGrid>
      <w:tr w:rsidTr="00991887">
        <w:tblPrEx>
          <w:tblW w:w="0" w:type="auto"/>
          <w:tblLayout w:type="fixed"/>
          <w:tblCellMar>
            <w:left w:w="62" w:type="dxa"/>
            <w:right w:w="62" w:type="dxa"/>
          </w:tblCellMar>
          <w:tblLook w:val="0000"/>
        </w:tblPrEx>
        <w:trPr>
          <w:tblHeader/>
        </w:trPr>
        <w:tc>
          <w:tcPr>
            <w:tcW w:w="8511"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SpecialBold"/>
              </w:rPr>
              <w:t>REQUIRED SKILLS AND KNOWLEDGE</w:t>
            </w:r>
          </w:p>
        </w:tc>
      </w:tr>
      <w:tr w:rsidTr="00991887">
        <w:tblPrEx>
          <w:tblW w:w="0" w:type="auto"/>
          <w:tblLayout w:type="fixed"/>
          <w:tblCellMar>
            <w:left w:w="62" w:type="dxa"/>
            <w:right w:w="62" w:type="dxa"/>
          </w:tblCellMar>
          <w:tblLook w:val="0000"/>
        </w:tblPrEx>
        <w:tc>
          <w:tcPr>
            <w:tcW w:w="8511"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SpecialBold"/>
              </w:rPr>
              <w:t>REQUIRED KNOWLEDGE</w:t>
            </w:r>
          </w:p>
        </w:tc>
      </w:tr>
      <w:tr w:rsidTr="00991887">
        <w:tblPrEx>
          <w:tblW w:w="0" w:type="auto"/>
          <w:tblLayout w:type="fixed"/>
          <w:tblCellMar>
            <w:left w:w="62" w:type="dxa"/>
            <w:right w:w="62" w:type="dxa"/>
          </w:tblCellMar>
          <w:tblLook w:val="0000"/>
        </w:tblPrEx>
        <w:tc>
          <w:tcPr>
            <w:tcW w:w="8511"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Emphasis"/>
              </w:rPr>
              <w:t>This describes the knowledge required for this unit</w:t>
            </w:r>
            <w:r w:rsidRPr="00FA694D">
              <w:t>.</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8088"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National and international regulations Conventions and Codes, including AMSA Marine Orders applicable to the operation of steam propulsion plant and associated systems on vessels of unlimited propulsion power</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8088"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Established engineering practice and proced</w:t>
            </w:r>
            <w:r w:rsidRPr="00FA694D">
              <w:t>ures for the operation of shipboard steam propulsion plant and associated systems in warm through, manoeuvring, start up, normal running, emergency and shut down situations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8088"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Operational characteristics and performance specifications for the different ty</w:t>
            </w:r>
            <w:r w:rsidRPr="00FA694D">
              <w:t>pes of steam propulsion plant and associated systems on a steam vessel of unlimited propulsion power</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8088"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Fundamental principles of steam propulsion systems and boilers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8088"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operating cycle of refrigeration and related problems on refrigeration plant performance, including:</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773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principles of refrigeration</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773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refrigeration cycle as a pressure/enthalpy diagram</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773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properties of refrigerants used in refrigeration plants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7735"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refrigeration effect and plant capacity</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8088"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psychrometric chart and the cycle of operation and working principles of air-conditioning plants, including the meaning of psychrometric terms su</w:t>
            </w:r>
            <w:r w:rsidRPr="00FA694D">
              <w:t>ch as relative humidity dry and wet bulb temperatures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804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types, properties, tests, applications and treatment of fuels, lubricants, and solvents/chemicals used on board a steam vessel, including a basic understanding of the working principles, constru</w:t>
            </w:r>
            <w:r w:rsidRPr="00FA694D">
              <w:t>ction, maintenance and safe operation of centrifuges, filters, and other treatment devices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8</w:t>
            </w:r>
          </w:p>
        </w:tc>
        <w:tc>
          <w:tcPr>
            <w:tcW w:w="804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Basic principles of operation of main steam propulsion and auxiliary systems and boilers on a steam vessel, including:</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methods of turbine control, including safety devices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symptoms, causes, effects, and actions to be taken of defects of auxiliary steam turbines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construction and operation of main and auxiliary steam turbines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procedures for emergency operation of a steam turbine</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methods of lubricating the principal components of a marine steam propulsion turbine and its associated gearing, and evaluate common faults, including common lubrication faults, symptoms, causes, an</w:t>
            </w:r>
            <w:r w:rsidRPr="00FA694D">
              <w:t>d actions to be taken with such faults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understanding of how combustion occurs in a boiler, and related safety procedures, including the importance of purging a boiler and other safety precautions taken when firing a boiler</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principles of boiler oper</w:t>
            </w:r>
            <w:r w:rsidRPr="00FA694D">
              <w:t>ation in normal and emergency situations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h</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typical feed systems for marine boilers, including all components normally found in such systems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w:t>
            </w:r>
          </w:p>
        </w:tc>
        <w:tc>
          <w:tcPr>
            <w:tcW w:w="76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typical condensate systems for marine boilers, including all components normally found in such systems</w:t>
            </w:r>
          </w:p>
        </w:tc>
      </w:tr>
      <w:tr w:rsidTr="00991887">
        <w:tblPrEx>
          <w:tblW w:w="0" w:type="auto"/>
          <w:tblLayout w:type="fixed"/>
          <w:tblCellMar>
            <w:left w:w="62" w:type="dxa"/>
            <w:right w:w="62" w:type="dxa"/>
          </w:tblCellMar>
          <w:tblLook w:val="0000"/>
        </w:tblPrEx>
        <w:trPr>
          <w:gridAfter w:val="1"/>
          <w:wAfter w:w="4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j</w:t>
            </w:r>
          </w:p>
        </w:tc>
        <w:tc>
          <w:tcPr>
            <w:tcW w:w="7693"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feedwater testing and treatment methods</w:t>
            </w:r>
          </w:p>
        </w:tc>
      </w:tr>
    </w:tbl>
    <w:p w:rsidR="00000000" w:rsidRPr="00FA694D" w:rsidP="00FA694D">
      <w:pPr>
        <w:pStyle w:val="BodyText"/>
      </w:pP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423"/>
        <w:gridCol w:w="353"/>
        <w:gridCol w:w="360"/>
        <w:gridCol w:w="7193"/>
        <w:gridCol w:w="140"/>
      </w:tblGrid>
      <w:tr w:rsidTr="0099188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k</w:t>
            </w:r>
          </w:p>
        </w:tc>
        <w:tc>
          <w:tcPr>
            <w:tcW w:w="76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 basic understanding of the various fittings mounted on boilers, including:</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w:t>
            </w:r>
          </w:p>
        </w:tc>
        <w:tc>
          <w:tcPr>
            <w:tcW w:w="733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common operating routines of local water level indicators, including methods of blowing a gauge glass, clearing blockages, and overhaul of these devices, including: safety valves, feed check valves, blow down and such valves, etc.</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w:t>
            </w:r>
          </w:p>
        </w:tc>
        <w:tc>
          <w:tcPr>
            <w:tcW w:w="733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effects of</w:t>
            </w:r>
            <w:r w:rsidRPr="00FA694D">
              <w:t xml:space="preserve"> blockages in the water, steam and drain cocks of water level indicators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j</w:t>
            </w:r>
          </w:p>
        </w:tc>
        <w:tc>
          <w:tcPr>
            <w:tcW w:w="76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how a boiler is flashed up from cold and put in line</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k</w:t>
            </w:r>
          </w:p>
        </w:tc>
        <w:tc>
          <w:tcPr>
            <w:tcW w:w="76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purpose of all alarms and shut downs incorporated in a marine boiler on a steam vessel</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w:t>
            </w:r>
          </w:p>
        </w:tc>
        <w:tc>
          <w:tcPr>
            <w:tcW w:w="76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typical configurations of, and operating principles applying to, the various steam distribution systems found on board a steam vessel</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w:t>
            </w:r>
          </w:p>
        </w:tc>
        <w:tc>
          <w:tcPr>
            <w:tcW w:w="76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checks which should be made regularly during routine boiler and steam turbine operation and associated auxiliary</w:t>
            </w:r>
            <w:r w:rsidRPr="00FA694D">
              <w:t xml:space="preserve"> machines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9</w:t>
            </w:r>
          </w:p>
        </w:tc>
        <w:tc>
          <w:tcPr>
            <w:tcW w:w="804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nature and causes of typical malfunctions and/or poor performance steam propulsion plant and associated systems and the available methods for their detection and rectification</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10</w:t>
            </w:r>
          </w:p>
        </w:tc>
        <w:tc>
          <w:tcPr>
            <w:tcW w:w="804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Types</w:t>
            </w:r>
            <w:r w:rsidRPr="00FA694D">
              <w:t xml:space="preserve"> of operational and performance evaluation records that must be maintained on a vessel to meet the requirements of the company, survey requirements and regulatory authorities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11</w:t>
            </w:r>
          </w:p>
        </w:tc>
        <w:tc>
          <w:tcPr>
            <w:tcW w:w="804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Maritime communication techniques needed during the operation of steam pro</w:t>
            </w:r>
            <w:r w:rsidRPr="00FA694D">
              <w:t>pulsion plant and associated systems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12</w:t>
            </w:r>
          </w:p>
        </w:tc>
        <w:tc>
          <w:tcPr>
            <w:tcW w:w="804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Procedures for the reading and interpretation of readings and indications of the performance of steam propulsion plant and associated systems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13</w:t>
            </w:r>
          </w:p>
        </w:tc>
        <w:tc>
          <w:tcPr>
            <w:tcW w:w="804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Typical vessel and machinery specifications, machinery design drawings, operational manuals, specifications and electrical and control circuit diagrams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14</w:t>
            </w:r>
          </w:p>
        </w:tc>
        <w:tc>
          <w:tcPr>
            <w:tcW w:w="804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Purpose and content of material safety data sheets </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15</w:t>
            </w:r>
          </w:p>
        </w:tc>
        <w:tc>
          <w:tcPr>
            <w:tcW w:w="804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Basic principles of auxiliary marine diesel engines to a level suitable for a watchkeeper engineer on a steam vessel, including:</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76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typical starting air and systems of auxiliary diesel engines, including all components normally found therein:</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w:t>
            </w:r>
          </w:p>
        </w:tc>
        <w:tc>
          <w:tcPr>
            <w:tcW w:w="733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st</w:t>
            </w:r>
            <w:r w:rsidRPr="00FA694D">
              <w:t>arting methods of marine diesel engines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w:t>
            </w:r>
          </w:p>
        </w:tc>
        <w:tc>
          <w:tcPr>
            <w:tcW w:w="733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requirements for diesel engines for propulsion, power generation, and emergency use</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iii</w:t>
            </w:r>
          </w:p>
        </w:tc>
        <w:tc>
          <w:tcPr>
            <w:tcW w:w="733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methods of safety arrangements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iv</w:t>
            </w:r>
          </w:p>
        </w:tc>
        <w:tc>
          <w:tcPr>
            <w:tcW w:w="733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common faults and appropriate action to be taken with starting systems</w:t>
            </w:r>
          </w:p>
        </w:tc>
      </w:tr>
      <w:tr w:rsidTr="00991887">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755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typical diesel engine lubrication systems, including:</w:t>
            </w:r>
          </w:p>
        </w:tc>
      </w:tr>
      <w:tr w:rsidTr="00991887">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w:t>
            </w:r>
          </w:p>
        </w:tc>
        <w:tc>
          <w:tcPr>
            <w:tcW w:w="71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all components normally found therein</w:t>
            </w:r>
          </w:p>
        </w:tc>
      </w:tr>
      <w:tr w:rsidTr="00991887">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w:t>
            </w:r>
          </w:p>
        </w:tc>
        <w:tc>
          <w:tcPr>
            <w:tcW w:w="719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normal operational pressures and temperatures which should be expected</w:t>
            </w:r>
          </w:p>
        </w:tc>
      </w:tr>
      <w:tr w:rsidTr="00991887">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iii</w:t>
            </w:r>
          </w:p>
        </w:tc>
        <w:tc>
          <w:tcPr>
            <w:tcW w:w="7193"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methods of lubricating the principal components of a marine diesel engine, with its associated gearing and/or chain drives, including common lubrication faults, symptoms, causes, and actions to be taken with such faults</w:t>
            </w:r>
          </w:p>
        </w:tc>
      </w:tr>
    </w:tbl>
    <w:p w:rsidR="00000000" w:rsidRPr="00FA694D" w:rsidP="00FA694D">
      <w:pPr>
        <w:pStyle w:val="BodyText"/>
      </w:pP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w:t>
            </w:r>
            <w:r w:rsidRPr="00FA694D">
              <w:rPr>
                <w:rStyle w:val="SpecialBold"/>
              </w:rPr>
              <w:t>N PLANT AND ASSOCIATED SYSTEMS ON STEAM VESSELS</w:t>
            </w:r>
          </w:p>
        </w:tc>
      </w:tr>
    </w:tbl>
    <w:p w:rsidR="00000000" w:rsidRPr="00FA694D" w:rsidP="00FA694D">
      <w:pPr>
        <w:pStyle w:val="BodyText"/>
      </w:pPr>
    </w:p>
    <w:tbl>
      <w:tblPr>
        <w:tblW w:w="9270" w:type="dxa"/>
        <w:tblLayout w:type="fixed"/>
        <w:tblCellMar>
          <w:left w:w="62" w:type="dxa"/>
          <w:right w:w="62" w:type="dxa"/>
        </w:tblCellMar>
        <w:tblLook w:val="0000"/>
      </w:tblPr>
      <w:tblGrid>
        <w:gridCol w:w="423"/>
        <w:gridCol w:w="353"/>
        <w:gridCol w:w="7553"/>
        <w:gridCol w:w="9"/>
        <w:gridCol w:w="932"/>
      </w:tblGrid>
      <w:tr w:rsidTr="00991887">
        <w:tblPrEx>
          <w:tblW w:w="9270" w:type="dxa"/>
          <w:tblLayout w:type="fixed"/>
          <w:tblCellMar>
            <w:left w:w="62" w:type="dxa"/>
            <w:right w:w="62" w:type="dxa"/>
          </w:tblCellMar>
          <w:tblLook w:val="0000"/>
        </w:tblPrEx>
        <w:trPr>
          <w:gridAfter w:val="2"/>
          <w:wAfter w:w="941" w:type="dxa"/>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the operating principles and adjustments of diesel engine fuel injection equipment, including common service faults, symptoms, and causes of diesel fuel injection problems, and appropriate actions to be </w:t>
            </w:r>
            <w:r w:rsidRPr="00FA694D">
              <w:t>taken</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means of pressure charging diesel engines, including common service faults and appropriate actions to be taken and emergency operation and isolation procedures</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different methods of cooling marine diesel engines, including common requirements of cooling</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common faults and appropriate action to be taken with cooling of diesel engines</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causes of crankcase and air-line explosions and uptake fires</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16</w:t>
            </w:r>
          </w:p>
        </w:tc>
        <w:tc>
          <w:tcPr>
            <w:tcW w:w="790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Theory and preventative strategies for uptake, starting air-line, superheater, economiser and air heater fires and furnace explosions on a steam vessel, including:</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plans for hazard reduction</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procedures for extinguishing fires</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75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regaining of cont</w:t>
            </w:r>
            <w:r w:rsidRPr="00FA694D">
              <w:t>rol after fires or explosions</w:t>
            </w:r>
          </w:p>
        </w:tc>
      </w:tr>
      <w:tr w:rsidTr="00991887">
        <w:tblPrEx>
          <w:tblW w:w="9270" w:type="dxa"/>
          <w:tblLayout w:type="fixed"/>
          <w:tblCellMar>
            <w:left w:w="62" w:type="dxa"/>
            <w:right w:w="62" w:type="dxa"/>
          </w:tblCellMar>
          <w:tblLook w:val="0000"/>
        </w:tblPrEx>
        <w:trPr>
          <w:gridAfter w:val="2"/>
          <w:wAfter w:w="941"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17</w:t>
            </w:r>
          </w:p>
        </w:tc>
        <w:tc>
          <w:tcPr>
            <w:tcW w:w="790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Relevant safety, environmental and hazard control legislation, precautions and procedures relevant to the operation of steam propulsion plant and associated systems</w:t>
            </w:r>
          </w:p>
        </w:tc>
      </w:tr>
      <w:tr w:rsidTr="00991887">
        <w:tblPrEx>
          <w:tblW w:w="9270" w:type="dxa"/>
          <w:tblLayout w:type="fixed"/>
          <w:tblCellMar>
            <w:left w:w="62" w:type="dxa"/>
            <w:right w:w="62" w:type="dxa"/>
          </w:tblCellMar>
          <w:tblLook w:val="0000"/>
        </w:tblPrEx>
        <w:trPr>
          <w:gridAfter w:val="1"/>
          <w:wAfter w:w="932"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18</w:t>
            </w:r>
          </w:p>
        </w:tc>
        <w:tc>
          <w:tcPr>
            <w:tcW w:w="7915"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Typical operating precautions for steam propulsion plant and associated systems to ensure operational performance is in compliance with the bridge orders, technical specifications, survey requirements and established safety and anti-pollution rules and reg</w:t>
            </w:r>
            <w:r w:rsidRPr="00FA694D">
              <w:t>ulations.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19</w:t>
            </w:r>
          </w:p>
        </w:tc>
        <w:tc>
          <w:tcPr>
            <w:tcW w:w="8847"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Hazards and problems that can occur during the operation of steam propulsion plant and associated systems and appropriate preventative and remedial action and solutions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20</w:t>
            </w:r>
          </w:p>
        </w:tc>
        <w:tc>
          <w:tcPr>
            <w:tcW w:w="8847"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Basic thermodynamics as it relates to the responsibilities of an officer on the engineering watch, including:</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basic thermodynamic properties of common working fluids.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methods of heat transfer and related problems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principles of heat transfer by conduction, convection and radiation and their application to marine systems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elementary principles of steam plants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saturated dry and wet steam, dryness fraction, superheated steam, enthalpy, steam tables, evaporation</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basic steam plant cycles and the function of each component</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combustion process and the calorific value of fuels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h</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air/fuel ratio and the significance of excess air on combustion</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the operating cycle of single stage reciprocating air-conditioners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j</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meaning of gauge and absolute pressure</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k</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temperature and temperature scales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w:t>
            </w:r>
          </w:p>
        </w:tc>
        <w:tc>
          <w:tcPr>
            <w:tcW w:w="8494"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SI units and common thermodynamic terms and principles.</w:t>
            </w:r>
          </w:p>
        </w:tc>
      </w:tr>
      <w:tr w:rsidTr="00991887">
        <w:tblPrEx>
          <w:tblW w:w="9270" w:type="dxa"/>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21</w:t>
            </w:r>
          </w:p>
        </w:tc>
        <w:tc>
          <w:tcPr>
            <w:tcW w:w="8847" w:type="dxa"/>
            <w:gridSpan w:val="4"/>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Compression and expansion of gases, includi</w:t>
            </w:r>
            <w:r w:rsidRPr="00FA694D">
              <w:t>ng gas laws, Boyle's Law, Charles Law, characteristic gas equation, gas constant, isothermal, adiabatic and polytropic processes, and specific heat capacity</w:t>
            </w:r>
          </w:p>
        </w:tc>
      </w:tr>
    </w:tbl>
    <w:p w:rsidR="00000000" w:rsidRPr="00FA694D" w:rsidP="00FA694D">
      <w:pPr>
        <w:pStyle w:val="BodyText"/>
      </w:pP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423"/>
        <w:gridCol w:w="353"/>
        <w:gridCol w:w="7740"/>
      </w:tblGrid>
      <w:tr w:rsidTr="0099188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22</w:t>
            </w:r>
          </w:p>
        </w:tc>
        <w:tc>
          <w:tcPr>
            <w:tcW w:w="809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Basic principles of mechanics as they relate to machine operation, including:</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statics, force as a vector, triangle and polygon of forces, the principle of moments, application to simply supported beams and cranked levers, </w:t>
            </w:r>
            <w:r w:rsidRPr="00FA694D">
              <w:t>moments of force, couples, centroids and centres of gravity limited to geometrical shapes, resultant and equilibrant of a system of concurrent coplanar forces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laws of friction for dry surfaces, coefficient of friction (horizontal plane only), lubricati</w:t>
            </w:r>
            <w:r w:rsidRPr="00FA694D">
              <w:t>on of bearings and plain surfaces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linear displacement, time speed, velocity and acceleration. angular motion</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problems with constant force or force with linear variation, torque, work, energy, power, conservation of energy, potential and kinematic e</w:t>
            </w:r>
            <w:r w:rsidRPr="00FA694D">
              <w:t>nergy, Newton's laws of motion, momentum, rate of change of momentum, centrifugal force</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simple lifting machines, graphs of load-effort and load-efficiency, linear law, velocity ratio, mechanical advantage and efficiency of the following machines: wheel</w:t>
            </w:r>
            <w:r w:rsidRPr="00FA694D">
              <w:t xml:space="preserve"> and axle, differential pulley blocks, screw jack, Warwick screw, hydraulic jack, worm driven chain blocks and single and double purchase crab winches, reduction gearing</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direct stress and strain, Hooke's law, modulus of elasticity, elastic limit, ultim</w:t>
            </w:r>
            <w:r w:rsidRPr="00FA694D">
              <w:t>ate tensile strength, yield stress, limit of proportionality, safety factor, shear stress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circumferential and longitudinal stress in thin cylindrical and spherical shells subject to internal pressure</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23</w:t>
            </w:r>
          </w:p>
        </w:tc>
        <w:tc>
          <w:tcPr>
            <w:tcW w:w="809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Basic principles of naval architecture, including:</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elementary principles of transverse stability</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shift of centre of gravity due to addition, removal, or transfer of masses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qualitative treatment of free surface effect, water accumulation and their effect on stability</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structural strength</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variation of fluid pressure with depth</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loading due to head of liquid</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774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types of vessels and vessel construction, common terms u</w:t>
            </w:r>
            <w:r w:rsidRPr="00FA694D">
              <w:t>sed in the measurement of steel vessels and definitions of shipbuilding terms in general use</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h</w:t>
            </w:r>
          </w:p>
        </w:tc>
        <w:tc>
          <w:tcPr>
            <w:tcW w:w="7740"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precautions necessary before entering empty oil fuel or ballast tanks</w:t>
            </w:r>
          </w:p>
        </w:tc>
      </w:tr>
    </w:tbl>
    <w:p w:rsidR="00000000" w:rsidRPr="00FA694D" w:rsidP="00FA694D">
      <w:pPr>
        <w:pStyle w:val="BodyText"/>
      </w:pP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423"/>
        <w:gridCol w:w="8032"/>
        <w:gridCol w:w="15"/>
        <w:gridCol w:w="46"/>
        <w:gridCol w:w="141"/>
      </w:tblGrid>
      <w:tr w:rsidTr="00991887">
        <w:tblPrEx>
          <w:tblW w:w="0" w:type="auto"/>
          <w:tblLayout w:type="fixed"/>
          <w:tblCellMar>
            <w:left w:w="62" w:type="dxa"/>
            <w:right w:w="62" w:type="dxa"/>
          </w:tblCellMar>
          <w:tblLook w:val="0000"/>
        </w:tblPrEx>
        <w:trPr>
          <w:gridAfter w:val="1"/>
          <w:wAfter w:w="141" w:type="dxa"/>
          <w:tblHeader/>
        </w:trPr>
        <w:tc>
          <w:tcPr>
            <w:tcW w:w="851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SpecialBold"/>
              </w:rPr>
              <w:t>REQUIRED SKILLS</w:t>
            </w:r>
          </w:p>
        </w:tc>
      </w:tr>
      <w:tr w:rsidTr="00991887">
        <w:tblPrEx>
          <w:tblW w:w="0" w:type="auto"/>
          <w:tblLayout w:type="fixed"/>
          <w:tblCellMar>
            <w:left w:w="62" w:type="dxa"/>
            <w:right w:w="62" w:type="dxa"/>
          </w:tblCellMar>
          <w:tblLook w:val="0000"/>
        </w:tblPrEx>
        <w:trPr>
          <w:gridAfter w:val="1"/>
          <w:wAfter w:w="141" w:type="dxa"/>
        </w:trPr>
        <w:tc>
          <w:tcPr>
            <w:tcW w:w="851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This describes the basic skills required for this unit.</w:t>
            </w:r>
          </w:p>
        </w:tc>
      </w:tr>
      <w:tr w:rsidTr="00991887">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80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Communicate effectively with other personnel when operating steam propulsion plant and associated systems on a steam vessel</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8234"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Communicate with multilingual crew where applicable using established techniques</w:t>
            </w:r>
          </w:p>
        </w:tc>
      </w:tr>
      <w:tr w:rsidTr="00991887">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80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Interpret and follow procedures for the operation of steam propulsion plant and associated systems on a steam vessel</w:t>
            </w:r>
          </w:p>
        </w:tc>
      </w:tr>
      <w:tr w:rsidTr="00991887">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8093"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Read and interpret equipment performance readings and instrumentation</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8234"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Interpret and follow all safety management procedures and precautions when operating steam propulsion plant and associated systems on a steam vessel</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8234"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Read and interpret material s</w:t>
            </w:r>
            <w:r w:rsidRPr="00FA694D">
              <w:t>afety data sheets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8234"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Read and interpret vessel and machinery specifications, machinery design drawings, machine drawings, operational manuals, specifications and electrical and control circuit diagrams</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8</w:t>
            </w:r>
          </w:p>
        </w:tc>
        <w:tc>
          <w:tcPr>
            <w:tcW w:w="8234"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Work collaboratively with other shipboard personnel when operating steam propulsion plant and systems </w:t>
            </w:r>
          </w:p>
        </w:tc>
      </w:tr>
      <w:tr w:rsidTr="0099188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9</w:t>
            </w:r>
          </w:p>
        </w:tc>
        <w:tc>
          <w:tcPr>
            <w:tcW w:w="8234"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Identify problems that can occur during the operation of steam propulsion plant and associated systems on a steam vessel</w:t>
            </w:r>
          </w:p>
        </w:tc>
      </w:tr>
      <w:tr w:rsidTr="00991887">
        <w:tblPrEx>
          <w:tblW w:w="0" w:type="auto"/>
          <w:tblLayout w:type="fixed"/>
          <w:tblCellMar>
            <w:left w:w="62" w:type="dxa"/>
            <w:right w:w="62" w:type="dxa"/>
          </w:tblCellMar>
          <w:tblLook w:val="0000"/>
        </w:tblPrEx>
        <w:trPr>
          <w:gridAfter w:val="2"/>
          <w:wAfter w:w="187"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10</w:t>
            </w:r>
          </w:p>
        </w:tc>
        <w:tc>
          <w:tcPr>
            <w:tcW w:w="8047"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Carry out calculations </w:t>
            </w:r>
            <w:r w:rsidRPr="00FA694D">
              <w:t>required when operating steam propulsion plant and associated systems on a steam vessel</w:t>
            </w:r>
          </w:p>
        </w:tc>
      </w:tr>
      <w:tr w:rsidTr="00991887">
        <w:tblPrEx>
          <w:tblW w:w="0" w:type="auto"/>
          <w:tblLayout w:type="fixed"/>
          <w:tblCellMar>
            <w:left w:w="62" w:type="dxa"/>
            <w:right w:w="62" w:type="dxa"/>
          </w:tblCellMar>
          <w:tblLook w:val="0000"/>
        </w:tblPrEx>
        <w:trPr>
          <w:gridAfter w:val="2"/>
          <w:wAfter w:w="187"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11</w:t>
            </w:r>
          </w:p>
        </w:tc>
        <w:tc>
          <w:tcPr>
            <w:tcW w:w="8047"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Adapt to differing types of steam propulsion plant and associated systems from one vessel to another and when equipment and systems are changed</w:t>
            </w:r>
          </w:p>
        </w:tc>
      </w:tr>
      <w:tr w:rsidTr="00991887">
        <w:tblPrEx>
          <w:tblW w:w="0" w:type="auto"/>
          <w:tblLayout w:type="fixed"/>
          <w:tblCellMar>
            <w:left w:w="62" w:type="dxa"/>
            <w:right w:w="62" w:type="dxa"/>
          </w:tblCellMar>
          <w:tblLook w:val="0000"/>
        </w:tblPrEx>
        <w:trPr>
          <w:gridAfter w:val="2"/>
          <w:wAfter w:w="187"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12</w:t>
            </w:r>
          </w:p>
        </w:tc>
        <w:tc>
          <w:tcPr>
            <w:tcW w:w="8047"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Take appropriate precautions to prevent pollution of the marine environment</w:t>
            </w:r>
          </w:p>
        </w:tc>
      </w:tr>
      <w:tr w:rsidTr="00991887">
        <w:tblPrEx>
          <w:tblW w:w="0" w:type="auto"/>
          <w:tblLayout w:type="fixed"/>
          <w:tblCellMar>
            <w:left w:w="62" w:type="dxa"/>
            <w:right w:w="62" w:type="dxa"/>
          </w:tblCellMar>
          <w:tblLook w:val="0000"/>
        </w:tblPrEx>
        <w:trPr>
          <w:gridAfter w:val="3"/>
          <w:wAfter w:w="202" w:type="dxa"/>
        </w:trPr>
        <w:tc>
          <w:tcPr>
            <w:tcW w:w="423"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13</w:t>
            </w:r>
          </w:p>
        </w:tc>
        <w:tc>
          <w:tcPr>
            <w:tcW w:w="8032"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Select and use tools and equipment required for the operation of steam propulsion plant and associated systems on a steam vessel</w:t>
            </w:r>
          </w:p>
        </w:tc>
      </w:tr>
    </w:tbl>
    <w:p w:rsidR="00991887" w:rsidP="00FA694D">
      <w:pPr>
        <w:pStyle w:val="BodyText"/>
      </w:pPr>
    </w:p>
    <w:p w:rsidR="00991887" w:rsidP="00FA694D">
      <w:pPr>
        <w:pStyle w:val="BodyText"/>
      </w:pPr>
    </w:p>
    <w:p w:rsidR="00000000" w:rsidRPr="00FA694D" w:rsidP="00FA694D">
      <w:pPr>
        <w:pStyle w:val="Heading1"/>
      </w:pPr>
      <w:bookmarkStart w:id="10" w:name="O_152268"/>
      <w:bookmarkEnd w:id="10"/>
      <w:r w:rsidRPr="00FA694D">
        <w:t>Evidence Guide</w:t>
      </w:r>
    </w:p>
    <w:p w:rsidR="00000000" w:rsidRPr="00FA694D" w:rsidP="00FA694D">
      <w:pPr>
        <w:pStyle w:val="BodyText"/>
      </w:pPr>
      <w:r w:rsidRPr="00FA694D">
        <w:rPr>
          <w:rStyle w:val="SpecialBold"/>
        </w:rPr>
        <w:t>Evidence G</w:t>
      </w:r>
      <w:r w:rsidRPr="00FA694D">
        <w:rPr>
          <w:rStyle w:val="SpecialBold"/>
        </w:rPr>
        <w:t>uide</w:t>
      </w: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303"/>
        <w:gridCol w:w="1790"/>
        <w:gridCol w:w="361"/>
        <w:gridCol w:w="358"/>
        <w:gridCol w:w="5666"/>
        <w:gridCol w:w="15"/>
      </w:tblGrid>
      <w:tr w:rsidTr="00991887">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Emphasis"/>
              </w:rPr>
              <w:t>The Evidence Guide provides advice on assessment and must be read in conjunction with the Performance Criteria</w:t>
            </w:r>
            <w:r w:rsidRPr="00FA694D">
              <w:t xml:space="preserve">, </w:t>
            </w:r>
            <w:r w:rsidRPr="00FA694D">
              <w:rPr>
                <w:rStyle w:val="Emphasis"/>
              </w:rPr>
              <w:t>Required Skills and Knowledge</w:t>
            </w:r>
            <w:r w:rsidRPr="00FA694D">
              <w:t xml:space="preserve">, </w:t>
            </w:r>
            <w:r w:rsidRPr="00FA694D">
              <w:rPr>
                <w:rStyle w:val="Emphasis"/>
              </w:rPr>
              <w:t>the Range Statement and the Assessment Guidelines for this Training Package</w:t>
            </w:r>
            <w:r w:rsidRPr="00FA694D">
              <w:t>.</w:t>
            </w:r>
          </w:p>
        </w:tc>
      </w:tr>
      <w:tr w:rsidTr="00991887">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1</w:t>
            </w:r>
          </w:p>
        </w:tc>
        <w:tc>
          <w:tcPr>
            <w:tcW w:w="179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Critical aspects of evidence required to demonstrate competency in this unit</w:t>
            </w:r>
          </w:p>
        </w:tc>
        <w:tc>
          <w:tcPr>
            <w:tcW w:w="6385"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Assessment must confirm appropriate knowledge and skills to:</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6024"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Ensure a safe engineering watch during the operation of steam propulsion plant and associated systems on a steam vessel</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6024"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Operate shipboard steam propulsion plant and associated systems within the required specifications </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6024"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Identify malfunctioning steam propulsion plant and associated systems and, in consultation with a senior engineer, initiate appropriate action for repair or replacement</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6024"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Exercise all</w:t>
            </w:r>
            <w:r w:rsidRPr="00FA694D">
              <w:t xml:space="preserve"> required safety, environmental and hazard control precautions and procedures when overseeing the operation of steam propulsion plant and associated systems on a steam vessel</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6024"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Identify typical operational problems and hazards when operating steam prop</w:t>
            </w:r>
            <w:r w:rsidRPr="00FA694D">
              <w:t>ulsion plant and associated systems and take appropriate action</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6024"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Communicate effectively with others during operation of main and auxiliary machinery </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g</w:t>
            </w:r>
          </w:p>
        </w:tc>
        <w:tc>
          <w:tcPr>
            <w:tcW w:w="6024"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Ensure adherence to applicable maritime regulations</w:t>
            </w:r>
          </w:p>
        </w:tc>
      </w:tr>
      <w:tr w:rsidTr="00991887">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2</w:t>
            </w:r>
          </w:p>
        </w:tc>
        <w:tc>
          <w:tcPr>
            <w:tcW w:w="1790"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6039"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Performance is demonstrated consistently over a period of time and in a suitable range of contexts</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6039"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Consistently applies underpinning knowledge and skills when:</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5681"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maintaining a safe engineering watch or in UMS mode involving the operation of steam propulsion plant and associated systems on a steam vessel</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5681"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assessing operational performance of main and auxiliary machinery and associated system on a steam vessel</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5681"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assisting in the identification of operational problems with main and auxiliary machinery and associated system and taking remedial action</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5681"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taking action, in consultation with a senior engineer, to minimise any damage and safety risk that could</w:t>
            </w:r>
            <w:r w:rsidRPr="00FA694D">
              <w:t xml:space="preserve"> be caused by malfunctions in main steam propulsion plant and associated system on a steam vessel</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5681"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identifying and implementing improvements to procedures for the operation of steam propulsion plant and associated systems</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5681"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applying safety precaut</w:t>
            </w:r>
            <w:r w:rsidRPr="00FA694D">
              <w:t>ions relevant to the operation of steam propulsion plant and associated systems</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5681" w:type="dxa"/>
            <w:gridSpan w:val="2"/>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 xml:space="preserve">completing operations documentation and records </w:t>
            </w:r>
          </w:p>
        </w:tc>
      </w:tr>
    </w:tbl>
    <w:p w:rsidR="00000000" w:rsidRPr="00FA694D" w:rsidP="00FA694D">
      <w:pPr>
        <w:pStyle w:val="BodyText"/>
      </w:pPr>
    </w:p>
    <w:p w:rsidR="00000000" w:rsidRPr="00FA694D" w:rsidP="00FA694D">
      <w:pPr>
        <w:pStyle w:val="BodyText"/>
      </w:pPr>
      <w:r w:rsidRPr="00FA694D">
        <w:rPr>
          <w:rStyle w:val="SpecialBold"/>
        </w:rPr>
        <w:t>Evidence Guide</w:t>
      </w:r>
      <w:r w:rsidRPr="00FA694D">
        <w:t xml:space="preserve"> (</w:t>
      </w:r>
      <w:r w:rsidRPr="00FA694D">
        <w:rPr>
          <w:rStyle w:val="SpecialBold"/>
        </w:rPr>
        <w:t>continued</w:t>
      </w:r>
      <w:r w:rsidRPr="00FA694D">
        <w:t xml:space="preserve">) </w:t>
      </w: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303"/>
        <w:gridCol w:w="1789"/>
        <w:gridCol w:w="361"/>
        <w:gridCol w:w="358"/>
        <w:gridCol w:w="357"/>
        <w:gridCol w:w="5310"/>
        <w:gridCol w:w="15"/>
      </w:tblGrid>
      <w:tr w:rsidTr="00991887">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Evidence required for demonstration of consistent performance</w:t>
            </w:r>
          </w:p>
          <w:p w:rsidR="00000000" w:rsidP="00FA694D">
            <w:pPr>
              <w:pStyle w:val="BodyText"/>
              <w:rPr>
                <w:lang w:val="en-NZ"/>
              </w:rPr>
            </w:pPr>
            <w:r w:rsidRPr="00FA694D">
              <w:t>(</w:t>
            </w:r>
            <w:r w:rsidRPr="00FA694D">
              <w:rPr>
                <w:rStyle w:val="SpecialBold"/>
              </w:rPr>
              <w:t>continued</w:t>
            </w:r>
            <w:r w:rsidRPr="00FA694D">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c</w:t>
            </w:r>
          </w:p>
        </w:tc>
        <w:tc>
          <w:tcPr>
            <w:tcW w:w="6040"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Shows evidence of application of relevant workplace procedures, including:</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5682"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relevant sections of applicable maritime regulations</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5682"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OH&amp;S regulations and hazard prevention policies and procedures </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5682"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ISM Code safety management system procedures, quality procedures and work instructions on the operation of steam propulsion plant and associated systems </w:t>
            </w:r>
          </w:p>
        </w:tc>
      </w:tr>
      <w:tr w:rsidTr="0099188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5682"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following on-board housekeeping processes</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d</w:t>
            </w:r>
          </w:p>
        </w:tc>
        <w:tc>
          <w:tcPr>
            <w:tcW w:w="6025"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Action is taken promptly to report and assist in the rectification of malfunctions in steam propulsion plant and associated systems, non-conformities, accidents, hazardous occurrences and safety incidents in </w:t>
            </w:r>
            <w:r w:rsidRPr="00FA694D">
              <w:t>accordance with statutory requirements, company procedures and the ISM Code</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e</w:t>
            </w:r>
          </w:p>
        </w:tc>
        <w:tc>
          <w:tcPr>
            <w:tcW w:w="6025"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Work is managed, controlled and completed systematically with required attention to detail</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f</w:t>
            </w:r>
          </w:p>
        </w:tc>
        <w:tc>
          <w:tcPr>
            <w:tcW w:w="6025"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Recognises and adapts appropriately to cultural differences in the workplace, including modes of behaviour and interactions between crew and others</w:t>
            </w:r>
          </w:p>
        </w:tc>
      </w:tr>
      <w:tr w:rsidTr="00991887">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6025"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Assessment of competency must comply with the assessment requirements of the relevant maritime regulations</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6025"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Assessment of this unit must be undertaken within relevant marine author</w:t>
            </w:r>
            <w:r w:rsidRPr="00FA694D">
              <w:t>ity approved and audited arrangements by a registered training organisation:</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5667"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As a minimum, assessment of knowledge must be conducted through appropriate written/oral examinations, and</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5667"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Appropriate practical assessment must occur:</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w:t>
            </w:r>
          </w:p>
        </w:tc>
        <w:tc>
          <w:tcPr>
            <w:tcW w:w="531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at the registered training organisation; and/or </w:t>
            </w:r>
          </w:p>
        </w:tc>
      </w:tr>
      <w:tr w:rsidTr="0099188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w:t>
            </w:r>
          </w:p>
        </w:tc>
        <w:tc>
          <w:tcPr>
            <w:tcW w:w="5310"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on an appropriate working or training vessel</w:t>
            </w:r>
          </w:p>
        </w:tc>
      </w:tr>
      <w:tr w:rsidTr="00991887">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15" w:type="dxa"/>
        </w:trPr>
        <w:tc>
          <w:tcPr>
            <w:tcW w:w="2092" w:type="dxa"/>
            <w:gridSpan w:val="2"/>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4Specific resources 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Access is required to opportunities to:</w:t>
            </w:r>
          </w:p>
        </w:tc>
      </w:tr>
      <w:tr w:rsidTr="00991887">
        <w:tblPrEx>
          <w:tblW w:w="0" w:type="auto"/>
          <w:tblLayout w:type="fixed"/>
          <w:tblCellMar>
            <w:left w:w="62" w:type="dxa"/>
            <w:right w:w="62" w:type="dxa"/>
          </w:tblCellMar>
          <w:tblLook w:val="0000"/>
        </w:tblPrEx>
        <w:trPr>
          <w:gridAfter w:val="1"/>
          <w:wAfter w:w="15"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a</w:t>
            </w:r>
          </w:p>
        </w:tc>
        <w:tc>
          <w:tcPr>
            <w:tcW w:w="6025" w:type="dxa"/>
            <w:gridSpan w:val="3"/>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participate in a range of practical and theoretical assignments, exercises, case studies and other assessments that demonstrate the skills and knowledge to operate steam propulsion plant and associated systems typically found on a steam vessel of unlimited</w:t>
            </w:r>
            <w:r w:rsidRPr="00FA694D">
              <w:t xml:space="preserve"> propulsion power; and/or</w:t>
            </w:r>
          </w:p>
        </w:tc>
      </w:tr>
      <w:tr w:rsidTr="00991887">
        <w:tblPrEx>
          <w:tblW w:w="0" w:type="auto"/>
          <w:tblLayout w:type="fixed"/>
          <w:tblCellMar>
            <w:left w:w="62" w:type="dxa"/>
            <w:right w:w="62" w:type="dxa"/>
          </w:tblCellMar>
          <w:tblLook w:val="0000"/>
        </w:tblPrEx>
        <w:trPr>
          <w:gridAfter w:val="1"/>
          <w:wAfter w:w="15"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b</w:t>
            </w:r>
          </w:p>
        </w:tc>
        <w:tc>
          <w:tcPr>
            <w:tcW w:w="6025" w:type="dxa"/>
            <w:gridSpan w:val="3"/>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operate the steam propulsion plant and associated systems in a range of operational situations while keeping a safe engineering watch on a commercial or training steam vessel of unlimited propulsion power</w:t>
            </w:r>
          </w:p>
        </w:tc>
      </w:tr>
    </w:tbl>
    <w:p w:rsidR="00991887" w:rsidP="00FA694D">
      <w:pPr>
        <w:pStyle w:val="BodyText"/>
      </w:pPr>
    </w:p>
    <w:p w:rsidR="00991887" w:rsidP="00FA694D">
      <w:pPr>
        <w:pStyle w:val="BodyText"/>
      </w:pPr>
    </w:p>
    <w:p w:rsidR="00000000" w:rsidRPr="00FA694D" w:rsidP="00FA694D">
      <w:pPr>
        <w:pStyle w:val="Heading1"/>
      </w:pPr>
      <w:bookmarkStart w:id="11" w:name="O_152269"/>
      <w:bookmarkEnd w:id="11"/>
      <w:r w:rsidRPr="00FA694D">
        <w:t>Range Statement</w:t>
      </w:r>
    </w:p>
    <w:p w:rsidR="00000000" w:rsidRPr="00FA694D" w:rsidP="00FA694D">
      <w:pPr>
        <w:pStyle w:val="BodyText"/>
      </w:pPr>
      <w:r w:rsidRPr="00FA694D">
        <w:rPr>
          <w:rStyle w:val="SpecialBold"/>
        </w:rPr>
        <w:t>Range Statement</w:t>
      </w: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32"/>
      </w:tblGrid>
      <w:tr w:rsidTr="00991887">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Emphasis"/>
              </w:rPr>
              <w:t>The Range Statement relates to the unit of competency as a whole</w:t>
            </w:r>
            <w:r w:rsidRPr="00FA694D">
              <w:t xml:space="preserve">. </w:t>
            </w:r>
            <w:r w:rsidRPr="00FA694D">
              <w:rPr>
                <w:rStyle w:val="Emphasis"/>
              </w:rPr>
              <w:t xml:space="preserve">It allows for different work environments and situations </w:t>
            </w:r>
            <w:r w:rsidRPr="00FA694D">
              <w:rPr>
                <w:rStyle w:val="Emphasis"/>
              </w:rPr>
              <w:t>that may affect performance</w:t>
            </w:r>
            <w:r w:rsidRPr="00FA694D">
              <w:t>.</w:t>
            </w:r>
          </w:p>
        </w:tc>
      </w:tr>
      <w:tr w:rsidTr="00991887">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rPr>
                <w:rStyle w:val="SpecialBold"/>
              </w:rPr>
              <w:t>SCOPE</w:t>
            </w:r>
          </w:p>
        </w:tc>
      </w:tr>
      <w:tr w:rsidTr="00991887">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rPr>
                <w:rStyle w:val="SpecialBold"/>
              </w:rPr>
              <w:t>1</w:t>
            </w:r>
            <w:r w:rsidRPr="00FA694D">
              <w:t>.</w:t>
            </w:r>
            <w:r w:rsidRPr="00FA694D">
              <w:tab/>
            </w:r>
            <w:r w:rsidRPr="00FA694D">
              <w:rPr>
                <w:rStyle w:val="SpecialBold"/>
              </w:rPr>
              <w:t>GENERAL CONTEXT</w:t>
            </w:r>
          </w:p>
        </w:tc>
      </w:tr>
      <w:tr w:rsidTr="00991887">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a</w:t>
            </w:r>
            <w:r w:rsidRPr="00FA694D">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Work must be carried out</w:t>
            </w:r>
            <w:r w:rsidRPr="00FA694D">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1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in compliance with mandatory rules and regulations and IMO Conventions and Codes, including the relevant sections of the AMSA Marine Orders </w:t>
            </w:r>
            <w:r w:rsidRPr="00FA694D">
              <w:t>and ensuring that applicable codes, guidelines and standards recommended by IMO, the classification societies and maritime industry organisations are taken into account</w:t>
            </w:r>
          </w:p>
        </w:tc>
      </w:tr>
      <w:tr w:rsidTr="00991887">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b</w:t>
            </w:r>
            <w:r w:rsidRPr="00FA694D">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Work is performed</w:t>
            </w:r>
            <w:r w:rsidRPr="00FA694D">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1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relatively independe</w:t>
            </w:r>
            <w:r w:rsidRPr="00FA694D">
              <w:t>ntly in consultation with a senior engineer, within broad operational requirements, with limited accountability and responsibility for self and others in achieving the prescribed outcomes</w:t>
            </w:r>
          </w:p>
        </w:tc>
      </w:tr>
      <w:tr w:rsidTr="00991887">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A694D" w:rsidP="00FA694D">
            <w:pPr>
              <w:pStyle w:val="BodyText"/>
            </w:pPr>
            <w:r w:rsidRPr="00FA694D">
              <w:rPr>
                <w:rStyle w:val="SpecialBold"/>
              </w:rPr>
              <w:t>c</w:t>
            </w:r>
            <w:r w:rsidRPr="00FA694D">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Work involves</w:t>
            </w:r>
            <w:r w:rsidRPr="00FA694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t>the application of marine engineering practice to the operation and maintenance of steam propulsion plant and associated systems on a steam vessel across a wide and often unpredictable variety of operational contexts. Monitoring and supervising the impleme</w:t>
            </w:r>
            <w:r w:rsidRPr="00FA694D">
              <w:t>ntation of a broad plan or strategy for the operation of steam propulsion plant and associated systems is required. Defined accountability and responsibility for self and others in achieving the outcomes is involved</w:t>
            </w:r>
          </w:p>
        </w:tc>
      </w:tr>
      <w:tr w:rsidTr="00991887">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d</w:t>
            </w:r>
            <w:r w:rsidRPr="00FA694D">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Work requires</w:t>
            </w:r>
            <w:r w:rsidRPr="00FA694D">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1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some responsibility for overseeing the operation of operation of steam propulsion plant and associated systems on a steam vessel. This includes supervision and control of personnel, hazard minimisation, analysis of performance and operational situations an</w:t>
            </w:r>
            <w:r w:rsidRPr="00FA694D">
              <w:t>d related decision making</w:t>
            </w:r>
          </w:p>
        </w:tc>
      </w:tr>
      <w:tr w:rsidTr="00991887">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rPr>
                <w:rStyle w:val="SpecialBold"/>
              </w:rPr>
              <w:t>2</w:t>
            </w:r>
            <w:r w:rsidRPr="00FA694D">
              <w:t>.</w:t>
            </w:r>
            <w:r w:rsidRPr="00FA694D">
              <w:tab/>
            </w:r>
            <w:r w:rsidRPr="00FA694D">
              <w:rPr>
                <w:rStyle w:val="SpecialBold"/>
              </w:rPr>
              <w:t>WORKSITE ENVIRONMENT</w:t>
            </w:r>
          </w:p>
        </w:tc>
      </w:tr>
      <w:tr w:rsidTr="00991887">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a</w:t>
            </w:r>
          </w:p>
        </w:tc>
        <w:tc>
          <w:tcPr>
            <w:tcW w:w="1743" w:type="dxa"/>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The operation of steam propulsion plant and associated systems may be undertaken</w:t>
            </w:r>
            <w:r w:rsidRPr="00FA694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43" w:type="dxa"/>
            <w:gridSpan w:val="3"/>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on an Australian or international commercial steam vessel of unlimited propulsion power</w:t>
            </w:r>
          </w:p>
        </w:tc>
      </w:tr>
    </w:tbl>
    <w:p w:rsidR="00000000" w:rsidRPr="00FA694D" w:rsidP="00FA694D">
      <w:pPr>
        <w:pStyle w:val="BodyText"/>
      </w:pPr>
    </w:p>
    <w:p w:rsidR="00000000" w:rsidRPr="00FA694D" w:rsidP="00FA694D">
      <w:pPr>
        <w:pStyle w:val="BodyText"/>
      </w:pPr>
      <w:r w:rsidRPr="00FA694D">
        <w:rPr>
          <w:rStyle w:val="SpecialBold"/>
        </w:rPr>
        <w:t>Range Statement</w:t>
      </w:r>
      <w:r w:rsidRPr="00FA694D">
        <w:t xml:space="preserve"> (</w:t>
      </w:r>
      <w:r w:rsidRPr="00FA694D">
        <w:rPr>
          <w:rStyle w:val="SpecialBold"/>
        </w:rPr>
        <w:t>continued</w:t>
      </w:r>
      <w:r w:rsidRPr="00FA694D">
        <w:t xml:space="preserve">) </w:t>
      </w: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346"/>
        <w:gridCol w:w="1743"/>
        <w:gridCol w:w="357"/>
        <w:gridCol w:w="419"/>
        <w:gridCol w:w="5624"/>
        <w:gridCol w:w="32"/>
      </w:tblGrid>
      <w:tr w:rsidTr="00991887">
        <w:tblPrEx>
          <w:tblW w:w="0" w:type="auto"/>
          <w:tblLayout w:type="fixed"/>
          <w:tblCellMar>
            <w:left w:w="62" w:type="dxa"/>
            <w:right w:w="62" w:type="dxa"/>
          </w:tblCellMar>
          <w:tblLook w:val="0000"/>
        </w:tblPrEx>
        <w:trPr>
          <w:tblHeader/>
        </w:trPr>
        <w:tc>
          <w:tcPr>
            <w:tcW w:w="8521" w:type="dxa"/>
            <w:gridSpan w:val="6"/>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Emphasis"/>
              </w:rPr>
              <w:t>The Range Statement relates to the unit of competency as a whole</w:t>
            </w:r>
            <w:r w:rsidRPr="00FA694D">
              <w:t xml:space="preserve">. </w:t>
            </w:r>
            <w:r w:rsidRPr="00FA694D">
              <w:rPr>
                <w:rStyle w:val="Emphasis"/>
              </w:rPr>
              <w:t>It allows for different work environments and situations that may affect performance</w:t>
            </w:r>
            <w:r w:rsidRPr="00FA694D">
              <w:t>.</w:t>
            </w:r>
          </w:p>
        </w:tc>
      </w:tr>
      <w:tr w:rsidTr="00991887">
        <w:tblPrEx>
          <w:tblW w:w="0" w:type="auto"/>
          <w:tblLayout w:type="fixed"/>
          <w:tblCellMar>
            <w:left w:w="62" w:type="dxa"/>
            <w:right w:w="62" w:type="dxa"/>
          </w:tblCellMar>
          <w:tblLook w:val="0000"/>
        </w:tblPrEx>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VARIABLE</w:t>
            </w:r>
          </w:p>
        </w:tc>
        <w:tc>
          <w:tcPr>
            <w:tcW w:w="6432" w:type="dxa"/>
            <w:gridSpan w:val="4"/>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rPr>
                <w:rStyle w:val="SpecialBold"/>
              </w:rPr>
              <w:t>SCOPE</w:t>
            </w:r>
          </w:p>
        </w:tc>
      </w:tr>
      <w:tr w:rsidTr="00991887">
        <w:tblPrEx>
          <w:tblW w:w="0" w:type="auto"/>
          <w:tblLayout w:type="fixed"/>
          <w:tblCellMar>
            <w:left w:w="62" w:type="dxa"/>
            <w:right w:w="62" w:type="dxa"/>
          </w:tblCellMar>
          <w:tblLook w:val="0000"/>
        </w:tblPrEx>
        <w:trPr>
          <w:gridAfter w:val="1"/>
          <w:wAfter w:w="32"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A694D" w:rsidP="00FA694D">
            <w:pPr>
              <w:pStyle w:val="BodyText"/>
            </w:pPr>
            <w:r w:rsidRPr="00FA694D">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Safe watchkeeping procedures and the operation of steam propulsion plant and associated systems on a steam vessel may be carried out</w:t>
            </w:r>
            <w:r w:rsidRPr="00FA694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by day or night in both normal and emergency situations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under any permissible conditions of weather </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while underway</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during berthing and unberthing operations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while anchored or moored</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while in dry dock</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when bunkering</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t>8</w:t>
            </w:r>
          </w:p>
        </w:tc>
        <w:tc>
          <w:tcPr>
            <w:tcW w:w="6043" w:type="dxa"/>
            <w:gridSpan w:val="2"/>
            <w:tcBorders>
              <w:top w:val="nil"/>
              <w:left w:val="nil"/>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t>while alongside the wharf and during cargo operations</w:t>
            </w:r>
          </w:p>
        </w:tc>
      </w:tr>
      <w:tr w:rsidTr="00991887">
        <w:tblPrEx>
          <w:tblW w:w="0" w:type="auto"/>
          <w:tblLayout w:type="fixed"/>
          <w:tblCellMar>
            <w:left w:w="62" w:type="dxa"/>
            <w:right w:w="62" w:type="dxa"/>
          </w:tblCellMar>
          <w:tblLook w:val="0000"/>
        </w:tblPrEx>
        <w:trPr>
          <w:gridAfter w:val="1"/>
          <w:wAfter w:w="32"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A694D" w:rsidP="00FA694D">
            <w:pPr>
              <w:pStyle w:val="BodyText"/>
            </w:pPr>
            <w:r w:rsidRPr="00FA694D">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Propulsion plant configurations may include</w:t>
            </w:r>
            <w:r w:rsidRPr="00FA694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high pressure marine boilers and steam turbine plant and associated systems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stern tube bearing</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CPP</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direct drive shaft</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reduction gears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thrust blocks and shaft bearings</w:t>
            </w:r>
          </w:p>
        </w:tc>
      </w:tr>
      <w:tr w:rsidTr="00991887">
        <w:tblPrEx>
          <w:tblW w:w="0" w:type="auto"/>
          <w:tblLayout w:type="fixed"/>
          <w:tblCellMar>
            <w:left w:w="62" w:type="dxa"/>
            <w:right w:w="62" w:type="dxa"/>
          </w:tblCellMar>
          <w:tblLook w:val="0000"/>
        </w:tblPrEx>
        <w:trPr>
          <w:gridAfter w:val="1"/>
          <w:wAfter w:w="32"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 xml:space="preserve">Steam propulsion </w:t>
            </w:r>
            <w:r w:rsidRPr="00FA694D">
              <w:rPr>
                <w:rStyle w:val="SpecialBold"/>
              </w:rPr>
              <w:t>plant and associated systems may include</w:t>
            </w:r>
            <w:r w:rsidRPr="00FA694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steam turbine propulsion and associated systems and controls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steam boilers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steering gear, stabilisers, bow thrusters, rudders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fluid power systems and controls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pumps and pumping systems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6043"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auxiliary systems and controls, including</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w:t>
            </w:r>
          </w:p>
        </w:tc>
        <w:tc>
          <w:tcPr>
            <w:tcW w:w="562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fresh and salt water cooling systems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w:t>
            </w:r>
          </w:p>
        </w:tc>
        <w:tc>
          <w:tcPr>
            <w:tcW w:w="562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lubricating oil cooling systems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iii</w:t>
            </w:r>
          </w:p>
        </w:tc>
        <w:tc>
          <w:tcPr>
            <w:tcW w:w="562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fuel, oil, gas, coal systems and centrifuges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iv</w:t>
            </w:r>
          </w:p>
        </w:tc>
        <w:tc>
          <w:tcPr>
            <w:tcW w:w="562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air compressor and air starting systems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v</w:t>
            </w:r>
          </w:p>
        </w:tc>
        <w:tc>
          <w:tcPr>
            <w:tcW w:w="562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lubrication</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vi</w:t>
            </w:r>
          </w:p>
        </w:tc>
        <w:tc>
          <w:tcPr>
            <w:tcW w:w="5624"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on-board air compressors and compressed air and control air systems</w:t>
            </w:r>
          </w:p>
        </w:tc>
      </w:tr>
      <w:tr w:rsidTr="00991887">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vii</w:t>
            </w:r>
          </w:p>
        </w:tc>
        <w:tc>
          <w:tcPr>
            <w:tcW w:w="5624"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 xml:space="preserve">waste management and pollution control systems </w:t>
            </w:r>
          </w:p>
        </w:tc>
      </w:tr>
    </w:tbl>
    <w:p w:rsidR="00000000" w:rsidRPr="00FA694D" w:rsidP="00FA694D">
      <w:pPr>
        <w:pStyle w:val="BodyText"/>
      </w:pPr>
    </w:p>
    <w:p w:rsidR="00000000" w:rsidRPr="00FA694D" w:rsidP="00FA694D">
      <w:pPr>
        <w:pStyle w:val="BodyText"/>
      </w:pPr>
      <w:r w:rsidRPr="00FA694D">
        <w:rPr>
          <w:rStyle w:val="SpecialBold"/>
        </w:rPr>
        <w:t>Range Statement</w:t>
      </w:r>
      <w:r w:rsidRPr="00FA694D">
        <w:t xml:space="preserve"> (</w:t>
      </w:r>
      <w:r w:rsidRPr="00FA694D">
        <w:rPr>
          <w:rStyle w:val="SpecialBold"/>
        </w:rPr>
        <w:t>continued</w:t>
      </w:r>
      <w:r w:rsidRPr="00FA694D">
        <w:t xml:space="preserve">) </w:t>
      </w: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CONTROL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346"/>
        <w:gridCol w:w="1744"/>
        <w:gridCol w:w="357"/>
        <w:gridCol w:w="54"/>
        <w:gridCol w:w="28"/>
        <w:gridCol w:w="337"/>
        <w:gridCol w:w="5620"/>
        <w:gridCol w:w="32"/>
        <w:gridCol w:w="17"/>
        <w:gridCol w:w="14"/>
      </w:tblGrid>
      <w:tr w:rsidTr="00991887">
        <w:tblPrEx>
          <w:tblW w:w="0" w:type="auto"/>
          <w:tblLayout w:type="fixed"/>
          <w:tblCellMar>
            <w:left w:w="62" w:type="dxa"/>
            <w:right w:w="62" w:type="dxa"/>
          </w:tblCellMar>
          <w:tblLook w:val="0000"/>
        </w:tblPrEx>
        <w:trPr>
          <w:gridAfter w:val="2"/>
          <w:wAfter w:w="31" w:type="dxa"/>
          <w:tblHeader/>
        </w:trPr>
        <w:tc>
          <w:tcPr>
            <w:tcW w:w="8518" w:type="dxa"/>
            <w:gridSpan w:val="8"/>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Emphasis"/>
              </w:rPr>
              <w:t>The Range Statement relates to the unit of competency as a whole</w:t>
            </w:r>
            <w:r w:rsidRPr="00FA694D">
              <w:t xml:space="preserve">. </w:t>
            </w:r>
            <w:r w:rsidRPr="00FA694D">
              <w:rPr>
                <w:rStyle w:val="Emphasis"/>
              </w:rPr>
              <w:t>It allows for different work environments and situations that may affect performance</w:t>
            </w:r>
            <w:r w:rsidRPr="00FA694D">
              <w:t>.</w:t>
            </w:r>
          </w:p>
        </w:tc>
      </w:tr>
      <w:tr w:rsidTr="00991887">
        <w:tblPrEx>
          <w:tblW w:w="0" w:type="auto"/>
          <w:tblLayout w:type="fixed"/>
          <w:tblCellMar>
            <w:left w:w="62" w:type="dxa"/>
            <w:right w:w="62" w:type="dxa"/>
          </w:tblCellMar>
          <w:tblLook w:val="0000"/>
        </w:tblPrEx>
        <w:trPr>
          <w:gridAfter w:val="2"/>
          <w:wAfter w:w="31"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VARIABLE</w:t>
            </w:r>
          </w:p>
        </w:tc>
        <w:tc>
          <w:tcPr>
            <w:tcW w:w="6428"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rPr>
                <w:rStyle w:val="SpecialBold"/>
              </w:rPr>
              <w:t>SCOPE</w:t>
            </w:r>
          </w:p>
        </w:tc>
      </w:tr>
      <w:tr w:rsidTr="00991887">
        <w:tblPrEx>
          <w:tblW w:w="0" w:type="auto"/>
          <w:tblLayout w:type="fixed"/>
          <w:tblCellMar>
            <w:left w:w="62" w:type="dxa"/>
            <w:right w:w="62" w:type="dxa"/>
          </w:tblCellMar>
          <w:tblLook w:val="0000"/>
        </w:tblPrEx>
        <w:trPr>
          <w:gridAfter w:val="3"/>
          <w:wAfter w:w="63"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FA694D" w:rsidP="00FA694D">
            <w:pPr>
              <w:pStyle w:val="BodyText"/>
            </w:pPr>
          </w:p>
          <w:p w:rsidR="00000000" w:rsidP="00FA694D">
            <w:pPr>
              <w:pStyle w:val="BodyText"/>
              <w:rPr>
                <w:lang w:val="en-NZ"/>
              </w:rPr>
            </w:pPr>
            <w:r w:rsidRPr="00FA694D">
              <w:rPr>
                <w:rStyle w:val="SpecialBold"/>
              </w:rPr>
              <w:t>d</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FA694D" w:rsidP="00FA694D">
            <w:pPr>
              <w:pStyle w:val="BodyText"/>
            </w:pPr>
          </w:p>
          <w:p w:rsidR="00000000" w:rsidRPr="00FA694D" w:rsidP="00FA694D">
            <w:pPr>
              <w:pStyle w:val="BodyText"/>
            </w:pPr>
            <w:r w:rsidRPr="00FA694D">
              <w:rPr>
                <w:rStyle w:val="SpecialBold"/>
              </w:rPr>
              <w:t>Steam propulsion plant and associated systems may include</w:t>
            </w:r>
            <w:r w:rsidRPr="00FA694D">
              <w:t>:</w:t>
            </w:r>
          </w:p>
          <w:p w:rsidR="00000000" w:rsidP="00FA694D">
            <w:pPr>
              <w:pStyle w:val="BodyText"/>
              <w:rPr>
                <w:lang w:val="en-NZ"/>
              </w:rPr>
            </w:pPr>
            <w:r w:rsidRPr="00FA694D">
              <w:t>(</w:t>
            </w:r>
            <w:r w:rsidRPr="00FA694D">
              <w:rPr>
                <w:rStyle w:val="SpecialBold"/>
              </w:rPr>
              <w:t>continued</w:t>
            </w:r>
            <w:r w:rsidRPr="00FA694D">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gridSpan w:val="3"/>
            <w:tcBorders>
              <w:top w:val="nil"/>
              <w:left w:val="nil"/>
              <w:bottom w:val="nil"/>
              <w:right w:val="nil"/>
            </w:tcBorders>
            <w:tcMar>
              <w:top w:w="0" w:type="dxa"/>
              <w:left w:w="62" w:type="dxa"/>
              <w:bottom w:w="0" w:type="dxa"/>
              <w:right w:w="62" w:type="dxa"/>
            </w:tcMar>
          </w:tcPr>
          <w:p w:rsidR="00000000" w:rsidRPr="00FA694D" w:rsidP="00FA694D">
            <w:pPr>
              <w:pStyle w:val="BodyText"/>
            </w:pPr>
          </w:p>
          <w:p w:rsidR="00000000" w:rsidP="00FA694D">
            <w:pPr>
              <w:pStyle w:val="BodyText"/>
              <w:rPr>
                <w:lang w:val="en-NZ"/>
              </w:rPr>
            </w:pPr>
            <w:r w:rsidRPr="00FA694D">
              <w:t>viii</w:t>
            </w:r>
          </w:p>
        </w:tc>
        <w:tc>
          <w:tcPr>
            <w:tcW w:w="5620" w:type="dxa"/>
            <w:tcBorders>
              <w:top w:val="nil"/>
              <w:left w:val="nil"/>
              <w:bottom w:val="nil"/>
              <w:right w:val="nil"/>
            </w:tcBorders>
            <w:tcMar>
              <w:top w:w="0" w:type="dxa"/>
              <w:left w:w="62" w:type="dxa"/>
              <w:bottom w:w="0" w:type="dxa"/>
              <w:right w:w="62" w:type="dxa"/>
            </w:tcMar>
          </w:tcPr>
          <w:p w:rsidR="00000000" w:rsidRPr="00FA694D" w:rsidP="00FA694D">
            <w:pPr>
              <w:pStyle w:val="BodyText"/>
            </w:pPr>
          </w:p>
          <w:p w:rsidR="00000000" w:rsidP="00FA694D">
            <w:pPr>
              <w:pStyle w:val="BodyText"/>
              <w:rPr>
                <w:lang w:val="en-NZ"/>
              </w:rPr>
            </w:pPr>
            <w:r w:rsidRPr="00FA694D">
              <w:t>sewage plant</w:t>
            </w:r>
          </w:p>
        </w:tc>
      </w:tr>
      <w:tr w:rsidTr="00991887">
        <w:tblPrEx>
          <w:tblW w:w="0" w:type="auto"/>
          <w:tblLayout w:type="fixed"/>
          <w:tblCellMar>
            <w:left w:w="62" w:type="dxa"/>
            <w:right w:w="62" w:type="dxa"/>
          </w:tblCellMar>
          <w:tblLook w:val="0000"/>
        </w:tblPrEx>
        <w:trPr>
          <w:gridAfter w:val="3"/>
          <w:wAfter w:w="6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6039"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portable and fixed firefighting installations and fire control and monitoring systems</w:t>
            </w:r>
          </w:p>
        </w:tc>
      </w:tr>
      <w:tr w:rsidTr="00991887">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Potential hazards during operation of steam propulsion plant and associated systems may include</w:t>
            </w:r>
            <w:r w:rsidRPr="00FA694D">
              <w:t>:</w:t>
            </w: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cold pipes and valves (refrigeration and liquefied gas cargoes)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dangerous atmosphere</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electrical wiring and systems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faulty machinery equipment handling equipment and lifting gear</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flammable liquids, vapours and fuel</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hot pipes and valves (steam, fuel oil, lubricating oil)</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machinery overload</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8</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moving and rotating machinery</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9</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moving heavy loads using unsafe lifting procedures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10</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non-compliance with safe working procedures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11</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noxious and dangerous cargoes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12</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operating equipment beyond safe working limits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13</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overspeed of electrical machinery, emergency trips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14</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poor housekeeping procedures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15</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power tools and other sharp tools and implements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16</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slippery deck</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17</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unsecured machinery, components or equipment</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18</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using equipment beyond safe working limits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19</w:t>
            </w:r>
          </w:p>
        </w:tc>
        <w:tc>
          <w:tcPr>
            <w:tcW w:w="6006" w:type="dxa"/>
            <w:gridSpan w:val="4"/>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working at heights and in confined spaces</w:t>
            </w:r>
          </w:p>
        </w:tc>
      </w:tr>
      <w:tr w:rsidTr="00991887">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Emergencies may include</w:t>
            </w:r>
            <w:r w:rsidRPr="00FA694D">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34" w:type="dxa"/>
            <w:gridSpan w:val="5"/>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loss of propulsion</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6034" w:type="dxa"/>
            <w:gridSpan w:val="5"/>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loss of steering</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6034" w:type="dxa"/>
            <w:gridSpan w:val="5"/>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flooding of engine room</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6034" w:type="dxa"/>
            <w:gridSpan w:val="5"/>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fire or explosion in engine room</w:t>
            </w:r>
          </w:p>
        </w:tc>
      </w:tr>
    </w:tbl>
    <w:p w:rsidR="00000000" w:rsidRPr="00FA694D" w:rsidP="00FA694D">
      <w:pPr>
        <w:pStyle w:val="BodyText"/>
      </w:pPr>
    </w:p>
    <w:p w:rsidR="00000000" w:rsidRPr="00FA694D" w:rsidP="00FA694D">
      <w:pPr>
        <w:pStyle w:val="BodyText"/>
      </w:pPr>
      <w:r w:rsidRPr="00FA694D">
        <w:rPr>
          <w:rStyle w:val="SpecialBold"/>
        </w:rPr>
        <w:t>Range Statement</w:t>
      </w:r>
      <w:r w:rsidRPr="00FA694D">
        <w:t xml:space="preserve"> (</w:t>
      </w:r>
      <w:r w:rsidRPr="00FA694D">
        <w:rPr>
          <w:rStyle w:val="SpecialBold"/>
        </w:rPr>
        <w:t>continued</w:t>
      </w:r>
      <w:r w:rsidRPr="00FA694D">
        <w:t xml:space="preserve">) </w:t>
      </w:r>
    </w:p>
    <w:tbl>
      <w:tblPr>
        <w:tblW w:w="0" w:type="auto"/>
        <w:tblLayout w:type="fixed"/>
        <w:tblCellMar>
          <w:left w:w="62" w:type="dxa"/>
          <w:right w:w="62" w:type="dxa"/>
        </w:tblCellMar>
        <w:tblLook w:val="0000"/>
      </w:tblPr>
      <w:tblGrid>
        <w:gridCol w:w="7308"/>
      </w:tblGrid>
      <w:tr w:rsidTr="00991887">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TDMMR5907A OPERATE STEAM PROPULSION PLANT AND ASSOCIATED SYSTEMS ON STEAM VESSELS</w:t>
            </w:r>
          </w:p>
        </w:tc>
      </w:tr>
    </w:tbl>
    <w:p w:rsidR="00000000" w:rsidRPr="00FA694D" w:rsidP="00FA694D">
      <w:pPr>
        <w:pStyle w:val="BodyText"/>
      </w:pPr>
    </w:p>
    <w:tbl>
      <w:tblPr>
        <w:tblW w:w="0" w:type="auto"/>
        <w:tblLayout w:type="fixed"/>
        <w:tblCellMar>
          <w:left w:w="62" w:type="dxa"/>
          <w:right w:w="62" w:type="dxa"/>
        </w:tblCellMar>
        <w:tblLook w:val="0000"/>
      </w:tblPr>
      <w:tblGrid>
        <w:gridCol w:w="346"/>
        <w:gridCol w:w="1746"/>
        <w:gridCol w:w="357"/>
        <w:gridCol w:w="54"/>
        <w:gridCol w:w="6032"/>
        <w:gridCol w:w="14"/>
      </w:tblGrid>
      <w:tr w:rsidTr="00991887">
        <w:tblPrEx>
          <w:tblW w:w="0" w:type="auto"/>
          <w:tblLayout w:type="fixed"/>
          <w:tblCellMar>
            <w:left w:w="62" w:type="dxa"/>
            <w:right w:w="62" w:type="dxa"/>
          </w:tblCellMar>
          <w:tblLook w:val="0000"/>
        </w:tblPrEx>
        <w:trPr>
          <w:tblHeader/>
        </w:trPr>
        <w:tc>
          <w:tcPr>
            <w:tcW w:w="8549" w:type="dxa"/>
            <w:gridSpan w:val="6"/>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rPr>
                <w:rStyle w:val="Emphasis"/>
              </w:rPr>
              <w:t>The Range Statement relates to the unit of competency as a whole</w:t>
            </w:r>
            <w:r w:rsidRPr="00FA694D">
              <w:t xml:space="preserve">. </w:t>
            </w:r>
            <w:r w:rsidRPr="00FA694D">
              <w:rPr>
                <w:rStyle w:val="Emphasis"/>
              </w:rPr>
              <w:t>It allows for different work environments and situations that may affect performance</w:t>
            </w:r>
            <w:r w:rsidRPr="00FA694D">
              <w:t>.</w:t>
            </w:r>
          </w:p>
        </w:tc>
      </w:tr>
      <w:tr w:rsidTr="00991887">
        <w:tblPrEx>
          <w:tblW w:w="0" w:type="auto"/>
          <w:tblLayout w:type="fixed"/>
          <w:tblCellMar>
            <w:left w:w="62" w:type="dxa"/>
            <w:right w:w="62" w:type="dxa"/>
          </w:tblCellMar>
          <w:tblLook w:val="0000"/>
        </w:tblPrEx>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rPr>
                <w:rStyle w:val="SpecialBold"/>
              </w:rPr>
              <w:t>VARIABLE</w:t>
            </w:r>
          </w:p>
        </w:tc>
        <w:tc>
          <w:tcPr>
            <w:tcW w:w="6457"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FA694D">
            <w:pPr>
              <w:pStyle w:val="BodyText"/>
              <w:rPr>
                <w:lang w:val="en-NZ"/>
              </w:rPr>
            </w:pPr>
            <w:r w:rsidRPr="00FA694D">
              <w:rPr>
                <w:rStyle w:val="SpecialBold"/>
              </w:rPr>
              <w:t>SCOPE</w:t>
            </w:r>
          </w:p>
        </w:tc>
      </w:tr>
      <w:tr w:rsidTr="0099188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p>
          <w:p w:rsidR="00000000" w:rsidP="00FA694D">
            <w:pPr>
              <w:pStyle w:val="BodyText"/>
              <w:rPr>
                <w:lang w:val="en-NZ"/>
              </w:rPr>
            </w:pPr>
            <w:r w:rsidRPr="00FA694D">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FA694D" w:rsidP="00FA694D">
            <w:pPr>
              <w:pStyle w:val="BodyText"/>
            </w:pPr>
          </w:p>
          <w:p w:rsidR="00000000" w:rsidRPr="00FA694D" w:rsidP="00FA694D">
            <w:pPr>
              <w:pStyle w:val="BodyText"/>
            </w:pPr>
            <w:r w:rsidRPr="00FA694D">
              <w:rPr>
                <w:rStyle w:val="SpecialBold"/>
              </w:rPr>
              <w:t xml:space="preserve">Emergencies may </w:t>
            </w:r>
            <w:r w:rsidRPr="00FA694D">
              <w:rPr>
                <w:rStyle w:val="SpecialBold"/>
              </w:rPr>
              <w:t>include</w:t>
            </w:r>
            <w:r w:rsidRPr="00FA694D">
              <w:t>:</w:t>
            </w:r>
          </w:p>
          <w:p w:rsidR="00000000" w:rsidP="00FA694D">
            <w:pPr>
              <w:pStyle w:val="BodyText"/>
              <w:rPr>
                <w:lang w:val="en-NZ"/>
              </w:rPr>
            </w:pPr>
            <w:r w:rsidRPr="00FA694D">
              <w:t>(</w:t>
            </w:r>
            <w:r w:rsidRPr="00FA694D">
              <w:rPr>
                <w:rStyle w:val="SpecialBold"/>
              </w:rPr>
              <w:t>continued</w:t>
            </w:r>
            <w:r w:rsidRPr="00FA694D">
              <w:t xml:space="preserve">) </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RPr="00FA694D" w:rsidP="00FA694D">
            <w:pPr>
              <w:pStyle w:val="BodyText"/>
            </w:pPr>
          </w:p>
          <w:p w:rsidR="00000000" w:rsidP="00FA694D">
            <w:pPr>
              <w:pStyle w:val="BodyText"/>
              <w:rPr>
                <w:lang w:val="en-NZ"/>
              </w:rPr>
            </w:pPr>
            <w:r w:rsidRPr="00FA694D">
              <w:t>5</w:t>
            </w:r>
          </w:p>
        </w:tc>
        <w:tc>
          <w:tcPr>
            <w:tcW w:w="6032" w:type="dxa"/>
            <w:tcBorders>
              <w:top w:val="nil"/>
              <w:left w:val="nil"/>
              <w:bottom w:val="nil"/>
              <w:right w:val="nil"/>
            </w:tcBorders>
            <w:tcMar>
              <w:top w:w="0" w:type="dxa"/>
              <w:left w:w="62" w:type="dxa"/>
              <w:bottom w:w="0" w:type="dxa"/>
              <w:right w:w="62" w:type="dxa"/>
            </w:tcMar>
          </w:tcPr>
          <w:p w:rsidR="00000000" w:rsidRPr="00FA694D" w:rsidP="00FA694D">
            <w:pPr>
              <w:pStyle w:val="BodyText"/>
            </w:pPr>
          </w:p>
          <w:p w:rsidR="00000000" w:rsidP="00FA694D">
            <w:pPr>
              <w:pStyle w:val="BodyText"/>
              <w:rPr>
                <w:lang w:val="en-NZ"/>
              </w:rPr>
            </w:pPr>
            <w:r w:rsidRPr="00FA694D">
              <w:t xml:space="preserve">loss of refrigeration </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6032"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loss of water making ability</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6032"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fuel oil, lubrication oil, steam and gas leaks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8</w:t>
            </w:r>
          </w:p>
        </w:tc>
        <w:tc>
          <w:tcPr>
            <w:tcW w:w="6032"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loss of electrical power</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9</w:t>
            </w:r>
          </w:p>
        </w:tc>
        <w:tc>
          <w:tcPr>
            <w:tcW w:w="6032"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pump failure</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10</w:t>
            </w:r>
          </w:p>
        </w:tc>
        <w:tc>
          <w:tcPr>
            <w:tcW w:w="6032" w:type="dxa"/>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overheating and overspeed of machinery, governors, emergency trips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11</w:t>
            </w:r>
          </w:p>
        </w:tc>
        <w:tc>
          <w:tcPr>
            <w:tcW w:w="6032" w:type="dxa"/>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electric shock</w:t>
            </w:r>
          </w:p>
          <w:p w:rsidR="00000000" w:rsidP="00FA694D">
            <w:pPr>
              <w:pStyle w:val="BodyText"/>
              <w:rPr>
                <w:lang w:val="en-NZ"/>
              </w:rPr>
            </w:pPr>
          </w:p>
        </w:tc>
      </w:tr>
      <w:tr w:rsidTr="00991887">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Documentation and recordsmay include</w:t>
            </w: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ISM Code safety management system plans, procedures, checklists and instructions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vessel and company's operational procedures and instructions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manufacturer's specifications, instructions and recommended procedures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4</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running sheets, operations logs and other operational records, including computer database of running information, where relevant</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5</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vessel's survey procedures and instructions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6</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vessel's safety and emergency contingency plans and procedures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7</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 xml:space="preserve">relevant sections of national and international maritime regulations, </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8</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instructions of relevant maritime authorities and class societies concerning operation of steam propulsion plant and associated systems</w:t>
            </w:r>
          </w:p>
        </w:tc>
      </w:tr>
      <w:tr w:rsidTr="00991887">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9188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Applicable regulatio</w:t>
            </w:r>
            <w:r w:rsidRPr="00FA694D">
              <w:rPr>
                <w:rStyle w:val="SpecialBold"/>
              </w:rPr>
              <w:t>ns and legislation may include</w:t>
            </w: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1</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sections of national and international regulations, IMO Conventions and Codes, including AMSA Marine Orders and class society rules related to the operation of steam propulsion plant and associated systems</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2</w:t>
            </w:r>
          </w:p>
        </w:tc>
        <w:tc>
          <w:tcPr>
            <w:tcW w:w="6086" w:type="dxa"/>
            <w:gridSpan w:val="2"/>
            <w:tcBorders>
              <w:top w:val="nil"/>
              <w:left w:val="nil"/>
              <w:bottom w:val="nil"/>
              <w:right w:val="nil"/>
            </w:tcBorders>
            <w:tcMar>
              <w:top w:w="0" w:type="dxa"/>
              <w:left w:w="62" w:type="dxa"/>
              <w:bottom w:w="0" w:type="dxa"/>
              <w:right w:w="62" w:type="dxa"/>
            </w:tcMar>
          </w:tcPr>
          <w:p w:rsidR="00000000" w:rsidP="00FA694D">
            <w:pPr>
              <w:pStyle w:val="BodyText"/>
              <w:rPr>
                <w:lang w:val="en-NZ"/>
              </w:rPr>
            </w:pPr>
            <w:r w:rsidRPr="00FA694D">
              <w:t>relevant</w:t>
            </w:r>
            <w:r w:rsidRPr="00FA694D">
              <w:t xml:space="preserve"> international, Commonwealth, State and Territory OH&amp;S legislation</w:t>
            </w:r>
          </w:p>
        </w:tc>
      </w:tr>
      <w:tr w:rsidTr="0099188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A694D">
            <w:pPr>
              <w:pStyle w:val="BodyText"/>
              <w:rPr>
                <w:lang w:val="en-NZ"/>
              </w:rPr>
            </w:pPr>
            <w:r w:rsidRPr="00FA694D">
              <w:t>3</w:t>
            </w:r>
          </w:p>
        </w:tc>
        <w:tc>
          <w:tcPr>
            <w:tcW w:w="6086" w:type="dxa"/>
            <w:gridSpan w:val="2"/>
            <w:tcBorders>
              <w:top w:val="nil"/>
              <w:left w:val="nil"/>
              <w:bottom w:val="nil"/>
              <w:right w:val="nil"/>
            </w:tcBorders>
            <w:tcMar>
              <w:top w:w="0" w:type="dxa"/>
              <w:left w:w="62" w:type="dxa"/>
              <w:bottom w:w="0" w:type="dxa"/>
              <w:right w:w="62" w:type="dxa"/>
            </w:tcMar>
          </w:tcPr>
          <w:p w:rsidR="00000000" w:rsidRPr="00FA694D" w:rsidP="00FA694D">
            <w:pPr>
              <w:pStyle w:val="BodyText"/>
            </w:pPr>
            <w:r w:rsidRPr="00FA694D">
              <w:t>relevant international, Commonwealth, State and Territory engineering standards</w:t>
            </w:r>
          </w:p>
        </w:tc>
      </w:tr>
    </w:tbl>
    <w:p w:rsidR="00991887" w:rsidP="00FA694D">
      <w:pPr>
        <w:pStyle w:val="BodyText"/>
      </w:pPr>
    </w:p>
    <w:p w:rsidR="00991887" w:rsidP="00FA694D">
      <w:pPr>
        <w:pStyle w:val="BodyText"/>
      </w:pPr>
    </w:p>
    <w:p w:rsidR="00000000" w:rsidRPr="00FA694D" w:rsidP="00FA694D">
      <w:pPr>
        <w:pStyle w:val="Heading1"/>
      </w:pPr>
      <w:bookmarkStart w:id="12" w:name="O_152270"/>
      <w:bookmarkEnd w:id="12"/>
      <w:r w:rsidRPr="00FA694D">
        <w:t>Unit Sector(s)</w:t>
      </w:r>
    </w:p>
    <w:p w:rsidR="00000000" w:rsidRPr="00FA694D" w:rsidP="00FA694D">
      <w:pPr>
        <w:pStyle w:val="BodyText"/>
      </w:pPr>
      <w:r w:rsidRPr="00FA694D">
        <w:t>Not applicable.</w:t>
      </w:r>
    </w:p>
    <w:p w:rsidR="00000000" w:rsidRPr="00FA694D" w:rsidP="00FA694D">
      <w:pPr>
        <w:pStyle w:val="AllowPageBreak"/>
      </w:pPr>
    </w:p>
    <w:p w:rsidR="00000000" w:rsidRPr="00FA694D" w:rsidP="00FA694D">
      <w:pPr>
        <w:pStyle w:val="Heading1"/>
      </w:pPr>
      <w:bookmarkStart w:id="13" w:name="O_163942"/>
      <w:bookmarkEnd w:id="13"/>
      <w:r w:rsidRPr="00FA694D">
        <w:t>Field</w:t>
      </w:r>
    </w:p>
    <w:p w:rsidR="00991887" w:rsidP="00FA694D">
      <w:pPr>
        <w:pStyle w:val="BodyText"/>
      </w:pPr>
      <w:r w:rsidRPr="00FA694D">
        <w:t>Field</w:t>
      </w:r>
      <w:r w:rsidRPr="00FA694D">
        <w:tab/>
        <w:t>R</w:t>
      </w:r>
      <w:r w:rsidRPr="00FA694D">
        <w:tab/>
        <w:t>Communications</w:t>
      </w:r>
    </w:p>
    <w:p w:rsidR="00991887" w:rsidP="00FA694D">
      <w:pPr>
        <w:pStyle w:val="BodyText"/>
      </w:pPr>
    </w:p>
    <w:p w:rsidR="00000000" w:rsidRPr="00FA694D" w:rsidP="00FA694D">
      <w:pPr>
        <w:pStyle w:val="Heading1"/>
      </w:pPr>
      <w:bookmarkStart w:id="14" w:name="O_163943"/>
      <w:bookmarkEnd w:id="14"/>
      <w:r w:rsidRPr="00FA694D">
        <w:t>Relationship to other units</w:t>
      </w:r>
    </w:p>
    <w:tbl>
      <w:tblPr>
        <w:tblW w:w="0" w:type="auto"/>
        <w:tblLayout w:type="fixed"/>
        <w:tblCellMar>
          <w:left w:w="62" w:type="dxa"/>
          <w:right w:w="62" w:type="dxa"/>
        </w:tblCellMar>
        <w:tblLook w:val="0000"/>
      </w:tblPr>
      <w:tblGrid>
        <w:gridCol w:w="1974"/>
        <w:gridCol w:w="6481"/>
      </w:tblGrid>
      <w:tr w:rsidTr="00991887">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94D">
            <w:pPr>
              <w:pStyle w:val="BodyText"/>
              <w:rPr>
                <w:lang w:val="en-NZ"/>
              </w:rPr>
            </w:pPr>
            <w:r w:rsidRPr="00FA694D">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94D" w:rsidP="00FA694D">
            <w:pPr>
              <w:pStyle w:val="BodyText"/>
            </w:pPr>
            <w:r w:rsidRPr="00FA694D">
              <w:t>The unit must be assessed in conjunction with other units that relate to the functions of the occupation(s) concerned.</w:t>
            </w:r>
          </w:p>
        </w:tc>
      </w:tr>
    </w:tbl>
    <w:p w:rsidR="00000000" w:rsidRPr="00FA694D" w:rsidP="00FA694D">
      <w:pPr>
        <w:pStyle w:val="BodyText"/>
      </w:pPr>
    </w:p>
    <w:p w:rsidR="00000000" w:rsidRPr="00FA694D" w:rsidP="00FA694D"/>
    <w:sectPr w:rsidSect="00FA6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4D" w:rsidRPr="00991887" w:rsidP="00991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87" w:rsidP="00FA6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991887" w:rsidP="00FA694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91887" w:rsidP="00FA69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4D" w:rsidRPr="00991887" w:rsidP="009918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87" w:rsidRPr="002D2AF8" w:rsidP="00FA694D">
    <w:pPr>
      <w:pStyle w:val="Header"/>
      <w:framePr w:wrap="around"/>
    </w:pPr>
    <w:r>
      <w:fldChar w:fldCharType="begin"/>
    </w:r>
    <w:r>
      <w:instrText xml:space="preserve"> TITLE   \* MERGEFORMAT </w:instrText>
    </w:r>
    <w:r>
      <w:fldChar w:fldCharType="separate"/>
    </w:r>
    <w:r>
      <w:t>TDMMR5907A OPERATE STEAM PROPULSION PLANT AND ASSOCIATED SYSTEMS ON STEAM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991887" w:rsidP="00FA6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94D"/>
    <w:pPr>
      <w:spacing w:before="360" w:after="60"/>
      <w:outlineLvl w:val="0"/>
    </w:pPr>
    <w:rPr>
      <w:sz w:val="32"/>
    </w:rPr>
  </w:style>
  <w:style w:type="paragraph" w:styleId="Heading2">
    <w:name w:val="heading 2"/>
    <w:basedOn w:val="HeadingBase"/>
    <w:next w:val="BodyText"/>
    <w:link w:val="Heading2Char"/>
    <w:qFormat/>
    <w:rsid w:val="00FA694D"/>
    <w:pPr>
      <w:keepLines/>
      <w:spacing w:before="240" w:after="120"/>
      <w:outlineLvl w:val="1"/>
    </w:pPr>
    <w:rPr>
      <w:sz w:val="28"/>
      <w:szCs w:val="40"/>
    </w:rPr>
  </w:style>
  <w:style w:type="paragraph" w:styleId="Heading3">
    <w:name w:val="heading 3"/>
    <w:basedOn w:val="HeadingBase"/>
    <w:next w:val="BodyText"/>
    <w:link w:val="Heading3Char"/>
    <w:qFormat/>
    <w:rsid w:val="00FA694D"/>
    <w:pPr>
      <w:spacing w:before="180" w:after="120"/>
      <w:outlineLvl w:val="2"/>
    </w:pPr>
    <w:rPr>
      <w:spacing w:val="-10"/>
      <w:kern w:val="32"/>
    </w:rPr>
  </w:style>
  <w:style w:type="paragraph" w:styleId="Heading4">
    <w:name w:val="heading 4"/>
    <w:basedOn w:val="HeadingBase"/>
    <w:next w:val="BodyText"/>
    <w:link w:val="Heading4Char"/>
    <w:qFormat/>
    <w:rsid w:val="00FA694D"/>
    <w:pPr>
      <w:spacing w:before="160" w:after="120"/>
      <w:outlineLvl w:val="3"/>
    </w:pPr>
    <w:rPr>
      <w:sz w:val="22"/>
    </w:rPr>
  </w:style>
  <w:style w:type="paragraph" w:styleId="Heading5">
    <w:name w:val="heading 5"/>
    <w:basedOn w:val="HeadingBase"/>
    <w:next w:val="Normal"/>
    <w:link w:val="Heading5Char"/>
    <w:qFormat/>
    <w:rsid w:val="00FA694D"/>
    <w:pPr>
      <w:spacing w:before="80"/>
      <w:outlineLvl w:val="4"/>
    </w:pPr>
    <w:rPr>
      <w:color w:val="918585"/>
      <w:sz w:val="20"/>
    </w:rPr>
  </w:style>
  <w:style w:type="paragraph" w:styleId="Heading6">
    <w:name w:val="heading 6"/>
    <w:basedOn w:val="HeadingBase"/>
    <w:next w:val="Normal"/>
    <w:link w:val="Heading6Char"/>
    <w:qFormat/>
    <w:rsid w:val="00FA694D"/>
    <w:pPr>
      <w:spacing w:before="60"/>
      <w:outlineLvl w:val="5"/>
    </w:pPr>
    <w:rPr>
      <w:color w:val="918585"/>
      <w:sz w:val="20"/>
    </w:rPr>
  </w:style>
  <w:style w:type="paragraph" w:styleId="Heading7">
    <w:name w:val="heading 7"/>
    <w:basedOn w:val="Normal"/>
    <w:next w:val="Normal"/>
    <w:link w:val="Heading7Char"/>
    <w:qFormat/>
    <w:rsid w:val="00FA694D"/>
    <w:pPr>
      <w:ind w:left="720"/>
      <w:outlineLvl w:val="6"/>
    </w:pPr>
    <w:rPr>
      <w:i/>
    </w:rPr>
  </w:style>
  <w:style w:type="paragraph" w:styleId="Heading8">
    <w:name w:val="heading 8"/>
    <w:basedOn w:val="Normal"/>
    <w:next w:val="Normal"/>
    <w:link w:val="Heading8Char"/>
    <w:qFormat/>
    <w:rsid w:val="00FA694D"/>
    <w:pPr>
      <w:ind w:left="720"/>
      <w:outlineLvl w:val="7"/>
    </w:pPr>
    <w:rPr>
      <w:i/>
    </w:rPr>
  </w:style>
  <w:style w:type="paragraph" w:styleId="Heading9">
    <w:name w:val="heading 9"/>
    <w:basedOn w:val="Normal"/>
    <w:next w:val="Normal"/>
    <w:link w:val="Heading9Char"/>
    <w:qFormat/>
    <w:rsid w:val="00FA694D"/>
    <w:pPr>
      <w:ind w:left="720"/>
      <w:outlineLvl w:val="8"/>
    </w:pPr>
    <w:rPr>
      <w:i/>
    </w:rPr>
  </w:style>
  <w:style w:type="character" w:default="1" w:styleId="DefaultParagraphFont">
    <w:name w:val="Default Paragraph Font"/>
    <w:uiPriority w:val="1"/>
    <w:unhideWhenUsed/>
    <w:rsid w:val="00FA6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94D"/>
  </w:style>
  <w:style w:type="character" w:customStyle="1" w:styleId="Heading1Char">
    <w:name w:val="Heading 1 Char"/>
    <w:basedOn w:val="DefaultParagraphFont"/>
    <w:link w:val="Heading1"/>
    <w:rsid w:val="00FA694D"/>
    <w:rPr>
      <w:rFonts w:ascii="Times New Roman" w:eastAsia="Times New Roman" w:hAnsi="Times New Roman" w:cs="Times New Roman"/>
      <w:b/>
      <w:sz w:val="32"/>
      <w:szCs w:val="20"/>
      <w:lang w:eastAsia="en-US"/>
    </w:rPr>
  </w:style>
  <w:style w:type="paragraph" w:styleId="BodyText">
    <w:name w:val="Body Text"/>
    <w:basedOn w:val="Normal"/>
    <w:link w:val="BodyTextChar"/>
    <w:rsid w:val="00FA69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94D"/>
    <w:rPr>
      <w:rFonts w:ascii="Times New Roman" w:eastAsia="Times New Roman" w:hAnsi="Times New Roman" w:cs="Times New Roman"/>
      <w:sz w:val="24"/>
      <w:lang w:eastAsia="en-US"/>
    </w:rPr>
  </w:style>
  <w:style w:type="character" w:customStyle="1" w:styleId="SpecialBold">
    <w:name w:val="Special Bold"/>
    <w:basedOn w:val="DefaultParagraphFont"/>
    <w:rsid w:val="00FA694D"/>
    <w:rPr>
      <w:b/>
      <w:spacing w:val="0"/>
    </w:rPr>
  </w:style>
  <w:style w:type="character" w:styleId="Emphasis">
    <w:name w:val="Emphasis"/>
    <w:basedOn w:val="DefaultParagraphFont"/>
    <w:qFormat/>
    <w:rsid w:val="00FA694D"/>
    <w:rPr>
      <w:i/>
    </w:rPr>
  </w:style>
  <w:style w:type="paragraph" w:customStyle="1" w:styleId="SuperHeading">
    <w:name w:val="SuperHeading"/>
    <w:basedOn w:val="Normal"/>
    <w:rsid w:val="00FA694D"/>
    <w:pPr>
      <w:spacing w:before="240" w:after="120"/>
      <w:outlineLvl w:val="0"/>
    </w:pPr>
    <w:rPr>
      <w:rFonts w:ascii="Times New Roman" w:hAnsi="Times New Roman"/>
      <w:b/>
      <w:sz w:val="32"/>
    </w:rPr>
  </w:style>
  <w:style w:type="paragraph" w:customStyle="1" w:styleId="AllowPageBreak">
    <w:name w:val="AllowPageBreak"/>
    <w:rsid w:val="00FA6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94D"/>
    <w:rPr>
      <w:rFonts w:ascii="Courier New" w:eastAsia="Times New Roman" w:hAnsi="Courier New" w:cs="Times New Roman"/>
      <w:i/>
      <w:szCs w:val="20"/>
      <w:lang w:eastAsia="en-US"/>
    </w:rPr>
  </w:style>
  <w:style w:type="paragraph" w:customStyle="1" w:styleId="HeadingBase">
    <w:name w:val="Heading Base"/>
    <w:rsid w:val="00FA6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94D"/>
    <w:pPr>
      <w:tabs>
        <w:tab w:val="right" w:leader="dot" w:pos="9072"/>
      </w:tabs>
      <w:ind w:left="567"/>
    </w:pPr>
    <w:rPr>
      <w:szCs w:val="22"/>
    </w:rPr>
  </w:style>
  <w:style w:type="paragraph" w:customStyle="1" w:styleId="TOCBase">
    <w:name w:val="TOC Base"/>
    <w:rsid w:val="00FA6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94D"/>
    <w:pPr>
      <w:tabs>
        <w:tab w:val="right" w:leader="dot" w:pos="9072"/>
      </w:tabs>
      <w:spacing w:before="40" w:after="40"/>
      <w:ind w:left="284"/>
    </w:pPr>
    <w:rPr>
      <w:rFonts w:ascii="Times New Roman" w:hAnsi="Times New Roman"/>
    </w:rPr>
  </w:style>
  <w:style w:type="paragraph" w:styleId="TOC1">
    <w:name w:val="toc 1"/>
    <w:basedOn w:val="TOCBase"/>
    <w:next w:val="Normal"/>
    <w:rsid w:val="00FA6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94D"/>
    <w:rPr>
      <w:rFonts w:ascii="Times New Roman" w:eastAsia="Times New Roman" w:hAnsi="Times New Roman" w:cs="Times New Roman"/>
      <w:sz w:val="16"/>
      <w:lang w:eastAsia="en-US"/>
    </w:rPr>
  </w:style>
  <w:style w:type="paragraph" w:styleId="Title">
    <w:name w:val="Title"/>
    <w:basedOn w:val="HeadingBase"/>
    <w:link w:val="TitleChar"/>
    <w:qFormat/>
    <w:rsid w:val="00FA694D"/>
    <w:pPr>
      <w:spacing w:before="5040"/>
      <w:jc w:val="center"/>
    </w:pPr>
    <w:rPr>
      <w:sz w:val="48"/>
      <w:szCs w:val="72"/>
      <w:lang w:val="en-US"/>
    </w:rPr>
  </w:style>
  <w:style w:type="character" w:customStyle="1" w:styleId="TitleChar">
    <w:name w:val="Title Char"/>
    <w:basedOn w:val="DefaultParagraphFont"/>
    <w:link w:val="Title"/>
    <w:rsid w:val="00FA6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94D"/>
    <w:pPr>
      <w:tabs>
        <w:tab w:val="left" w:pos="3600"/>
        <w:tab w:val="left" w:pos="3958"/>
      </w:tabs>
    </w:pPr>
  </w:style>
  <w:style w:type="paragraph" w:styleId="List">
    <w:name w:val="List"/>
    <w:basedOn w:val="BodyText"/>
    <w:next w:val="BodyText"/>
    <w:rsid w:val="00FA694D"/>
    <w:pPr>
      <w:tabs>
        <w:tab w:val="left" w:pos="340"/>
      </w:tabs>
      <w:spacing w:before="60" w:after="60"/>
      <w:ind w:left="340" w:hanging="340"/>
    </w:pPr>
  </w:style>
  <w:style w:type="paragraph" w:styleId="ListBullet">
    <w:name w:val="List Bullet"/>
    <w:basedOn w:val="List"/>
    <w:rsid w:val="00FA694D"/>
    <w:pPr>
      <w:numPr>
        <w:numId w:val="11"/>
      </w:numPr>
      <w:tabs>
        <w:tab w:val="clear" w:pos="340"/>
      </w:tabs>
      <w:spacing w:before="40" w:after="40"/>
    </w:pPr>
  </w:style>
  <w:style w:type="paragraph" w:customStyle="1" w:styleId="Note">
    <w:name w:val="Note"/>
    <w:basedOn w:val="BodyText"/>
    <w:rsid w:val="00FA6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94D"/>
    <w:pPr>
      <w:framePr w:wrap="auto" w:hAnchor="text" w:y="6049"/>
    </w:pPr>
    <w:rPr>
      <w:color w:val="000000"/>
      <w:sz w:val="40"/>
    </w:rPr>
  </w:style>
  <w:style w:type="paragraph" w:customStyle="1" w:styleId="TOCTitle">
    <w:name w:val="TOCTitle"/>
    <w:basedOn w:val="Heading1"/>
    <w:rsid w:val="00FA694D"/>
    <w:pPr>
      <w:spacing w:after="240"/>
      <w:jc w:val="center"/>
      <w:outlineLvl w:val="9"/>
    </w:pPr>
    <w:rPr>
      <w:caps/>
    </w:rPr>
  </w:style>
  <w:style w:type="paragraph" w:customStyle="1" w:styleId="Version">
    <w:name w:val="Version"/>
    <w:rsid w:val="00FA6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94D"/>
    <w:pPr>
      <w:numPr>
        <w:numId w:val="12"/>
      </w:numPr>
      <w:tabs>
        <w:tab w:val="clear" w:pos="680"/>
      </w:tabs>
    </w:pPr>
  </w:style>
  <w:style w:type="paragraph" w:styleId="Index1">
    <w:name w:val="index 1"/>
    <w:basedOn w:val="Normal"/>
    <w:next w:val="Normal"/>
    <w:semiHidden/>
    <w:rsid w:val="00FA694D"/>
    <w:pPr>
      <w:keepNext w:val="0"/>
      <w:tabs>
        <w:tab w:val="right" w:pos="4176"/>
      </w:tabs>
      <w:ind w:left="198" w:hanging="198"/>
    </w:pPr>
    <w:rPr>
      <w:rFonts w:ascii="Garamond" w:hAnsi="Garamond"/>
    </w:rPr>
  </w:style>
  <w:style w:type="paragraph" w:styleId="IndexHeading">
    <w:name w:val="index heading"/>
    <w:basedOn w:val="Normal"/>
    <w:next w:val="Index1"/>
    <w:semiHidden/>
    <w:rsid w:val="00FA694D"/>
    <w:pPr>
      <w:spacing w:before="120" w:after="120"/>
    </w:pPr>
    <w:rPr>
      <w:rFonts w:ascii="Arial" w:hAnsi="Arial"/>
      <w:b/>
      <w:color w:val="918585"/>
      <w:sz w:val="24"/>
    </w:rPr>
  </w:style>
  <w:style w:type="paragraph" w:styleId="Header">
    <w:name w:val="header"/>
    <w:basedOn w:val="Normal"/>
    <w:link w:val="HeaderChar"/>
    <w:rsid w:val="00FA6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94D"/>
    <w:rPr>
      <w:rFonts w:ascii="Times New Roman" w:eastAsia="Times New Roman" w:hAnsi="Times New Roman" w:cs="Times New Roman"/>
      <w:sz w:val="16"/>
      <w:szCs w:val="20"/>
      <w:lang w:val="en-GB" w:eastAsia="en-US"/>
    </w:rPr>
  </w:style>
  <w:style w:type="paragraph" w:customStyle="1" w:styleId="Chapter">
    <w:name w:val="Chapter"/>
    <w:basedOn w:val="Normal"/>
    <w:rsid w:val="00FA694D"/>
    <w:pPr>
      <w:spacing w:before="240"/>
    </w:pPr>
    <w:rPr>
      <w:rFonts w:ascii="Times New Roman" w:hAnsi="Times New Roman"/>
      <w:smallCaps/>
      <w:spacing w:val="80"/>
      <w:sz w:val="28"/>
    </w:rPr>
  </w:style>
  <w:style w:type="paragraph" w:customStyle="1" w:styleId="InChapter">
    <w:name w:val="InChapter"/>
    <w:basedOn w:val="Heading3"/>
    <w:rsid w:val="00FA694D"/>
    <w:pPr>
      <w:spacing w:after="240"/>
      <w:outlineLvl w:val="9"/>
    </w:pPr>
    <w:rPr>
      <w:noProof/>
    </w:rPr>
  </w:style>
  <w:style w:type="paragraph" w:styleId="Index2">
    <w:name w:val="index 2"/>
    <w:basedOn w:val="Normal"/>
    <w:next w:val="Normal"/>
    <w:semiHidden/>
    <w:rsid w:val="00FA694D"/>
    <w:pPr>
      <w:tabs>
        <w:tab w:val="right" w:pos="4176"/>
      </w:tabs>
      <w:ind w:left="568" w:hanging="284"/>
    </w:pPr>
    <w:rPr>
      <w:rFonts w:ascii="Garamond" w:hAnsi="Garamond"/>
    </w:rPr>
  </w:style>
  <w:style w:type="paragraph" w:customStyle="1" w:styleId="Byline">
    <w:name w:val="Byline"/>
    <w:rsid w:val="00FA6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94D"/>
    <w:pPr>
      <w:tabs>
        <w:tab w:val="clear" w:pos="3600"/>
        <w:tab w:val="clear" w:pos="3958"/>
      </w:tabs>
      <w:jc w:val="right"/>
    </w:pPr>
  </w:style>
  <w:style w:type="paragraph" w:styleId="Caption">
    <w:name w:val="caption"/>
    <w:basedOn w:val="BodyText"/>
    <w:next w:val="Normal"/>
    <w:qFormat/>
    <w:rsid w:val="00FA694D"/>
    <w:pPr>
      <w:framePr w:w="2268" w:hSpace="181" w:vSpace="181" w:wrap="around" w:vAnchor="text" w:hAnchor="page" w:x="1135" w:y="285" w:anchorLock="1"/>
    </w:pPr>
    <w:rPr>
      <w:i/>
    </w:rPr>
  </w:style>
  <w:style w:type="paragraph" w:customStyle="1" w:styleId="MiniTOCTitle">
    <w:name w:val="MiniTOCTitle"/>
    <w:basedOn w:val="Heading4"/>
    <w:rsid w:val="00FA694D"/>
    <w:pPr>
      <w:spacing w:before="240"/>
      <w:outlineLvl w:val="9"/>
    </w:pPr>
    <w:rPr>
      <w:noProof/>
      <w:sz w:val="24"/>
    </w:rPr>
  </w:style>
  <w:style w:type="paragraph" w:customStyle="1" w:styleId="MiniTOCItem">
    <w:name w:val="MiniTOCItem"/>
    <w:basedOn w:val="ListBullet"/>
    <w:rsid w:val="00FA694D"/>
    <w:pPr>
      <w:numPr>
        <w:numId w:val="0"/>
      </w:numPr>
      <w:tabs>
        <w:tab w:val="right" w:leader="dot" w:pos="6521"/>
      </w:tabs>
      <w:spacing w:before="0" w:after="0"/>
    </w:pPr>
  </w:style>
  <w:style w:type="paragraph" w:customStyle="1" w:styleId="TOFTitle">
    <w:name w:val="TOFTitle"/>
    <w:basedOn w:val="TOCTitle"/>
    <w:rsid w:val="00FA694D"/>
  </w:style>
  <w:style w:type="paragraph" w:styleId="TableofFigures">
    <w:name w:val="table of figures"/>
    <w:basedOn w:val="Normal"/>
    <w:next w:val="Normal"/>
    <w:semiHidden/>
    <w:rsid w:val="00FA694D"/>
    <w:pPr>
      <w:tabs>
        <w:tab w:val="right" w:leader="dot" w:pos="9072"/>
      </w:tabs>
      <w:ind w:left="970" w:hanging="403"/>
    </w:pPr>
    <w:rPr>
      <w:rFonts w:ascii="Times New Roman" w:hAnsi="Times New Roman"/>
      <w:b/>
    </w:rPr>
  </w:style>
  <w:style w:type="paragraph" w:styleId="ListNumber">
    <w:name w:val="List Number"/>
    <w:basedOn w:val="List"/>
    <w:rsid w:val="00FA694D"/>
    <w:pPr>
      <w:numPr>
        <w:numId w:val="9"/>
      </w:numPr>
    </w:pPr>
  </w:style>
  <w:style w:type="character" w:customStyle="1" w:styleId="WingdingSymbols">
    <w:name w:val="Wingding Symbols"/>
    <w:rsid w:val="00FA694D"/>
    <w:rPr>
      <w:rFonts w:ascii="Wingdings" w:hAnsi="Wingdings"/>
    </w:rPr>
  </w:style>
  <w:style w:type="paragraph" w:customStyle="1" w:styleId="TableHeading">
    <w:name w:val="Table Heading"/>
    <w:basedOn w:val="HeadingBase"/>
    <w:rsid w:val="00FA694D"/>
    <w:pPr>
      <w:keepLines/>
      <w:pBdr>
        <w:bottom w:val="single" w:sz="6" w:space="1" w:color="918585"/>
      </w:pBdr>
      <w:spacing w:before="240"/>
    </w:pPr>
  </w:style>
  <w:style w:type="character" w:customStyle="1" w:styleId="HotSpot">
    <w:name w:val="HotSpot"/>
    <w:rsid w:val="00FA694D"/>
    <w:rPr>
      <w:color w:val="0033CC"/>
      <w:u w:val="none"/>
    </w:rPr>
  </w:style>
  <w:style w:type="paragraph" w:customStyle="1" w:styleId="BodyTextRight">
    <w:name w:val="Body Text Right"/>
    <w:basedOn w:val="BodyText"/>
    <w:rsid w:val="00FA694D"/>
    <w:pPr>
      <w:spacing w:before="0" w:after="0"/>
      <w:jc w:val="right"/>
    </w:pPr>
  </w:style>
  <w:style w:type="paragraph" w:styleId="Index3">
    <w:name w:val="index 3"/>
    <w:basedOn w:val="ListNumber2"/>
    <w:next w:val="Normal"/>
    <w:semiHidden/>
    <w:rsid w:val="00FA694D"/>
    <w:pPr>
      <w:numPr>
        <w:numId w:val="0"/>
      </w:numPr>
      <w:tabs>
        <w:tab w:val="right" w:leader="dot" w:pos="4176"/>
      </w:tabs>
    </w:pPr>
  </w:style>
  <w:style w:type="paragraph" w:styleId="ListNumber2">
    <w:name w:val="List Number 2"/>
    <w:basedOn w:val="List2"/>
    <w:rsid w:val="00FA694D"/>
    <w:pPr>
      <w:numPr>
        <w:numId w:val="8"/>
      </w:numPr>
      <w:tabs>
        <w:tab w:val="clear" w:pos="1060"/>
      </w:tabs>
    </w:pPr>
  </w:style>
  <w:style w:type="paragraph" w:customStyle="1" w:styleId="MarginNote">
    <w:name w:val="Margin Note"/>
    <w:basedOn w:val="BodyText"/>
    <w:rsid w:val="00FA6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94D"/>
    <w:rPr>
      <w:sz w:val="32"/>
    </w:rPr>
  </w:style>
  <w:style w:type="paragraph" w:customStyle="1" w:styleId="HeadingProcedure">
    <w:name w:val="Heading Procedure"/>
    <w:basedOn w:val="HeadingBase"/>
    <w:next w:val="Normal"/>
    <w:rsid w:val="00FA694D"/>
    <w:pPr>
      <w:tabs>
        <w:tab w:val="left" w:pos="0"/>
      </w:tabs>
      <w:spacing w:before="120" w:after="60"/>
    </w:pPr>
    <w:rPr>
      <w:i/>
      <w:color w:val="918585"/>
      <w:sz w:val="22"/>
    </w:rPr>
  </w:style>
  <w:style w:type="paragraph" w:customStyle="1" w:styleId="TableBodyText">
    <w:name w:val="Table Body Text"/>
    <w:basedOn w:val="BodyText"/>
    <w:rsid w:val="00FA694D"/>
    <w:pPr>
      <w:spacing w:before="60" w:after="60"/>
    </w:pPr>
  </w:style>
  <w:style w:type="paragraph" w:styleId="ListContinue">
    <w:name w:val="List Continue"/>
    <w:basedOn w:val="List"/>
    <w:rsid w:val="00FA694D"/>
    <w:pPr>
      <w:ind w:firstLine="0"/>
    </w:pPr>
  </w:style>
  <w:style w:type="paragraph" w:customStyle="1" w:styleId="ListNote">
    <w:name w:val="List Note"/>
    <w:basedOn w:val="List"/>
    <w:rsid w:val="00FA694D"/>
    <w:pPr>
      <w:pBdr>
        <w:top w:val="single" w:sz="6" w:space="2" w:color="918585"/>
        <w:bottom w:val="single" w:sz="6" w:space="2" w:color="918585"/>
      </w:pBdr>
      <w:tabs>
        <w:tab w:val="left" w:pos="1021"/>
      </w:tabs>
      <w:ind w:firstLine="0"/>
    </w:pPr>
  </w:style>
  <w:style w:type="paragraph" w:customStyle="1" w:styleId="Warning">
    <w:name w:val="Warning"/>
    <w:basedOn w:val="BodyText"/>
    <w:rsid w:val="00FA694D"/>
    <w:pPr>
      <w:shd w:val="clear" w:color="auto" w:fill="D9D9D9"/>
      <w:tabs>
        <w:tab w:val="left" w:pos="992"/>
      </w:tabs>
      <w:ind w:left="119" w:right="119"/>
    </w:pPr>
    <w:rPr>
      <w:sz w:val="20"/>
    </w:rPr>
  </w:style>
  <w:style w:type="paragraph" w:customStyle="1" w:styleId="MarginIcons">
    <w:name w:val="Margin Icons"/>
    <w:basedOn w:val="BodyText"/>
    <w:rsid w:val="00FA6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94D"/>
    <w:rPr>
      <w:rFonts w:ascii="Courier New" w:hAnsi="Courier New"/>
    </w:rPr>
  </w:style>
  <w:style w:type="paragraph" w:customStyle="1" w:styleId="NoteBullet">
    <w:name w:val="Note Bullet"/>
    <w:basedOn w:val="Note"/>
    <w:rsid w:val="00FA694D"/>
    <w:pPr>
      <w:tabs>
        <w:tab w:val="clear" w:pos="680"/>
      </w:tabs>
      <w:spacing w:before="60" w:after="60"/>
    </w:pPr>
  </w:style>
  <w:style w:type="paragraph" w:customStyle="1" w:styleId="SubHeading2">
    <w:name w:val="SubHeading2"/>
    <w:basedOn w:val="HeadingBase"/>
    <w:rsid w:val="00FA694D"/>
    <w:pPr>
      <w:spacing w:before="240" w:after="60"/>
    </w:pPr>
    <w:rPr>
      <w:sz w:val="20"/>
    </w:rPr>
  </w:style>
  <w:style w:type="paragraph" w:customStyle="1" w:styleId="SubHeading1">
    <w:name w:val="SubHeading1"/>
    <w:basedOn w:val="HeadingBase"/>
    <w:rsid w:val="00FA694D"/>
    <w:pPr>
      <w:spacing w:before="240" w:after="60"/>
    </w:pPr>
    <w:rPr>
      <w:color w:val="918585"/>
      <w:sz w:val="22"/>
    </w:rPr>
  </w:style>
  <w:style w:type="paragraph" w:customStyle="1" w:styleId="SideHeading">
    <w:name w:val="Side Heading"/>
    <w:basedOn w:val="HeadingBase"/>
    <w:rsid w:val="00FA6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94D"/>
    <w:pPr>
      <w:numPr>
        <w:numId w:val="10"/>
      </w:numPr>
    </w:pPr>
  </w:style>
  <w:style w:type="paragraph" w:styleId="PlainText">
    <w:name w:val="Plain Text"/>
    <w:basedOn w:val="Normal"/>
    <w:link w:val="PlainTextChar"/>
    <w:rsid w:val="00FA694D"/>
    <w:rPr>
      <w:sz w:val="20"/>
    </w:rPr>
  </w:style>
  <w:style w:type="character" w:customStyle="1" w:styleId="PlainTextChar">
    <w:name w:val="Plain Text Char"/>
    <w:basedOn w:val="DefaultParagraphFont"/>
    <w:link w:val="PlainText"/>
    <w:rsid w:val="00FA694D"/>
    <w:rPr>
      <w:rFonts w:ascii="Courier New" w:eastAsia="Times New Roman" w:hAnsi="Courier New" w:cs="Times New Roman"/>
      <w:sz w:val="20"/>
      <w:szCs w:val="20"/>
      <w:lang w:eastAsia="en-US"/>
    </w:rPr>
  </w:style>
  <w:style w:type="character" w:customStyle="1" w:styleId="MenuOption">
    <w:name w:val="Menu Option"/>
    <w:basedOn w:val="DefaultParagraphFont"/>
    <w:rsid w:val="00FA694D"/>
    <w:rPr>
      <w:b/>
      <w:smallCaps/>
    </w:rPr>
  </w:style>
  <w:style w:type="paragraph" w:customStyle="1" w:styleId="TableListNumber">
    <w:name w:val="Table List Number"/>
    <w:basedOn w:val="ListNumber"/>
    <w:rsid w:val="00FA694D"/>
    <w:pPr>
      <w:numPr>
        <w:numId w:val="0"/>
      </w:numPr>
    </w:pPr>
  </w:style>
  <w:style w:type="paragraph" w:styleId="TOC4">
    <w:name w:val="toc 4"/>
    <w:basedOn w:val="TOCBase"/>
    <w:next w:val="Normal"/>
    <w:semiHidden/>
    <w:rsid w:val="00FA694D"/>
    <w:pPr>
      <w:tabs>
        <w:tab w:val="right" w:leader="dot" w:pos="9071"/>
      </w:tabs>
      <w:ind w:left="1701"/>
    </w:pPr>
  </w:style>
  <w:style w:type="paragraph" w:customStyle="1" w:styleId="ListAlpha">
    <w:name w:val="List Alpha"/>
    <w:basedOn w:val="List"/>
    <w:rsid w:val="00FA694D"/>
    <w:pPr>
      <w:numPr>
        <w:numId w:val="7"/>
      </w:numPr>
    </w:pPr>
  </w:style>
  <w:style w:type="paragraph" w:customStyle="1" w:styleId="ListAlpha2">
    <w:name w:val="List Alpha 2"/>
    <w:basedOn w:val="List2"/>
    <w:rsid w:val="00FA694D"/>
    <w:pPr>
      <w:numPr>
        <w:numId w:val="6"/>
      </w:numPr>
    </w:pPr>
  </w:style>
  <w:style w:type="paragraph" w:styleId="List2">
    <w:name w:val="List 2"/>
    <w:basedOn w:val="BodyText"/>
    <w:rsid w:val="00FA694D"/>
    <w:pPr>
      <w:tabs>
        <w:tab w:val="left" w:pos="680"/>
      </w:tabs>
      <w:spacing w:before="60" w:after="60"/>
      <w:ind w:left="680" w:hanging="340"/>
    </w:pPr>
  </w:style>
  <w:style w:type="paragraph" w:styleId="List3">
    <w:name w:val="List 3"/>
    <w:basedOn w:val="BodyText"/>
    <w:rsid w:val="00FA694D"/>
    <w:pPr>
      <w:tabs>
        <w:tab w:val="left" w:pos="1021"/>
      </w:tabs>
      <w:spacing w:before="60" w:after="60"/>
      <w:ind w:left="1020" w:hanging="340"/>
    </w:pPr>
  </w:style>
  <w:style w:type="paragraph" w:styleId="List4">
    <w:name w:val="List 4"/>
    <w:basedOn w:val="BodyText"/>
    <w:rsid w:val="00FA694D"/>
    <w:pPr>
      <w:tabs>
        <w:tab w:val="left" w:pos="1361"/>
      </w:tabs>
      <w:spacing w:before="60" w:after="60"/>
      <w:ind w:left="1361" w:hanging="340"/>
    </w:pPr>
  </w:style>
  <w:style w:type="paragraph" w:styleId="List5">
    <w:name w:val="List 5"/>
    <w:basedOn w:val="BodyText"/>
    <w:rsid w:val="00FA694D"/>
    <w:pPr>
      <w:tabs>
        <w:tab w:val="left" w:pos="1701"/>
      </w:tabs>
      <w:spacing w:before="60" w:after="60"/>
      <w:ind w:left="1701" w:hanging="340"/>
    </w:pPr>
  </w:style>
  <w:style w:type="paragraph" w:styleId="ListBullet3">
    <w:name w:val="List Bullet 3"/>
    <w:basedOn w:val="List3"/>
    <w:rsid w:val="00FA694D"/>
    <w:pPr>
      <w:numPr>
        <w:numId w:val="13"/>
      </w:numPr>
      <w:tabs>
        <w:tab w:val="clear" w:pos="1021"/>
      </w:tabs>
      <w:ind w:left="1037" w:hanging="357"/>
    </w:pPr>
  </w:style>
  <w:style w:type="paragraph" w:styleId="ListBullet4">
    <w:name w:val="List Bullet 4"/>
    <w:basedOn w:val="List4"/>
    <w:rsid w:val="00FA694D"/>
    <w:pPr>
      <w:numPr>
        <w:numId w:val="1"/>
      </w:numPr>
    </w:pPr>
  </w:style>
  <w:style w:type="paragraph" w:styleId="ListBullet5">
    <w:name w:val="List Bullet 5"/>
    <w:basedOn w:val="List5"/>
    <w:rsid w:val="00FA694D"/>
    <w:pPr>
      <w:numPr>
        <w:numId w:val="2"/>
      </w:numPr>
    </w:pPr>
  </w:style>
  <w:style w:type="paragraph" w:styleId="ListContinue2">
    <w:name w:val="List Continue 2"/>
    <w:basedOn w:val="List2"/>
    <w:rsid w:val="00FA694D"/>
    <w:pPr>
      <w:ind w:firstLine="0"/>
    </w:pPr>
  </w:style>
  <w:style w:type="paragraph" w:styleId="ListContinue3">
    <w:name w:val="List Continue 3"/>
    <w:basedOn w:val="List3"/>
    <w:rsid w:val="00FA694D"/>
    <w:pPr>
      <w:ind w:left="1021" w:firstLine="0"/>
    </w:pPr>
  </w:style>
  <w:style w:type="paragraph" w:styleId="ListContinue4">
    <w:name w:val="List Continue 4"/>
    <w:basedOn w:val="List4"/>
    <w:rsid w:val="00FA694D"/>
    <w:pPr>
      <w:ind w:firstLine="0"/>
    </w:pPr>
  </w:style>
  <w:style w:type="paragraph" w:styleId="ListContinue5">
    <w:name w:val="List Continue 5"/>
    <w:basedOn w:val="List5"/>
    <w:rsid w:val="00FA694D"/>
    <w:pPr>
      <w:ind w:firstLine="0"/>
    </w:pPr>
  </w:style>
  <w:style w:type="paragraph" w:styleId="ListNumber3">
    <w:name w:val="List Number 3"/>
    <w:basedOn w:val="List3"/>
    <w:rsid w:val="00FA694D"/>
    <w:pPr>
      <w:numPr>
        <w:numId w:val="3"/>
      </w:numPr>
    </w:pPr>
  </w:style>
  <w:style w:type="paragraph" w:styleId="ListNumber4">
    <w:name w:val="List Number 4"/>
    <w:basedOn w:val="List4"/>
    <w:rsid w:val="00FA694D"/>
    <w:pPr>
      <w:numPr>
        <w:numId w:val="4"/>
      </w:numPr>
    </w:pPr>
  </w:style>
  <w:style w:type="paragraph" w:styleId="ListNumber5">
    <w:name w:val="List Number 5"/>
    <w:basedOn w:val="List5"/>
    <w:rsid w:val="00FA694D"/>
    <w:pPr>
      <w:numPr>
        <w:numId w:val="5"/>
      </w:numPr>
    </w:pPr>
  </w:style>
  <w:style w:type="paragraph" w:styleId="BlockText">
    <w:name w:val="Block Text"/>
    <w:basedOn w:val="Normal"/>
    <w:rsid w:val="00FA694D"/>
    <w:pPr>
      <w:spacing w:after="120"/>
      <w:ind w:left="1440" w:right="1440"/>
    </w:pPr>
  </w:style>
  <w:style w:type="character" w:customStyle="1" w:styleId="Subscript">
    <w:name w:val="Subscript"/>
    <w:basedOn w:val="DefaultParagraphFont"/>
    <w:rsid w:val="00FA694D"/>
    <w:rPr>
      <w:sz w:val="16"/>
      <w:vertAlign w:val="subscript"/>
    </w:rPr>
  </w:style>
  <w:style w:type="character" w:customStyle="1" w:styleId="Superscript">
    <w:name w:val="Superscript"/>
    <w:basedOn w:val="DefaultParagraphFont"/>
    <w:rsid w:val="00FA694D"/>
    <w:rPr>
      <w:sz w:val="16"/>
      <w:vertAlign w:val="superscript"/>
    </w:rPr>
  </w:style>
  <w:style w:type="character" w:customStyle="1" w:styleId="Symbols">
    <w:name w:val="Symbols"/>
    <w:basedOn w:val="DefaultParagraphFont"/>
    <w:rsid w:val="00FA694D"/>
    <w:rPr>
      <w:rFonts w:ascii="Symbol" w:hAnsi="Symbol"/>
    </w:rPr>
  </w:style>
  <w:style w:type="character" w:customStyle="1" w:styleId="MenuOptions">
    <w:name w:val="Menu Options"/>
    <w:basedOn w:val="DefaultParagraphFont"/>
    <w:rsid w:val="00FA694D"/>
    <w:rPr>
      <w:rFonts w:ascii="Arial Narrow" w:hAnsi="Arial Narrow"/>
      <w:smallCaps/>
    </w:rPr>
  </w:style>
  <w:style w:type="character" w:customStyle="1" w:styleId="Buttons">
    <w:name w:val="Buttons"/>
    <w:basedOn w:val="DefaultParagraphFont"/>
    <w:rsid w:val="00FA694D"/>
    <w:rPr>
      <w:b/>
    </w:rPr>
  </w:style>
  <w:style w:type="character" w:customStyle="1" w:styleId="Underlined">
    <w:name w:val="Underlined"/>
    <w:basedOn w:val="DefaultParagraphFont"/>
    <w:rsid w:val="00FA694D"/>
    <w:rPr>
      <w:u w:val="single"/>
    </w:rPr>
  </w:style>
  <w:style w:type="paragraph" w:customStyle="1" w:styleId="TableBodyTextRight">
    <w:name w:val="Table Body Text Right"/>
    <w:basedOn w:val="TableBodyText"/>
    <w:rsid w:val="00FA694D"/>
    <w:pPr>
      <w:widowControl w:val="0"/>
      <w:autoSpaceDE w:val="0"/>
      <w:autoSpaceDN w:val="0"/>
      <w:adjustRightInd w:val="0"/>
      <w:jc w:val="right"/>
    </w:pPr>
    <w:rPr>
      <w:rFonts w:cs="Arial"/>
      <w:szCs w:val="18"/>
    </w:rPr>
  </w:style>
  <w:style w:type="paragraph" w:customStyle="1" w:styleId="CopyrightText">
    <w:name w:val="Copyright Text"/>
    <w:basedOn w:val="BodyText"/>
    <w:rsid w:val="00FA694D"/>
    <w:rPr>
      <w:sz w:val="18"/>
    </w:rPr>
  </w:style>
  <w:style w:type="paragraph" w:customStyle="1" w:styleId="BodySmallRight">
    <w:name w:val="Body Small Right"/>
    <w:basedOn w:val="BodyTextRight"/>
    <w:rsid w:val="00FA694D"/>
    <w:rPr>
      <w:sz w:val="18"/>
      <w:szCs w:val="18"/>
    </w:rPr>
  </w:style>
  <w:style w:type="paragraph" w:customStyle="1" w:styleId="MarginEdition">
    <w:name w:val="Margin Edition"/>
    <w:basedOn w:val="MarginNote"/>
    <w:rsid w:val="00FA694D"/>
    <w:pPr>
      <w:spacing w:before="0" w:after="0"/>
    </w:pPr>
    <w:rPr>
      <w:rFonts w:ascii="Times New Roman" w:hAnsi="Times New Roman"/>
      <w:color w:val="999999"/>
    </w:rPr>
  </w:style>
  <w:style w:type="paragraph" w:customStyle="1" w:styleId="Spacer">
    <w:name w:val="Spacer"/>
    <w:basedOn w:val="Normal"/>
    <w:rsid w:val="00FA694D"/>
    <w:rPr>
      <w:sz w:val="2"/>
      <w:szCs w:val="2"/>
    </w:rPr>
  </w:style>
  <w:style w:type="character" w:customStyle="1" w:styleId="Small">
    <w:name w:val="Small"/>
    <w:basedOn w:val="DefaultParagraphFont"/>
    <w:rsid w:val="00FA694D"/>
    <w:rPr>
      <w:sz w:val="16"/>
    </w:rPr>
  </w:style>
  <w:style w:type="paragraph" w:customStyle="1" w:styleId="WideTable">
    <w:name w:val="Wide Table"/>
    <w:basedOn w:val="Normal"/>
    <w:rsid w:val="00FA694D"/>
    <w:pPr>
      <w:ind w:left="-1418"/>
    </w:pPr>
    <w:rPr>
      <w:sz w:val="2"/>
      <w:szCs w:val="2"/>
    </w:rPr>
  </w:style>
  <w:style w:type="character" w:styleId="PageNumber">
    <w:name w:val="page number"/>
    <w:basedOn w:val="DefaultParagraphFont"/>
    <w:rsid w:val="00FA694D"/>
  </w:style>
  <w:style w:type="paragraph" w:styleId="Quote">
    <w:name w:val="Quote"/>
    <w:basedOn w:val="Heading1"/>
    <w:link w:val="QuoteChar"/>
    <w:qFormat/>
    <w:rsid w:val="00FA694D"/>
    <w:rPr>
      <w:b w:val="0"/>
      <w:sz w:val="72"/>
      <w:szCs w:val="72"/>
      <w:lang w:val="en-NZ"/>
    </w:rPr>
  </w:style>
  <w:style w:type="character" w:customStyle="1" w:styleId="QuoteChar">
    <w:name w:val="Quote Char"/>
    <w:basedOn w:val="DefaultParagraphFont"/>
    <w:link w:val="Quote"/>
    <w:rsid w:val="00FA6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94D"/>
    <w:pPr>
      <w:pageBreakBefore/>
    </w:pPr>
  </w:style>
  <w:style w:type="paragraph" w:customStyle="1" w:styleId="Border">
    <w:name w:val="Border"/>
    <w:basedOn w:val="Normal"/>
    <w:qFormat/>
    <w:rsid w:val="00FA6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94D"/>
    <w:rPr>
      <w:b/>
      <w:bCs/>
      <w:i/>
      <w:iCs/>
      <w:color w:val="auto"/>
    </w:rPr>
  </w:style>
  <w:style w:type="paragraph" w:styleId="IntenseQuote">
    <w:name w:val="Intense Quote"/>
    <w:basedOn w:val="Normal"/>
    <w:next w:val="Normal"/>
    <w:link w:val="IntenseQuoteChar"/>
    <w:uiPriority w:val="30"/>
    <w:qFormat/>
    <w:rsid w:val="00FA6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94D"/>
    <w:rPr>
      <w:smallCaps/>
      <w:color w:val="auto"/>
      <w:u w:val="single"/>
    </w:rPr>
  </w:style>
  <w:style w:type="character" w:styleId="IntenseReference">
    <w:name w:val="Intense Reference"/>
    <w:basedOn w:val="DefaultParagraphFont"/>
    <w:uiPriority w:val="32"/>
    <w:qFormat/>
    <w:rsid w:val="00FA694D"/>
    <w:rPr>
      <w:b/>
      <w:bCs/>
      <w:smallCaps/>
      <w:color w:val="auto"/>
      <w:spacing w:val="5"/>
      <w:u w:val="single"/>
    </w:rPr>
  </w:style>
  <w:style w:type="paragraph" w:customStyle="1" w:styleId="2ColumnHeading">
    <w:name w:val="2Column Heading"/>
    <w:basedOn w:val="BodyText"/>
    <w:qFormat/>
    <w:rsid w:val="00FA694D"/>
    <w:pPr>
      <w:spacing w:after="60"/>
      <w:ind w:left="-2268"/>
    </w:pPr>
    <w:rPr>
      <w:b/>
    </w:rPr>
  </w:style>
  <w:style w:type="paragraph" w:customStyle="1" w:styleId="Heading1TOC">
    <w:name w:val="Heading1 TOC"/>
    <w:basedOn w:val="Normal"/>
    <w:qFormat/>
    <w:rsid w:val="00FA694D"/>
    <w:pPr>
      <w:spacing w:before="240" w:after="120"/>
    </w:pPr>
    <w:rPr>
      <w:rFonts w:ascii="Times New Roman" w:hAnsi="Times New Roman"/>
      <w:b/>
      <w:sz w:val="32"/>
    </w:rPr>
  </w:style>
  <w:style w:type="paragraph" w:customStyle="1" w:styleId="Heading2TOC">
    <w:name w:val="Heading2 TOC"/>
    <w:basedOn w:val="Normal"/>
    <w:qFormat/>
    <w:rsid w:val="00FA694D"/>
    <w:pPr>
      <w:spacing w:before="240" w:after="60"/>
    </w:pPr>
    <w:rPr>
      <w:rFonts w:ascii="Times New Roman" w:hAnsi="Times New Roman"/>
      <w:b/>
      <w:sz w:val="28"/>
    </w:rPr>
  </w:style>
  <w:style w:type="character" w:customStyle="1" w:styleId="Underline">
    <w:name w:val="Underline"/>
    <w:basedOn w:val="DefaultParagraphFont"/>
    <w:qFormat/>
    <w:rsid w:val="00FA694D"/>
    <w:rPr>
      <w:u w:val="single"/>
    </w:rPr>
  </w:style>
  <w:style w:type="character" w:customStyle="1" w:styleId="BoldandItalics">
    <w:name w:val="Bold and Italics"/>
    <w:qFormat/>
    <w:rsid w:val="00FA694D"/>
    <w:rPr>
      <w:b/>
      <w:i/>
      <w:u w:val="none"/>
    </w:rPr>
  </w:style>
  <w:style w:type="paragraph" w:styleId="BalloonText">
    <w:name w:val="Balloon Text"/>
    <w:basedOn w:val="Normal"/>
    <w:link w:val="BalloonTextChar"/>
    <w:rsid w:val="00FA694D"/>
    <w:rPr>
      <w:rFonts w:ascii="Tahoma" w:hAnsi="Tahoma" w:cs="Tahoma"/>
      <w:sz w:val="16"/>
      <w:szCs w:val="16"/>
    </w:rPr>
  </w:style>
  <w:style w:type="character" w:customStyle="1" w:styleId="BalloonTextChar">
    <w:name w:val="Balloon Text Char"/>
    <w:basedOn w:val="DefaultParagraphFont"/>
    <w:link w:val="BalloonText"/>
    <w:rsid w:val="00FA6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9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94D"/>
    <w:rPr>
      <w:b/>
      <w:color w:val="660033"/>
      <w:spacing w:val="0"/>
    </w:rPr>
  </w:style>
  <w:style w:type="paragraph" w:customStyle="1" w:styleId="Nameditemlist">
    <w:name w:val="Named item list"/>
    <w:basedOn w:val="BodyText"/>
    <w:qFormat/>
    <w:rsid w:val="00FA69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4021</Words>
  <Characters>23850</Characters>
  <Application>Microsoft Office Word</Application>
  <DocSecurity>0</DocSecurity>
  <Lines>1295</Lines>
  <Paragraphs>571</Paragraphs>
  <ScaleCrop>false</ScaleCrop>
  <Company>Author-it Software Corporation Ltd.</Company>
  <LinksUpToDate>false</LinksUpToDate>
  <CharactersWithSpaces>27322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TDMMR5907A OPERATE STEAM PROPULSION PLANT AND ASSOCIATED SYSTEMS ON STEAM VESSELS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2014-05-07T01:39:00Z</dcterms:created>
  <dcterms:modified xsi:type="dcterms:W3CDTF">2014-05-07T01:39:00Z</dcterms:modified>
</cp:coreProperties>
</file>