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2C43" w:rsidP="007F2C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TDMMR5407B CARRY OUT REFUELLING AND FUEL TRANSFER OPERATIONS</w:t>
      </w:r>
      <w:r>
        <w:fldChar w:fldCharType="end"/>
      </w:r>
    </w:p>
    <w:p w:rsidR="007F2C43" w:rsidP="007F2C43">
      <w:pPr>
        <w:pStyle w:val="Version"/>
        <w:sectPr w:rsidSect="00E46E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46EB0" w:rsidP="00E46EB0">
      <w:pPr>
        <w:pStyle w:val="SuperHeading"/>
      </w:pPr>
      <w:r w:rsidRPr="00E46EB0">
        <w:t>TDMMR5407B CARRY OUT REFUELLING AND FUEL TRANSFER OPERATIONS</w:t>
      </w:r>
    </w:p>
    <w:p w:rsidR="00000000" w:rsidRPr="00E46EB0" w:rsidP="00E46EB0">
      <w:pPr>
        <w:pStyle w:val="SuperHeading"/>
      </w:pPr>
    </w:p>
    <w:p w:rsidR="00000000" w:rsidRPr="00E46EB0" w:rsidP="00E46EB0">
      <w:pPr>
        <w:pStyle w:val="Heading1"/>
      </w:pPr>
      <w:bookmarkStart w:id="1" w:name="O_152199"/>
      <w:bookmarkEnd w:id="1"/>
      <w:r w:rsidRPr="00E46EB0">
        <w:t>Modification History</w:t>
      </w:r>
    </w:p>
    <w:p w:rsidR="00000000" w:rsidRPr="00E46EB0" w:rsidP="00E46EB0">
      <w:pPr>
        <w:pStyle w:val="BodyText"/>
      </w:pPr>
      <w:r w:rsidRPr="00E46EB0">
        <w:t>Not applicable.</w:t>
      </w:r>
    </w:p>
    <w:p w:rsidR="00000000" w:rsidRPr="00E46EB0" w:rsidP="00E46EB0">
      <w:pPr>
        <w:pStyle w:val="AllowPageBreak"/>
      </w:pPr>
    </w:p>
    <w:p w:rsidR="00000000" w:rsidRPr="00E46EB0" w:rsidP="00E46EB0">
      <w:pPr>
        <w:pStyle w:val="Heading1"/>
      </w:pPr>
      <w:bookmarkStart w:id="2" w:name="O_152200"/>
      <w:bookmarkEnd w:id="2"/>
      <w:r w:rsidRPr="00E46EB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t>UNIT DESCRIPTOR:</w:t>
            </w:r>
          </w:p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 xml:space="preserve">This unit involves the skills and knowledge required to supervise or carry out routine </w:t>
            </w:r>
            <w:r w:rsidRPr="00E46EB0">
              <w:rPr>
                <w:rStyle w:val="SpecialBold"/>
              </w:rPr>
              <w:t>refuelling and fuel transfer operations as per relevant sections of Part D of the National Standard for Commercial Vessels</w:t>
            </w:r>
            <w:r w:rsidRPr="00E46EB0">
              <w:t xml:space="preserve"> (</w:t>
            </w:r>
            <w:r w:rsidRPr="00E46EB0">
              <w:rPr>
                <w:rStyle w:val="SpecialBold"/>
              </w:rPr>
              <w:t>NSCV</w:t>
            </w:r>
            <w:r w:rsidRPr="00E46EB0">
              <w:t xml:space="preserve">). </w:t>
            </w:r>
            <w:r w:rsidRPr="00E46EB0">
              <w:rPr>
                <w:rStyle w:val="SpecialBold"/>
              </w:rPr>
              <w:t xml:space="preserve">The commercial vessel should be considered as operating within the coastal environment and include the transfer of fuel from </w:t>
            </w:r>
            <w:r w:rsidRPr="00E46EB0">
              <w:rPr>
                <w:rStyle w:val="SpecialBold"/>
              </w:rPr>
              <w:t>one vessel to another while at sea</w:t>
            </w:r>
            <w:r w:rsidRPr="00E46EB0">
              <w:t>.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</w:p>
        </w:tc>
      </w:tr>
    </w:tbl>
    <w:p w:rsidR="00000000" w:rsidRPr="00E46EB0" w:rsidP="00E46EB0">
      <w:pPr>
        <w:pStyle w:val="BodyText"/>
      </w:pPr>
    </w:p>
    <w:p w:rsidR="00000000" w:rsidRPr="00E46EB0" w:rsidP="00E46EB0">
      <w:pPr>
        <w:pStyle w:val="AllowPageBreak"/>
      </w:pPr>
    </w:p>
    <w:p w:rsidR="00000000" w:rsidRPr="00E46EB0" w:rsidP="00E46EB0">
      <w:pPr>
        <w:pStyle w:val="Heading1"/>
      </w:pPr>
      <w:bookmarkStart w:id="3" w:name="O_152201"/>
      <w:bookmarkEnd w:id="3"/>
      <w:r w:rsidRPr="00E46EB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t xml:space="preserve">The unit has applications in the qualification for Coxswain, Master 5 and Marine Engine Drivers Grades 1, 2 and 3 as per relevant sections </w:t>
            </w:r>
            <w:r w:rsidRPr="00E46EB0">
              <w:t>of Part D of the National Standard for Commercial Vessels (NSCV), i.e. Certificate II in Transport&amp;Distribution (Coastal Maritime Operations - Master Class 5), Certificate III in Transport&amp;Distribution (Coastal Maritime Operations - Master Class 4),</w:t>
            </w:r>
          </w:p>
          <w:p w:rsidR="00000000" w:rsidRPr="00E46EB0" w:rsidP="00E46EB0">
            <w:pPr>
              <w:pStyle w:val="BodyText"/>
            </w:pPr>
            <w:r w:rsidRPr="00E46EB0">
              <w:t>Certif</w:t>
            </w:r>
            <w:r w:rsidRPr="00E46EB0">
              <w:t>icate II, in Transport&amp;Distribution (Marine Engine Driving - Grade 3),</w:t>
            </w:r>
          </w:p>
          <w:p w:rsidR="00000000" w:rsidRPr="00E46EB0" w:rsidP="00E46EB0">
            <w:pPr>
              <w:pStyle w:val="BodyText"/>
            </w:pPr>
            <w:r w:rsidRPr="00E46EB0">
              <w:t>Certificate III in Transport&amp;Distribution (Marine Engine Driving - Grade 2) and</w:t>
            </w:r>
          </w:p>
          <w:p w:rsidR="00000000" w:rsidRPr="00E46EB0" w:rsidP="00E46EB0">
            <w:pPr>
              <w:pStyle w:val="BodyText"/>
            </w:pPr>
            <w:r w:rsidRPr="00E46EB0">
              <w:t>Certificate IV in Transport&amp;Distribution (Marine Engine Driving - Grade 1).</w:t>
            </w:r>
          </w:p>
        </w:tc>
      </w:tr>
    </w:tbl>
    <w:p w:rsidR="00000000" w:rsidRPr="00E46EB0" w:rsidP="00E46EB0">
      <w:pPr>
        <w:pStyle w:val="BodyText"/>
      </w:pPr>
    </w:p>
    <w:p w:rsidR="00000000" w:rsidRPr="00E46EB0" w:rsidP="00E46EB0">
      <w:pPr>
        <w:pStyle w:val="AllowPageBreak"/>
      </w:pPr>
    </w:p>
    <w:p w:rsidR="00000000" w:rsidRPr="00E46EB0" w:rsidP="00E46EB0">
      <w:pPr>
        <w:pStyle w:val="Heading1"/>
      </w:pPr>
      <w:bookmarkStart w:id="4" w:name="O_152202"/>
      <w:bookmarkEnd w:id="4"/>
      <w:r w:rsidRPr="00E46EB0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Licensing</w:t>
            </w:r>
            <w:r w:rsidRPr="00E46EB0">
              <w:t>/</w:t>
            </w:r>
            <w:r w:rsidRPr="00E46EB0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t>The unit is consistent with the relevant sections of State and Territory maritime regulations and NSCV/USL Code for Coxswain, Master 5 and Marine Engine Drivers Grades 1, 2 and 3 on commer</w:t>
            </w:r>
            <w:r w:rsidRPr="00E46EB0">
              <w:t>cial vessels operating in coastal waters.</w:t>
            </w:r>
          </w:p>
        </w:tc>
      </w:tr>
    </w:tbl>
    <w:p w:rsidR="00000000" w:rsidRPr="00E46EB0" w:rsidP="00E46EB0">
      <w:pPr>
        <w:pStyle w:val="BodyText"/>
      </w:pPr>
    </w:p>
    <w:p w:rsidR="00000000" w:rsidRPr="00E46EB0" w:rsidP="00E46EB0">
      <w:pPr>
        <w:pStyle w:val="AllowPageBreak"/>
      </w:pPr>
    </w:p>
    <w:p w:rsidR="00000000" w:rsidRPr="00E46EB0" w:rsidP="00E46EB0">
      <w:pPr>
        <w:pStyle w:val="Heading1"/>
      </w:pPr>
      <w:bookmarkStart w:id="5" w:name="O_152203"/>
      <w:bookmarkEnd w:id="5"/>
      <w:r w:rsidRPr="00E46EB0">
        <w:t>Pre-Requisites</w:t>
      </w:r>
    </w:p>
    <w:p w:rsidR="00000000" w:rsidRPr="00E46EB0" w:rsidP="00E46EB0">
      <w:pPr>
        <w:pStyle w:val="BodyText"/>
      </w:pPr>
      <w:r w:rsidRPr="00E46EB0">
        <w:t>Not applicable.</w:t>
      </w:r>
    </w:p>
    <w:p w:rsidR="00000000" w:rsidRPr="00E46EB0" w:rsidP="00E46EB0">
      <w:pPr>
        <w:pStyle w:val="AllowPageBreak"/>
      </w:pPr>
    </w:p>
    <w:p w:rsidR="00000000" w:rsidRPr="00E46EB0" w:rsidP="00E46EB0">
      <w:pPr>
        <w:pStyle w:val="Heading1"/>
      </w:pPr>
      <w:bookmarkStart w:id="6" w:name="O_152204"/>
      <w:bookmarkEnd w:id="6"/>
      <w:r w:rsidRPr="00E46EB0">
        <w:t>Employability Skills Information</w:t>
      </w:r>
    </w:p>
    <w:p w:rsidR="00000000" w:rsidRPr="00E46EB0" w:rsidP="00E46EB0">
      <w:pPr>
        <w:pStyle w:val="BodyText"/>
      </w:pPr>
      <w:r w:rsidRPr="00E46EB0">
        <w:t>Not applicable.</w:t>
      </w:r>
    </w:p>
    <w:p w:rsidR="00000000" w:rsidRPr="00E46EB0" w:rsidP="00E46EB0">
      <w:pPr>
        <w:pStyle w:val="AllowPageBreak"/>
      </w:pPr>
    </w:p>
    <w:p w:rsidR="00000000" w:rsidRPr="00E46EB0" w:rsidP="00E46EB0">
      <w:pPr>
        <w:pStyle w:val="Heading1"/>
      </w:pPr>
      <w:bookmarkStart w:id="7" w:name="O_152205"/>
      <w:bookmarkEnd w:id="7"/>
      <w:r w:rsidRPr="00E46EB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505"/>
      </w:tblGrid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rPr>
                <w:rStyle w:val="Emphasis"/>
              </w:rPr>
              <w:t>Elements describe the essential outcomes of a unit of competency</w:t>
            </w:r>
            <w:r w:rsidRPr="00E46EB0">
              <w:t>.</w:t>
            </w:r>
          </w:p>
        </w:tc>
        <w:tc>
          <w:tcPr>
            <w:tcW w:w="650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rPr>
                <w:rStyle w:val="Emphasis"/>
              </w:rPr>
              <w:t>Performance Criteria describe the required performance needed to demonstrate achievement of the element</w:t>
            </w:r>
            <w:r w:rsidRPr="00E46EB0">
              <w:t xml:space="preserve">. </w:t>
            </w:r>
            <w:r w:rsidRPr="00E46EB0">
              <w:rPr>
                <w:rStyle w:val="Emphasis"/>
              </w:rPr>
              <w:t>Assessment of performance is to be consistent with the Evidence Guide</w:t>
            </w:r>
            <w:r w:rsidRPr="00E46EB0">
              <w:t>.</w:t>
            </w:r>
          </w:p>
        </w:tc>
      </w:tr>
    </w:tbl>
    <w:p w:rsidR="00000000" w:rsidRPr="00E46EB0" w:rsidP="00E46EB0">
      <w:pPr>
        <w:pStyle w:val="BodyText"/>
      </w:pPr>
    </w:p>
    <w:p w:rsidR="00000000" w:rsidRPr="00E46EB0" w:rsidP="00E46EB0">
      <w:pPr>
        <w:pStyle w:val="AllowPageBreak"/>
      </w:pPr>
    </w:p>
    <w:p w:rsidR="00000000" w:rsidRPr="00E46EB0" w:rsidP="00E46EB0">
      <w:pPr>
        <w:pStyle w:val="Heading1"/>
      </w:pPr>
      <w:bookmarkStart w:id="8" w:name="O_152206"/>
      <w:bookmarkEnd w:id="8"/>
      <w:r w:rsidRPr="00E46E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04"/>
        <w:gridCol w:w="31"/>
      </w:tblGrid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rPr>
                <w:rStyle w:val="SpecialBold"/>
              </w:rPr>
              <w:t>ELEMENT</w:t>
            </w:r>
          </w:p>
        </w:tc>
        <w:tc>
          <w:tcPr>
            <w:tcW w:w="639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PERFORMANCE CRITERIA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Plan refuelling or fuel transfer operation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Refuelling and fuel transfer planning activities are carried out as per procedures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The amount and positioning of the fuel on board the receiving vessel are calculated using established methods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The impacts of refuelling on stability and the safety of the vessel are determined and taken into account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d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Appropriate action is taken to ensure that all required safety equipment is available, including emergency response stores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rPr>
                <w:rStyle w:val="SpecialBold"/>
              </w:rPr>
              <w:t>2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Prepare vessel for refuelling or fuel transfer operations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a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t>Pre-refuelling or pre-fuel-transfer activities and precautions are carried out as per established procedures and regulatory requirements</w:t>
            </w:r>
          </w:p>
        </w:tc>
      </w:tr>
    </w:tbl>
    <w:p w:rsidR="00000000" w:rsidRPr="00E46EB0" w:rsidP="00E46EB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04"/>
        <w:gridCol w:w="31"/>
      </w:tblGrid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</w:p>
          <w:p w:rsidR="00000000" w:rsidRPr="00E46EB0" w:rsidP="00E46EB0">
            <w:pPr>
              <w:pStyle w:val="BodyText"/>
            </w:pPr>
            <w:r w:rsidRPr="00E46EB0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PERFORMANCE CRITERIA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rPr>
                <w:rStyle w:val="SpecialBold"/>
              </w:rPr>
              <w:t>3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Complete refuelling or</w:t>
            </w:r>
            <w:r w:rsidRPr="00E46EB0">
              <w:t xml:space="preserve"> </w:t>
            </w:r>
            <w:r w:rsidRPr="00E46EB0">
              <w:rPr>
                <w:rStyle w:val="SpecialBold"/>
              </w:rPr>
              <w:t>fuel transfer</w:t>
            </w:r>
            <w:r w:rsidRPr="00E46EB0">
              <w:t xml:space="preserve"> 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Refuelling or fuel transfer process is carried out in accordance with established procedures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Appropriate action is taken to ensure that communications are maintained between all persons involved in the refuelling or fuel transfer operation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The safety boundary is maintained for the full duration of the operation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rPr>
                <w:rStyle w:val="SpecialBold"/>
              </w:rPr>
              <w:t>4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Respond to emergency situation</w:t>
            </w:r>
            <w:r w:rsidRPr="00E46EB0">
              <w:t xml:space="preserve"> 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An appropriate response is made to an emergency situation in accordance with established emergency and practised procedures.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Safety zone is closed off and isolated in accordance with emergency procedures and regulatory requirements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 xml:space="preserve">All persons within the safety zone are correctly notified and their activities managed to ensure safety in accordance with emergency procedures </w:t>
            </w:r>
            <w:r w:rsidRPr="00E46EB0">
              <w:t>and regulatory requirements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d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t>Appropriate authorities are notified and actions taken as directed in accordance with emergency procedures and regulatory requirements</w:t>
            </w:r>
          </w:p>
        </w:tc>
      </w:tr>
    </w:tbl>
    <w:p w:rsidR="00000000" w:rsidRPr="00E46EB0" w:rsidP="00E46EB0">
      <w:pPr>
        <w:pStyle w:val="BodyText"/>
      </w:pPr>
    </w:p>
    <w:p w:rsidR="00000000" w:rsidRPr="00E46EB0" w:rsidP="00E46EB0">
      <w:pPr>
        <w:pStyle w:val="AllowPageBreak"/>
      </w:pPr>
    </w:p>
    <w:p w:rsidR="00000000" w:rsidRPr="00E46EB0" w:rsidP="00E46EB0">
      <w:pPr>
        <w:pStyle w:val="Heading1"/>
      </w:pPr>
      <w:bookmarkStart w:id="9" w:name="O_152207"/>
      <w:bookmarkEnd w:id="9"/>
      <w:r w:rsidRPr="00E46EB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353"/>
        <w:gridCol w:w="7565"/>
      </w:tblGrid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REQUIRED KNOWLEDGE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Emphasis"/>
              </w:rPr>
              <w:t>This describes the knowledge required for this unit</w:t>
            </w:r>
            <w:r w:rsidRPr="00E46EB0">
              <w:t>.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1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Relevant OH&amp;S and pollution control legislation and policies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2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Refuelling and fuel transfer procedures applying to commercial coastal vessels between 10 and 35 m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3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Functions and responsibilities of crew members during refuelling and fuel transfer operations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4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Hazards and related safety precautions to be observed during refuelling and fuel transfer operations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5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Key information related to special hazards, precautio</w:t>
            </w:r>
            <w:r w:rsidRPr="00E46EB0">
              <w:t>ns and related procedures applicable during refuelling or fuel transfer, including: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a</w:t>
            </w:r>
          </w:p>
        </w:tc>
        <w:tc>
          <w:tcPr>
            <w:tcW w:w="7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tank layouts and valve and pipe systems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b</w:t>
            </w:r>
          </w:p>
        </w:tc>
        <w:tc>
          <w:tcPr>
            <w:tcW w:w="7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physical properties of fuels, gases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c</w:t>
            </w:r>
          </w:p>
        </w:tc>
        <w:tc>
          <w:tcPr>
            <w:tcW w:w="7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causes of explosions and related preventative measures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d</w:t>
            </w:r>
          </w:p>
        </w:tc>
        <w:tc>
          <w:tcPr>
            <w:tcW w:w="7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hazards associated with refuelling and fuel transfer and related hazard control methods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e</w:t>
            </w:r>
          </w:p>
        </w:tc>
        <w:tc>
          <w:tcPr>
            <w:tcW w:w="7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procedures and policies for the use of personal protection clothing and equipment (PPE)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f</w:t>
            </w:r>
          </w:p>
        </w:tc>
        <w:tc>
          <w:tcPr>
            <w:tcW w:w="7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procedures for the use of escape/evacuation equipment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g</w:t>
            </w:r>
          </w:p>
        </w:tc>
        <w:tc>
          <w:tcPr>
            <w:tcW w:w="7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procedures for the prevention of air and water pollution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h</w:t>
            </w:r>
          </w:p>
        </w:tc>
        <w:tc>
          <w:tcPr>
            <w:tcW w:w="7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procedures to be taken in the event of an accidental fuel spillage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6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Basic environmental protection measures to be applied during refuelling or fuel transfer operations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7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Communication techniq</w:t>
            </w:r>
            <w:r w:rsidRPr="00E46EB0">
              <w:t>ues and equipment used during refuelling or fuel transfer operations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8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t>Procedures for working in confined spaces on a vessel</w:t>
            </w:r>
          </w:p>
        </w:tc>
      </w:tr>
    </w:tbl>
    <w:p w:rsidR="00000000" w:rsidRPr="00E46EB0" w:rsidP="00E46EB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</w:p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REQUIRED SKILLS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Emphasis"/>
              </w:rPr>
              <w:t>This describes the basic skills required for this unit</w:t>
            </w:r>
            <w:r w:rsidRPr="00E46EB0">
              <w:t>.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Use basic verbal communication skills required during refuelling and fuel transfer operations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Read, interpret and apply simple instructions and safety precautions related to refuelling and fuel transfer operations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Complete any required records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Wor</w:t>
            </w:r>
            <w:r w:rsidRPr="00E46EB0">
              <w:t>k safely and collaboratively with others during refuelling and fuel transfer operations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Select and use relevant equipment required for refuelling and fuel transfer operations as per instructions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Take appropriate action in the event of an accidental f</w:t>
            </w:r>
            <w:r w:rsidRPr="00E46EB0">
              <w:t>uel spillage or safety incident during refuelling and fuel transfer operations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React appropriately to changed conditions during a refuelling and fuel transfer operation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Recognise faulty equipment and take appropriate action as per operating instructions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Recognise problems and hazards during refuelling/fuel transfer operations and take appropriate action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Adapt to changes in equipment and procedures in the workplace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Follow required work schedule as per company requirements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Measure tank levels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13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t>Identify tank filling and venting pipes</w:t>
            </w:r>
          </w:p>
        </w:tc>
      </w:tr>
    </w:tbl>
    <w:p w:rsidR="00000000" w:rsidRPr="00E46EB0" w:rsidP="00E46EB0">
      <w:pPr>
        <w:pStyle w:val="BodyText"/>
      </w:pPr>
    </w:p>
    <w:p w:rsidR="00000000" w:rsidRPr="00E46EB0" w:rsidP="00E46EB0">
      <w:pPr>
        <w:pStyle w:val="AllowPageBreak"/>
      </w:pPr>
    </w:p>
    <w:p w:rsidR="00000000" w:rsidRPr="00E46EB0" w:rsidP="00E46EB0">
      <w:pPr>
        <w:pStyle w:val="Heading1"/>
      </w:pPr>
      <w:bookmarkStart w:id="10" w:name="O_152208"/>
      <w:bookmarkEnd w:id="10"/>
      <w:r w:rsidRPr="00E46EB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5400"/>
        <w:gridCol w:w="270"/>
        <w:gridCol w:w="15"/>
      </w:tblGrid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5" w:type="dxa"/>
          <w:tblHeader/>
        </w:trPr>
        <w:tc>
          <w:tcPr>
            <w:tcW w:w="820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rPr>
                <w:rStyle w:val="SpecialBold"/>
              </w:rPr>
              <w:t>Evidence Guide</w:t>
            </w:r>
          </w:p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TDMMR5407B CARRY OUT REFUELLING AND FUEL TRANSFER OPERATIONS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</w:p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Emphasis"/>
              </w:rPr>
              <w:t>The Evidence Guide provides advice on assessment and must be read in conjunction with the Performance Criteria</w:t>
            </w:r>
            <w:r w:rsidRPr="00E46EB0">
              <w:t xml:space="preserve">, </w:t>
            </w:r>
            <w:r w:rsidRPr="00E46EB0">
              <w:rPr>
                <w:rStyle w:val="Emphasis"/>
              </w:rPr>
              <w:t>Required Skills and Knowledge</w:t>
            </w:r>
            <w:r w:rsidRPr="00E46EB0">
              <w:t xml:space="preserve">, </w:t>
            </w:r>
            <w:r w:rsidRPr="00E46EB0">
              <w:rPr>
                <w:rStyle w:val="Emphasis"/>
              </w:rPr>
              <w:t>the Range Statement and the Assessment Guidelines for this Training Package</w:t>
            </w:r>
            <w:r w:rsidRPr="00E46EB0">
              <w:t>.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Assessment must confirm appropriate knowledge and skills to: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Plan for and apply all required safety, environmental and hazard control precautions and procedures during refuelling and fuel transfer operations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Communicate effectively with others involved with refuelling and fuel transfer operations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React a</w:t>
            </w:r>
            <w:r w:rsidRPr="00E46EB0">
              <w:t>ppropriately to changed conditions during a refuelling and fuel transfer operation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</w:p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</w:p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</w:p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a</w:t>
            </w:r>
          </w:p>
        </w:tc>
        <w:tc>
          <w:tcPr>
            <w:tcW w:w="6027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</w:p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Performance is demonstrated consistently over a period of time and in a suitable range of contexts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Consistently applies underpinning knowledge and skills when: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 xml:space="preserve">carrying out vessel refuelling from a variety of sources such as wharf tanks, bunker barges, road tanker and mother vessels 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transferring fuel within the vessel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transferring fuel from one vessel to another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4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exercising all required safety, environmental and hazard control precautions and procedures refuelling and fuel transfer operations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5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communicating effectively with oth</w:t>
            </w:r>
            <w:r w:rsidRPr="00E46EB0">
              <w:t>ers during refuelling and fuel transfer operations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Shows evidence of application of relevant workplace procedures, including: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vessel's safety management procedures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 xml:space="preserve">OH&amp;S regulations and hazard prevention policies and procedures 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standard operating procedures and work instructions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d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Action is taken promptly to react to operational incidents and problems in accordance with established procedures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e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Work is completed systematically with required attention to detail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f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t>Recognises and adapts appropriately to cultural differences in the workplace, including modes of behaviour and interactions among crew and others</w:t>
            </w:r>
          </w:p>
        </w:tc>
      </w:tr>
    </w:tbl>
    <w:p w:rsidR="00000000" w:rsidRPr="00E46EB0" w:rsidP="00E46EB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357"/>
        <w:gridCol w:w="5043"/>
        <w:gridCol w:w="270"/>
        <w:gridCol w:w="15"/>
      </w:tblGrid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5" w:type="dxa"/>
          <w:tblHeader/>
        </w:trPr>
        <w:tc>
          <w:tcPr>
            <w:tcW w:w="820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rPr>
                <w:rStyle w:val="SpecialBold"/>
              </w:rPr>
              <w:t>Evidence Guide</w:t>
            </w:r>
            <w:r w:rsidRPr="00E46EB0">
              <w:t xml:space="preserve"> (</w:t>
            </w:r>
            <w:r w:rsidRPr="00E46EB0">
              <w:rPr>
                <w:rStyle w:val="SpecialBold"/>
              </w:rPr>
              <w:t>continued</w:t>
            </w:r>
            <w:r w:rsidRPr="00E46EB0">
              <w:t xml:space="preserve">) </w:t>
            </w:r>
          </w:p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TDMMR5407B CARRY OUT REFUELLING AND FUEL TRANSFER OPERATIONS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</w:p>
          <w:p w:rsidR="00000000" w:rsidRPr="00E46EB0" w:rsidP="00E46EB0">
            <w:pPr>
              <w:pStyle w:val="BodyText"/>
            </w:pPr>
            <w:r w:rsidRPr="00E46EB0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Assessment of competency must comply with the assessment requirements of the relevant maritime regulations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Assessment of this unit must be undertaken within relevant marine authority approved and audited arrangements by a registered training organisation: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As a minimum, assessment of knowledge must be conducted through appropriate written/oral examinations, and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Appropriate practical assessment must occur: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 xml:space="preserve">at the registered training organisation; and/or 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ii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on an appropriate working or training vessel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4</w:t>
            </w:r>
            <w:r w:rsidRPr="00E46EB0">
              <w:tab/>
            </w:r>
            <w:r w:rsidRPr="00E46EB0">
              <w:rPr>
                <w:rStyle w:val="SpecialBold"/>
              </w:rPr>
              <w:t>Specific resources required for assessment</w:t>
            </w:r>
          </w:p>
        </w:tc>
        <w:tc>
          <w:tcPr>
            <w:tcW w:w="638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Access is required to opportunities to: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demonstrate the ability to supervise refuelling and fuel transfer operations on board a vessel and between vessels through appropriate case studies, practical exercises and simulated situations; and/or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t>supervise refuelling and fuel transfer operations on board an operational commercial or training vessel</w:t>
            </w:r>
          </w:p>
        </w:tc>
      </w:tr>
    </w:tbl>
    <w:p w:rsidR="00000000" w:rsidRPr="00E46EB0" w:rsidP="00E46EB0">
      <w:pPr>
        <w:pStyle w:val="BodyText"/>
      </w:pPr>
    </w:p>
    <w:p w:rsidR="00000000" w:rsidRPr="00E46EB0" w:rsidP="00E46EB0">
      <w:pPr>
        <w:pStyle w:val="AllowPageBreak"/>
      </w:pPr>
    </w:p>
    <w:p w:rsidR="00000000" w:rsidRPr="00E46EB0" w:rsidP="00E46EB0">
      <w:pPr>
        <w:pStyle w:val="Heading1"/>
      </w:pPr>
      <w:bookmarkStart w:id="11" w:name="O_152209"/>
      <w:bookmarkEnd w:id="11"/>
      <w:r w:rsidRPr="00E46EB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3"/>
        <w:gridCol w:w="357"/>
        <w:gridCol w:w="11"/>
        <w:gridCol w:w="5751"/>
        <w:gridCol w:w="263"/>
        <w:gridCol w:w="18"/>
        <w:gridCol w:w="32"/>
      </w:tblGrid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13" w:type="dxa"/>
          <w:tblHeader/>
        </w:trPr>
        <w:tc>
          <w:tcPr>
            <w:tcW w:w="820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rPr>
                <w:rStyle w:val="SpecialBold"/>
              </w:rPr>
              <w:t>Range Statement</w:t>
            </w:r>
          </w:p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TDMMR5407B CARRY OUT REFUELLING AND FUEL TRANSFER OPERATIONS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</w:p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Emphasis"/>
              </w:rPr>
              <w:t>The Range Statement relates to the unit of competency as a whole</w:t>
            </w:r>
            <w:r w:rsidRPr="00E46EB0">
              <w:t xml:space="preserve">. </w:t>
            </w:r>
            <w:r w:rsidRPr="00E46EB0">
              <w:rPr>
                <w:rStyle w:val="Emphasis"/>
              </w:rPr>
              <w:t>It allows for different work environments and situations that may affect performance</w:t>
            </w:r>
            <w:r w:rsidRPr="00E46EB0">
              <w:t>.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rPr>
                <w:rStyle w:val="SpecialBold"/>
              </w:rPr>
              <w:t>VARIABLE</w:t>
            </w:r>
          </w:p>
        </w:tc>
        <w:tc>
          <w:tcPr>
            <w:tcW w:w="6432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SCOPE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1</w:t>
            </w:r>
            <w:r w:rsidRPr="00E46EB0">
              <w:t>.</w:t>
            </w:r>
            <w:r w:rsidRPr="00E46EB0">
              <w:tab/>
            </w:r>
            <w:r w:rsidRPr="00E46EB0">
              <w:rPr>
                <w:rStyle w:val="SpecialBold"/>
              </w:rPr>
              <w:t>GENERAL CONTEXT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rPr>
                <w:rStyle w:val="SpecialBold"/>
              </w:rPr>
              <w:t>a</w:t>
            </w:r>
            <w:r w:rsidRPr="00E46EB0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Work must be carried out</w:t>
            </w:r>
            <w:r w:rsidRPr="00E46EB0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in compliance with the relevant sections of the State and Territory marine regulations and the National Standard for Commercial Vessels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rPr>
                <w:rStyle w:val="SpecialBold"/>
              </w:rPr>
              <w:t>b</w:t>
            </w:r>
            <w:r w:rsidRPr="00E46EB0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Work is performed</w:t>
            </w:r>
            <w:r w:rsidRPr="00E46EB0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as the engineer accountable and responsible in achieving the prescribed outcomes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rPr>
                <w:rStyle w:val="SpecialBold"/>
              </w:rPr>
              <w:t>c</w:t>
            </w:r>
            <w:r w:rsidRPr="00E46EB0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Work involves</w:t>
            </w:r>
            <w:r w:rsidRPr="00E46EB0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the application of established procedures and techniques to the refuelling or fuel transfer tasks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8471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2</w:t>
            </w:r>
            <w:r w:rsidRPr="00E46EB0">
              <w:t>.</w:t>
            </w:r>
            <w:r w:rsidRPr="00E46EB0">
              <w:tab/>
            </w:r>
            <w:r w:rsidRPr="00E46EB0">
              <w:rPr>
                <w:rStyle w:val="SpecialBold"/>
              </w:rPr>
              <w:t>WORKSITE ENVIRONMENT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rPr>
                <w:rStyle w:val="SpecialBold"/>
              </w:rPr>
              <w:t>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Vessel may include</w:t>
            </w:r>
            <w:r w:rsidRPr="00E46EB0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any commercial coastal vessel up to 1,500 kW propulsion power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rPr>
                <w:rStyle w:val="SpecialBold"/>
              </w:rPr>
              <w:t>b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Refuelling or fuel transfer tasks may include</w:t>
            </w:r>
            <w:r w:rsidRPr="00E46EB0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carrying out pre-refuelling activities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2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generating a checklist for refuelling activities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3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routine refuelling activities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4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containment of spills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5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emergency response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6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carrying out post-refuelling activities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7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measuring tank levels and contents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rPr>
                <w:rStyle w:val="SpecialBold"/>
              </w:rPr>
              <w:t>c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Pre-refuelling or fuel transfer activities and precautions may include but are not limited to</w:t>
            </w:r>
            <w:r w:rsidRPr="00E46EB0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all persons involved with refuelling or fuel transfer are properly briefed as to their function and responsibility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2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 xml:space="preserve">deployment of spill prevention systems as per standard operating procedures and regulatory requirements and appropriate signage deployed 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3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t>establishment of a safety boundary for the refuelling process in accordance with established procedures and regulatory requirements</w:t>
            </w:r>
          </w:p>
        </w:tc>
      </w:tr>
    </w:tbl>
    <w:p w:rsidR="00000000" w:rsidRPr="00E46EB0" w:rsidP="00E46EB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3"/>
        <w:gridCol w:w="357"/>
        <w:gridCol w:w="5762"/>
        <w:gridCol w:w="281"/>
        <w:gridCol w:w="32"/>
        <w:gridCol w:w="7"/>
        <w:gridCol w:w="21"/>
      </w:tblGrid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341" w:type="dxa"/>
          <w:tblHeader/>
        </w:trPr>
        <w:tc>
          <w:tcPr>
            <w:tcW w:w="820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rPr>
                <w:rStyle w:val="SpecialBold"/>
              </w:rPr>
              <w:t>Range Statement</w:t>
            </w:r>
            <w:r w:rsidRPr="00E46EB0">
              <w:t xml:space="preserve"> (</w:t>
            </w:r>
            <w:r w:rsidRPr="00E46EB0">
              <w:rPr>
                <w:rStyle w:val="SpecialBold"/>
              </w:rPr>
              <w:t>continued</w:t>
            </w:r>
            <w:r w:rsidRPr="00E46EB0">
              <w:t xml:space="preserve">) </w:t>
            </w:r>
          </w:p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TDMMR5407B CARRY OUT REFUELLING AND FUEL TRANSFER OPERATIONS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" w:type="dxa"/>
        </w:trPr>
        <w:tc>
          <w:tcPr>
            <w:tcW w:w="208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</w:p>
          <w:p w:rsidR="00000000" w:rsidRPr="00E46EB0" w:rsidP="00E46EB0">
            <w:pPr>
              <w:pStyle w:val="BodyText"/>
            </w:pPr>
            <w:r w:rsidRPr="00E46EB0">
              <w:rPr>
                <w:rStyle w:val="SpecialBold"/>
              </w:rPr>
              <w:t>VARIABLE</w:t>
            </w:r>
          </w:p>
        </w:tc>
        <w:tc>
          <w:tcPr>
            <w:tcW w:w="643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SCOPE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</w:p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c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</w:p>
          <w:p w:rsidR="00000000" w:rsidRPr="00E46EB0" w:rsidP="00E46EB0">
            <w:pPr>
              <w:pStyle w:val="BodyText"/>
            </w:pPr>
            <w:r w:rsidRPr="00E46EB0">
              <w:rPr>
                <w:rStyle w:val="SpecialBold"/>
              </w:rPr>
              <w:t>Pre-refuelling or fuel transfer activities and precautions may include but are not limited to</w:t>
            </w:r>
            <w:r w:rsidRPr="00E46EB0">
              <w:t>:</w:t>
            </w:r>
          </w:p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(</w:t>
            </w:r>
            <w:r w:rsidRPr="00E46EB0">
              <w:rPr>
                <w:rStyle w:val="SpecialBold"/>
              </w:rPr>
              <w:t>continued</w:t>
            </w:r>
            <w:r w:rsidRPr="00E46EB0">
              <w:t xml:space="preserve">)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</w:p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</w:p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confirmation that all equipment required for an emergency response is immediately available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communication channels are open and ready for access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required emergency response training and awareness has been completed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rPr>
                <w:rStyle w:val="SpecialBold"/>
              </w:rPr>
              <w:t>d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Operational hazards for refuelling or fuel transfer operations may include</w:t>
            </w:r>
            <w:r w:rsidRPr="00E46EB0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sources of ignition leading to explosion and fire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electrostatic generation leading to discharge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environmental hazards to air and water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spills or release of vapours and gases, involving skin contact and inhalation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working within confined spaces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rPr>
                <w:rStyle w:val="SpecialBold"/>
              </w:rPr>
              <w:t>e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Sources of information and documentation may include</w:t>
            </w:r>
            <w:r w:rsidRPr="00E46EB0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safety management system plans, procedures, checklists and instructions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 xml:space="preserve">vessel and company procedures 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rPr>
                <w:rStyle w:val="SpecialBold"/>
              </w:rPr>
              <w:t>f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Applicable regulations and legislation may include</w:t>
            </w:r>
            <w:r w:rsidRPr="00E46EB0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1</w:t>
            </w:r>
          </w:p>
        </w:tc>
        <w:tc>
          <w:tcPr>
            <w:tcW w:w="608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 xml:space="preserve">State and Territory marine regulations related to the operation of small vessels 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2</w:t>
            </w:r>
          </w:p>
        </w:tc>
        <w:tc>
          <w:tcPr>
            <w:tcW w:w="608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relevant sections of the National Standard for Commercial Vessels</w:t>
            </w:r>
          </w:p>
        </w:tc>
      </w:tr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t>3</w:t>
            </w:r>
          </w:p>
        </w:tc>
        <w:tc>
          <w:tcPr>
            <w:tcW w:w="608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t>relevant international, Commonwealth, State and Territory OH&amp;S and pollution control legislation</w:t>
            </w:r>
          </w:p>
        </w:tc>
      </w:tr>
    </w:tbl>
    <w:p w:rsidR="00000000" w:rsidRPr="00E46EB0" w:rsidP="00E46EB0">
      <w:pPr>
        <w:pStyle w:val="BodyText"/>
      </w:pPr>
    </w:p>
    <w:p w:rsidR="00000000" w:rsidRPr="00E46EB0" w:rsidP="00E46EB0">
      <w:pPr>
        <w:pStyle w:val="AllowPageBreak"/>
      </w:pPr>
    </w:p>
    <w:p w:rsidR="00000000" w:rsidRPr="00E46EB0" w:rsidP="00E46EB0">
      <w:pPr>
        <w:pStyle w:val="Heading1"/>
      </w:pPr>
      <w:bookmarkStart w:id="12" w:name="O_152210"/>
      <w:bookmarkEnd w:id="12"/>
      <w:r w:rsidRPr="00E46EB0">
        <w:t>Unit Sector(s)</w:t>
      </w:r>
    </w:p>
    <w:p w:rsidR="00000000" w:rsidRPr="00E46EB0" w:rsidP="00E46EB0">
      <w:pPr>
        <w:pStyle w:val="BodyText"/>
      </w:pPr>
      <w:r w:rsidRPr="00E46EB0">
        <w:t>Not applicable.</w:t>
      </w:r>
    </w:p>
    <w:p w:rsidR="00000000" w:rsidRPr="00E46EB0" w:rsidP="00E46EB0">
      <w:pPr>
        <w:pStyle w:val="AllowPageBreak"/>
      </w:pPr>
    </w:p>
    <w:p w:rsidR="00000000" w:rsidRPr="00E46EB0" w:rsidP="00E46EB0">
      <w:pPr>
        <w:pStyle w:val="Heading1"/>
      </w:pPr>
      <w:bookmarkStart w:id="13" w:name="O_163932"/>
      <w:bookmarkEnd w:id="13"/>
      <w:r w:rsidRPr="00E46EB0">
        <w:t>Field</w:t>
      </w:r>
    </w:p>
    <w:p w:rsidR="007F2C43" w:rsidP="00E46EB0">
      <w:pPr>
        <w:pStyle w:val="BodyText"/>
      </w:pPr>
      <w:r w:rsidRPr="00E46EB0">
        <w:t>Field</w:t>
      </w:r>
      <w:r w:rsidRPr="00E46EB0">
        <w:tab/>
        <w:t>MF</w:t>
      </w:r>
      <w:r w:rsidRPr="00E46EB0">
        <w:tab/>
        <w:t>Carry Out Operations on Equipment and Systems</w:t>
      </w:r>
    </w:p>
    <w:p w:rsidR="007F2C43" w:rsidP="00E46EB0">
      <w:pPr>
        <w:pStyle w:val="BodyText"/>
      </w:pPr>
    </w:p>
    <w:p w:rsidR="00000000" w:rsidRPr="00E46EB0" w:rsidP="00E46EB0">
      <w:pPr>
        <w:pStyle w:val="Heading1"/>
      </w:pPr>
      <w:bookmarkStart w:id="14" w:name="O_163933"/>
      <w:bookmarkEnd w:id="14"/>
      <w:r w:rsidRPr="00E46EB0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7F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EB0">
            <w:pPr>
              <w:pStyle w:val="BodyText"/>
              <w:rPr>
                <w:lang w:val="en-NZ"/>
              </w:rPr>
            </w:pPr>
            <w:r w:rsidRPr="00E46EB0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EB0" w:rsidP="00E46EB0">
            <w:pPr>
              <w:pStyle w:val="BodyText"/>
            </w:pPr>
            <w:r w:rsidRPr="00E46EB0">
              <w:t>The unit may be assessed in conjunction with other units that relate to the functions of the occupation(s) concerned.</w:t>
            </w:r>
          </w:p>
        </w:tc>
      </w:tr>
    </w:tbl>
    <w:p w:rsidR="00000000" w:rsidRPr="00E46EB0" w:rsidP="00E46EB0">
      <w:pPr>
        <w:pStyle w:val="BodyText"/>
      </w:pPr>
    </w:p>
    <w:p w:rsidR="00000000" w:rsidRPr="00E46EB0" w:rsidP="00E46EB0"/>
    <w:sectPr w:rsidSect="00E46E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43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43" w:rsidP="00E46E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7F2C43" w:rsidP="00E46E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F2C43" w:rsidP="00E46EB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F2C43" w:rsidP="007F2C4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43" w:rsidP="00E46E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TDMMR5407B CARRY OUT REFUELLING AND FUEL TRANSFER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F2C43" w:rsidP="00E46EB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E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46E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6E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6E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6E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6E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6E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6E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6E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6E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6E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6EB0"/>
  </w:style>
  <w:style w:type="character" w:customStyle="1" w:styleId="Heading1Char">
    <w:name w:val="Heading 1 Char"/>
    <w:basedOn w:val="DefaultParagraphFont"/>
    <w:link w:val="Heading1"/>
    <w:rsid w:val="00E46E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6EB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6EB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46E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6EB0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E46EB0"/>
    <w:rPr>
      <w:b/>
      <w:spacing w:val="0"/>
    </w:rPr>
  </w:style>
  <w:style w:type="paragraph" w:styleId="Header">
    <w:name w:val="header"/>
    <w:basedOn w:val="Normal"/>
    <w:link w:val="HeaderChar"/>
    <w:rsid w:val="00E46E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6E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E46EB0"/>
    <w:rPr>
      <w:i/>
    </w:rPr>
  </w:style>
  <w:style w:type="paragraph" w:customStyle="1" w:styleId="SuperHeading">
    <w:name w:val="SuperHeading"/>
    <w:basedOn w:val="Normal"/>
    <w:rsid w:val="00E46EB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46E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6E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6E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6E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6E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6E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6EB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46EB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46EB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46E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6E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6E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6E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6E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46E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6E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6E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6E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6EB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6E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6E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6E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6E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6E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6E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6EB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46E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6E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6E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6E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6E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6E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6E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6E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6EB0"/>
  </w:style>
  <w:style w:type="paragraph" w:styleId="TableofFigures">
    <w:name w:val="table of figures"/>
    <w:basedOn w:val="Normal"/>
    <w:next w:val="Normal"/>
    <w:semiHidden/>
    <w:rsid w:val="00E46E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6EB0"/>
    <w:pPr>
      <w:numPr>
        <w:numId w:val="9"/>
      </w:numPr>
    </w:pPr>
  </w:style>
  <w:style w:type="character" w:customStyle="1" w:styleId="WingdingSymbols">
    <w:name w:val="Wingding Symbols"/>
    <w:rsid w:val="00E46EB0"/>
    <w:rPr>
      <w:rFonts w:ascii="Wingdings" w:hAnsi="Wingdings"/>
    </w:rPr>
  </w:style>
  <w:style w:type="paragraph" w:customStyle="1" w:styleId="TableHeading">
    <w:name w:val="Table Heading"/>
    <w:basedOn w:val="HeadingBase"/>
    <w:rsid w:val="00E46E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6EB0"/>
    <w:rPr>
      <w:color w:val="0033CC"/>
      <w:u w:val="none"/>
    </w:rPr>
  </w:style>
  <w:style w:type="paragraph" w:customStyle="1" w:styleId="BodyTextRight">
    <w:name w:val="Body Text Right"/>
    <w:basedOn w:val="BodyText"/>
    <w:rsid w:val="00E46E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6E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6E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6E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6E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6EB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46EB0"/>
    <w:rPr>
      <w:sz w:val="32"/>
    </w:rPr>
  </w:style>
  <w:style w:type="paragraph" w:customStyle="1" w:styleId="HeadingProcedure">
    <w:name w:val="Heading Procedure"/>
    <w:basedOn w:val="HeadingBase"/>
    <w:next w:val="Normal"/>
    <w:rsid w:val="00E46E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6EB0"/>
    <w:pPr>
      <w:spacing w:before="60" w:after="60"/>
    </w:pPr>
  </w:style>
  <w:style w:type="paragraph" w:styleId="ListContinue">
    <w:name w:val="List Continue"/>
    <w:basedOn w:val="List"/>
    <w:rsid w:val="00E46EB0"/>
    <w:pPr>
      <w:ind w:firstLine="0"/>
    </w:pPr>
  </w:style>
  <w:style w:type="paragraph" w:customStyle="1" w:styleId="ListNote">
    <w:name w:val="List Note"/>
    <w:basedOn w:val="List"/>
    <w:rsid w:val="00E46E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6E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6E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6EB0"/>
    <w:rPr>
      <w:rFonts w:ascii="Courier New" w:hAnsi="Courier New"/>
    </w:rPr>
  </w:style>
  <w:style w:type="paragraph" w:customStyle="1" w:styleId="NoteBullet">
    <w:name w:val="Note Bullet"/>
    <w:basedOn w:val="Note"/>
    <w:rsid w:val="00E46E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6E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6E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6E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6E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6E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6EB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46EB0"/>
    <w:rPr>
      <w:b/>
      <w:smallCaps/>
    </w:rPr>
  </w:style>
  <w:style w:type="paragraph" w:customStyle="1" w:styleId="TableListNumber">
    <w:name w:val="Table List Number"/>
    <w:basedOn w:val="ListNumber"/>
    <w:rsid w:val="00E46E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6E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6EB0"/>
    <w:pPr>
      <w:numPr>
        <w:numId w:val="7"/>
      </w:numPr>
    </w:pPr>
  </w:style>
  <w:style w:type="paragraph" w:customStyle="1" w:styleId="ListAlpha2">
    <w:name w:val="List Alpha 2"/>
    <w:basedOn w:val="List2"/>
    <w:rsid w:val="00E46EB0"/>
    <w:pPr>
      <w:numPr>
        <w:numId w:val="6"/>
      </w:numPr>
    </w:pPr>
  </w:style>
  <w:style w:type="paragraph" w:styleId="List2">
    <w:name w:val="List 2"/>
    <w:basedOn w:val="BodyText"/>
    <w:rsid w:val="00E46E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6E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6E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6E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6E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6EB0"/>
    <w:pPr>
      <w:numPr>
        <w:numId w:val="1"/>
      </w:numPr>
    </w:pPr>
  </w:style>
  <w:style w:type="paragraph" w:styleId="ListBullet5">
    <w:name w:val="List Bullet 5"/>
    <w:basedOn w:val="List5"/>
    <w:rsid w:val="00E46EB0"/>
    <w:pPr>
      <w:numPr>
        <w:numId w:val="2"/>
      </w:numPr>
    </w:pPr>
  </w:style>
  <w:style w:type="paragraph" w:styleId="ListContinue2">
    <w:name w:val="List Continue 2"/>
    <w:basedOn w:val="List2"/>
    <w:rsid w:val="00E46EB0"/>
    <w:pPr>
      <w:ind w:firstLine="0"/>
    </w:pPr>
  </w:style>
  <w:style w:type="paragraph" w:styleId="ListContinue3">
    <w:name w:val="List Continue 3"/>
    <w:basedOn w:val="List3"/>
    <w:rsid w:val="00E46EB0"/>
    <w:pPr>
      <w:ind w:left="1021" w:firstLine="0"/>
    </w:pPr>
  </w:style>
  <w:style w:type="paragraph" w:styleId="ListContinue4">
    <w:name w:val="List Continue 4"/>
    <w:basedOn w:val="List4"/>
    <w:rsid w:val="00E46EB0"/>
    <w:pPr>
      <w:ind w:firstLine="0"/>
    </w:pPr>
  </w:style>
  <w:style w:type="paragraph" w:styleId="ListContinue5">
    <w:name w:val="List Continue 5"/>
    <w:basedOn w:val="List5"/>
    <w:rsid w:val="00E46EB0"/>
    <w:pPr>
      <w:ind w:firstLine="0"/>
    </w:pPr>
  </w:style>
  <w:style w:type="paragraph" w:styleId="ListNumber3">
    <w:name w:val="List Number 3"/>
    <w:basedOn w:val="List3"/>
    <w:rsid w:val="00E46EB0"/>
    <w:pPr>
      <w:numPr>
        <w:numId w:val="3"/>
      </w:numPr>
    </w:pPr>
  </w:style>
  <w:style w:type="paragraph" w:styleId="ListNumber4">
    <w:name w:val="List Number 4"/>
    <w:basedOn w:val="List4"/>
    <w:rsid w:val="00E46EB0"/>
    <w:pPr>
      <w:numPr>
        <w:numId w:val="4"/>
      </w:numPr>
    </w:pPr>
  </w:style>
  <w:style w:type="paragraph" w:styleId="ListNumber5">
    <w:name w:val="List Number 5"/>
    <w:basedOn w:val="List5"/>
    <w:rsid w:val="00E46EB0"/>
    <w:pPr>
      <w:numPr>
        <w:numId w:val="5"/>
      </w:numPr>
    </w:pPr>
  </w:style>
  <w:style w:type="paragraph" w:styleId="BlockText">
    <w:name w:val="Block Text"/>
    <w:basedOn w:val="Normal"/>
    <w:rsid w:val="00E46E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6E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6EB0"/>
    <w:rPr>
      <w:sz w:val="16"/>
      <w:vertAlign w:val="superscript"/>
    </w:rPr>
  </w:style>
  <w:style w:type="character" w:customStyle="1" w:styleId="Symbols">
    <w:name w:val="Symbols"/>
    <w:basedOn w:val="DefaultParagraphFont"/>
    <w:rsid w:val="00E46EB0"/>
    <w:rPr>
      <w:rFonts w:ascii="Symbol" w:hAnsi="Symbol"/>
    </w:rPr>
  </w:style>
  <w:style w:type="character" w:customStyle="1" w:styleId="MenuOptions">
    <w:name w:val="Menu Options"/>
    <w:basedOn w:val="DefaultParagraphFont"/>
    <w:rsid w:val="00E46E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6EB0"/>
    <w:rPr>
      <w:b/>
    </w:rPr>
  </w:style>
  <w:style w:type="character" w:customStyle="1" w:styleId="Underlined">
    <w:name w:val="Underlined"/>
    <w:basedOn w:val="DefaultParagraphFont"/>
    <w:rsid w:val="00E46EB0"/>
    <w:rPr>
      <w:u w:val="single"/>
    </w:rPr>
  </w:style>
  <w:style w:type="paragraph" w:customStyle="1" w:styleId="TableBodyTextRight">
    <w:name w:val="Table Body Text Right"/>
    <w:basedOn w:val="TableBodyText"/>
    <w:rsid w:val="00E46E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6EB0"/>
    <w:rPr>
      <w:sz w:val="18"/>
    </w:rPr>
  </w:style>
  <w:style w:type="paragraph" w:customStyle="1" w:styleId="BodySmallRight">
    <w:name w:val="Body Small Right"/>
    <w:basedOn w:val="BodyTextRight"/>
    <w:rsid w:val="00E46EB0"/>
    <w:rPr>
      <w:sz w:val="18"/>
      <w:szCs w:val="18"/>
    </w:rPr>
  </w:style>
  <w:style w:type="paragraph" w:customStyle="1" w:styleId="MarginEdition">
    <w:name w:val="Margin Edition"/>
    <w:basedOn w:val="MarginNote"/>
    <w:rsid w:val="00E46E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6EB0"/>
    <w:rPr>
      <w:sz w:val="2"/>
      <w:szCs w:val="2"/>
    </w:rPr>
  </w:style>
  <w:style w:type="character" w:customStyle="1" w:styleId="Small">
    <w:name w:val="Small"/>
    <w:basedOn w:val="DefaultParagraphFont"/>
    <w:rsid w:val="00E46EB0"/>
    <w:rPr>
      <w:sz w:val="16"/>
    </w:rPr>
  </w:style>
  <w:style w:type="paragraph" w:customStyle="1" w:styleId="WideTable">
    <w:name w:val="Wide Table"/>
    <w:basedOn w:val="Normal"/>
    <w:rsid w:val="00E46E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6EB0"/>
  </w:style>
  <w:style w:type="paragraph" w:styleId="Quote">
    <w:name w:val="Quote"/>
    <w:basedOn w:val="Heading1"/>
    <w:link w:val="QuoteChar"/>
    <w:qFormat/>
    <w:rsid w:val="00E46E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6E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6EB0"/>
    <w:pPr>
      <w:pageBreakBefore/>
    </w:pPr>
  </w:style>
  <w:style w:type="paragraph" w:customStyle="1" w:styleId="Border">
    <w:name w:val="Border"/>
    <w:basedOn w:val="Normal"/>
    <w:qFormat/>
    <w:rsid w:val="00E46E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6E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E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EB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46E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6E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6E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6E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6E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6EB0"/>
    <w:rPr>
      <w:u w:val="single"/>
    </w:rPr>
  </w:style>
  <w:style w:type="character" w:customStyle="1" w:styleId="BoldandItalics">
    <w:name w:val="Bold and Italics"/>
    <w:qFormat/>
    <w:rsid w:val="00E46EB0"/>
    <w:rPr>
      <w:b/>
      <w:i/>
      <w:u w:val="none"/>
    </w:rPr>
  </w:style>
  <w:style w:type="paragraph" w:styleId="BalloonText">
    <w:name w:val="Balloon Text"/>
    <w:basedOn w:val="Normal"/>
    <w:link w:val="BalloonTextChar"/>
    <w:rsid w:val="00E46E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6EB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46EB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6EB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1761</Words>
  <Characters>10454</Characters>
  <Application>Microsoft Office Word</Application>
  <DocSecurity>0</DocSecurity>
  <Lines>639</Lines>
  <Paragraphs>283</Paragraphs>
  <ScaleCrop>false</ScaleCrop>
  <Company>Author-it Software Corporation Ltd.</Company>
  <LinksUpToDate>false</LinksUpToDate>
  <CharactersWithSpaces>11942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TDMMR5407B CARRY OUT REFUELLING AND FUEL TRANSFER OPERATIONS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2012-05-26T21:57:00Z</dcterms:created>
  <dcterms:modified xsi:type="dcterms:W3CDTF">2012-05-26T21:57:00Z</dcterms:modified>
</cp:coreProperties>
</file>