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CAF" w:rsidP="00B54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TDMMR3407B OPERATE DECK MACHINERY</w:t>
      </w:r>
      <w:r>
        <w:fldChar w:fldCharType="end"/>
      </w:r>
    </w:p>
    <w:p w:rsidR="00B54CAF" w:rsidP="00B54CAF">
      <w:pPr>
        <w:pStyle w:val="Version"/>
        <w:sectPr w:rsidSect="00743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434D3" w:rsidP="007434D3">
      <w:pPr>
        <w:pStyle w:val="SuperHeading"/>
      </w:pPr>
      <w:r w:rsidRPr="007434D3">
        <w:t>TDMMR3407B OPERATE DECK MACHINERY</w:t>
      </w:r>
    </w:p>
    <w:p w:rsidR="00000000" w:rsidRPr="007434D3" w:rsidP="007434D3">
      <w:pPr>
        <w:pStyle w:val="SuperHeading"/>
      </w:pPr>
    </w:p>
    <w:p w:rsidR="00000000" w:rsidRPr="007434D3" w:rsidP="007434D3">
      <w:pPr>
        <w:pStyle w:val="Heading1"/>
      </w:pPr>
      <w:bookmarkStart w:id="1" w:name="O_152055"/>
      <w:bookmarkEnd w:id="1"/>
      <w:r w:rsidRPr="007434D3">
        <w:t>Modification History</w:t>
      </w:r>
    </w:p>
    <w:p w:rsidR="00000000" w:rsidRPr="007434D3" w:rsidP="007434D3">
      <w:pPr>
        <w:pStyle w:val="BodyText"/>
      </w:pPr>
      <w:r w:rsidRPr="007434D3">
        <w:t>Not applicable.</w:t>
      </w: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2" w:name="O_152056"/>
      <w:bookmarkEnd w:id="2"/>
      <w:r w:rsidRPr="007434D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UNIT DESCRIPTOR: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This unit involves the skills and knowledge required of an Integrated Rating to operate deck machinery installed o</w:t>
            </w:r>
            <w:r w:rsidRPr="007434D3">
              <w:rPr>
                <w:rStyle w:val="SpecialBold"/>
              </w:rPr>
              <w:t>n a commercial vessel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including anchoring equipment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mooring equipment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cargo hatch covers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cranes and derricks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lifeboat davits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gangways and pilot ladders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ventilators and breathers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and fairleads and rollers</w:t>
            </w:r>
            <w:r w:rsidRPr="007434D3">
              <w:t>.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3" w:name="O_152057"/>
      <w:bookmarkEnd w:id="3"/>
      <w:r w:rsidRPr="007434D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4" w:name="O_152058"/>
      <w:bookmarkEnd w:id="4"/>
      <w:r w:rsidRPr="007434D3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Licensing</w:t>
            </w:r>
            <w:r w:rsidRPr="007434D3">
              <w:t>/</w:t>
            </w:r>
            <w:r w:rsidRPr="007434D3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5" w:name="O_152060"/>
      <w:bookmarkEnd w:id="5"/>
      <w:r w:rsidRPr="007434D3">
        <w:t>Pre-Requisites</w:t>
      </w:r>
    </w:p>
    <w:p w:rsidR="00000000" w:rsidRPr="007434D3" w:rsidP="007434D3">
      <w:pPr>
        <w:pStyle w:val="BodyText"/>
      </w:pPr>
      <w:r w:rsidRPr="007434D3">
        <w:t>Not applicable.</w:t>
      </w: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6" w:name="O_152059"/>
      <w:bookmarkEnd w:id="6"/>
      <w:r w:rsidRPr="007434D3">
        <w:t>Employability Skills Information</w:t>
      </w:r>
    </w:p>
    <w:p w:rsidR="00000000" w:rsidRPr="007434D3" w:rsidP="007434D3">
      <w:pPr>
        <w:pStyle w:val="BodyText"/>
      </w:pPr>
      <w:r w:rsidRPr="007434D3">
        <w:t>Not applicable.</w:t>
      </w: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7" w:name="O_152061"/>
      <w:bookmarkEnd w:id="7"/>
      <w:r w:rsidRPr="007434D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Emphasis"/>
              </w:rPr>
              <w:t>Elements describe the essential outcomes of a unit of competency</w:t>
            </w:r>
            <w:r w:rsidRPr="007434D3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Emphasis"/>
              </w:rPr>
              <w:t>Performance Crite</w:t>
            </w:r>
            <w:r w:rsidRPr="007434D3">
              <w:rPr>
                <w:rStyle w:val="Emphasis"/>
              </w:rPr>
              <w:t>ria describe the required performance needed to demonstrate achievement of the element</w:t>
            </w:r>
            <w:r w:rsidRPr="007434D3">
              <w:t xml:space="preserve">. </w:t>
            </w:r>
            <w:r w:rsidRPr="007434D3">
              <w:rPr>
                <w:rStyle w:val="Emphasis"/>
              </w:rPr>
              <w:t>Assessment of performance is to be consistent with the Evidence Guide</w:t>
            </w:r>
            <w:r w:rsidRPr="007434D3">
              <w:t>.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8" w:name="O_152062"/>
      <w:bookmarkEnd w:id="8"/>
      <w:r w:rsidRPr="007434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29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PERFORMANCE CRITERIA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Operate deck machinery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Pre-operational checks of deck machinery and associated systems are carried out in accordance with safety requirements and shipboard practices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Operation of deck machinery is performed in accordance with manufacturer's specifications and instructions and safety requirements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Any operational problems encountered in the use of deck machinery on the vessel are reported and/or rectified in accordance with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Malfunctioning equipment is identified and the nature of the fault is investigated and the outcomes reported in</w:t>
            </w:r>
            <w:r w:rsidRPr="007434D3">
              <w:t xml:space="preserve"> accordance with procedures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Post-operational checks of deck machinery and associated systems are carried out in accordance with safety requirements and shipboard practices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Records of equipment status and identified defects and malfunctions are completed in accordance with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Carry out routine planned maintenance of deck machinery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Maintenance arrangements for deck machinery on the vessel are carried out in accordance with survey requirements and manufacturer's specifications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Operational problems or faults with the vessel's deck machinery are identified and the causes identified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Any restrictions to operations arising from identified malfunctions of the deck machinery are justified and reported as required</w:t>
            </w:r>
          </w:p>
        </w:tc>
      </w:tr>
    </w:tbl>
    <w:p w:rsidR="00000000" w:rsidRPr="007434D3" w:rsidP="007434D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PERFORMANCE CRITERIA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Carry out routine planned maintenance of deck machinery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(</w:t>
            </w:r>
            <w:r w:rsidRPr="007434D3">
              <w:rPr>
                <w:rStyle w:val="SpecialBold"/>
              </w:rPr>
              <w:t>continued</w:t>
            </w:r>
            <w:r w:rsidRPr="007434D3">
              <w:t>)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Routine lubrication and other preventative maintenance of deck machinery is carried out in accordance with manufacturer's instructions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Faulty deck machinery, equipment and parts ar</w:t>
            </w:r>
            <w:r w:rsidRPr="007434D3">
              <w:t>e identified, reported and repaired or replaced as per manufacturer's instructions and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f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Required adjustments to the deck machinery are carried out in accordance with manufacturer's specifications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g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Records of preventative and remedial maintenance carried out on deck machinery are completed in accordance with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Apply safety and hazard control procedures</w:t>
            </w:r>
            <w:r w:rsidRPr="007434D3">
              <w:t xml:space="preserve">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Safety, hazard minimisation and pollution control procedures and regulations are followed at all times during the operation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Operational and maintenance hazards related to deck machinery use and maintenance are identified and action is taken to minimise or eliminate risk to personnel, vessel and the environment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Action is taken in the event of failure or emergency to ensure the isolation and security of the deck machinery and maintain the safety of the vessel and personnel involved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Vessel's emergency and contingency plans are followed in the event of a failu</w:t>
            </w:r>
            <w:r w:rsidRPr="007434D3">
              <w:t>re or emergency involving deck machinery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9" w:name="O_152063"/>
      <w:bookmarkEnd w:id="9"/>
      <w:r w:rsidRPr="007434D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REQUIRED KNOWLEDGE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Emphasis"/>
              </w:rPr>
              <w:t>This describes the knowledge required for this unit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Applicable sections of the relevant maritime regulations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Relevant OH&amp;S and pollution control legislation and codes of practice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Principal design, safety features and component parts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Procedures for operating and carrying out planned maintenance of deck machinery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Procedures for isolat</w:t>
            </w:r>
            <w:r w:rsidRPr="007434D3">
              <w:t>ing defective deck machinery or components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Repair and/or replacement procedures for deck machinery and components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Principles and procedures of machinery lubrication as they relate to deck machinery on a vessel, including: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application of grease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changing of gearbox lubricating oil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lubrication of a steel wire rope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applications and use of 'denso' tape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changing of lubricating and hydraulic oil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Procedures for the replacement of flexible hoses in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Procedures for using hand and power tools for typical maintenance operations on deck machinery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10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Maintenance and repair hazards and problems and appropriate preventative and remedial action and solutions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Safety, environmental and hazard control precautions and procedures relevant to the operation and maintenance of deck machinery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Safe procedures for handling heavy machinery and component parts during maintenance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Purpose and con</w:t>
            </w:r>
            <w:r w:rsidRPr="007434D3">
              <w:t xml:space="preserve">tent of material safety data sheets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Maritime communication techniques needed during the use and maintenance of deck machinery on a vessel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Maintenance records that must be maintained on a commercial vessel</w:t>
            </w:r>
          </w:p>
        </w:tc>
      </w:tr>
    </w:tbl>
    <w:p w:rsidR="00000000" w:rsidRPr="007434D3" w:rsidP="007434D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REQUIRED SKILLS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Emphasis"/>
              </w:rPr>
              <w:t>This describes the basic skills required for this unit</w:t>
            </w:r>
            <w:r w:rsidRPr="007434D3">
              <w:t>.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Use basic verbal and other forms of communication skills required during the operation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Read, interpret and apply manuals and standard operating procedures related to the operation and servicing of deck machinery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Complete any required records related to the operation of deck machinery on a vessel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Work safely and collaboratively with ot</w:t>
            </w:r>
            <w:r w:rsidRPr="007434D3">
              <w:t>hers during the operation of deck machinery on a vessel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Select and use relevant tools and equipment as per instructions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Recognise faulty equipment and take appropriate action as per operating instructions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Recognise routine problems and hazards while operating deck machinery and take appropriate action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Adapt to differences in vessels, equipment and standard operating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Follow required work schedule as per company requirements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10" w:name="O_152064"/>
      <w:bookmarkEnd w:id="10"/>
      <w:r w:rsidRPr="007434D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2074"/>
        <w:gridCol w:w="3596"/>
        <w:gridCol w:w="15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11" w:type="dxa"/>
          <w:tblHeader/>
        </w:trPr>
        <w:tc>
          <w:tcPr>
            <w:tcW w:w="48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Evidence Guide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TDMMR3401B OPERATE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Emphasis"/>
              </w:rPr>
              <w:t>The Evidence Guide provides advice on assessment and must be read in conjunction with the Performance Criteria</w:t>
            </w:r>
            <w:r w:rsidRPr="007434D3">
              <w:t xml:space="preserve">, </w:t>
            </w:r>
            <w:r w:rsidRPr="007434D3">
              <w:rPr>
                <w:rStyle w:val="Emphasis"/>
              </w:rPr>
              <w:t>Required Skills and Knowledge</w:t>
            </w:r>
            <w:r w:rsidRPr="007434D3">
              <w:t xml:space="preserve">, </w:t>
            </w:r>
            <w:r w:rsidRPr="007434D3">
              <w:rPr>
                <w:rStyle w:val="Emphasis"/>
              </w:rPr>
              <w:t>the Range Statement and the Assessment Guidelines for this Training Package</w:t>
            </w:r>
            <w:r w:rsidRPr="007434D3">
              <w:t>.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Critical aspects of evidence required to demonstrate competency in this unit</w:t>
            </w:r>
            <w:r w:rsidRPr="007434D3">
              <w:t>: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Assessment must confirm appropriate knowledge and skills to: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Use and carry out planned routine maintenance of deck machinery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Identify typical problems related to the deck machinery operation and maintenance and take appropriate action in conjunction with other vessel personnel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Ensure the exercise of all required safety, environmental and hazard control precautions and procedures during deck machinery operation and maintenance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Communicate effectively with others during the operation and maintenance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Performance is demonstrated consistently over a period of time and in a suitable range of contexts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Consistently applies underpinning knowledge and skills when: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using and carrying out planned routine maintenance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identifying and operational and maintenance problems and determining appropriate courses of action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ensuring the application of safety precautions relevant to use and maintenance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Shows evidence of application of relevant workplace procedures, including: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relevant sections of maritime regulations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ISM Safety Management Code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OH&amp;S regulations, pollution control and hazard prevention policies and procedures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job procedures and work instructions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relevant deck machinery manufacturer's guidelines relating to operation routine maintenance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environmental protection procedures when carrying out maintenance operations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Action is taken promptly to report and/or rectify defective or malfunctioning deck machinery, equipment and components in accordance with manufacturer's instructions and established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Work is completed systematically with required attention to detail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7434D3" w:rsidP="007434D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"/>
        <w:gridCol w:w="1773"/>
        <w:gridCol w:w="360"/>
        <w:gridCol w:w="357"/>
        <w:gridCol w:w="357"/>
        <w:gridCol w:w="1717"/>
        <w:gridCol w:w="3596"/>
        <w:gridCol w:w="15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611" w:type="dxa"/>
          <w:tblHeader/>
        </w:trPr>
        <w:tc>
          <w:tcPr>
            <w:tcW w:w="488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Evidence Guide</w:t>
            </w:r>
            <w:r w:rsidRPr="007434D3">
              <w:t xml:space="preserve"> (</w:t>
            </w:r>
            <w:r w:rsidRPr="007434D3">
              <w:rPr>
                <w:rStyle w:val="SpecialBold"/>
              </w:rPr>
              <w:t>continued</w:t>
            </w:r>
            <w:r w:rsidRPr="007434D3">
              <w:t xml:space="preserve">) 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TDMMR3407B OPERATE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3</w:t>
            </w:r>
          </w:p>
        </w:tc>
        <w:tc>
          <w:tcPr>
            <w:tcW w:w="177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Assessment of competency must comply with the assessment requirements of the relevant maritime regulations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Assessment of this unit must be undertaken within relevant marine authority approved and audited arrangements by a registered training organisation: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As a minimum, assessment of knowledge must be conducted through a</w:t>
            </w:r>
            <w:r w:rsidRPr="007434D3">
              <w:t>ppropriate written/oral examinations, and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Appropriate practical assessment must occur: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at the registered training organisation; and/or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on an appropriate working or training vessel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4</w:t>
            </w:r>
          </w:p>
        </w:tc>
        <w:tc>
          <w:tcPr>
            <w:tcW w:w="177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Specific</w:t>
            </w:r>
            <w:r w:rsidRPr="007434D3">
              <w:t xml:space="preserve"> </w:t>
            </w:r>
            <w:r w:rsidRPr="007434D3">
              <w:rPr>
                <w:rStyle w:val="SpecialBold"/>
              </w:rPr>
              <w:t>resources</w:t>
            </w:r>
            <w:r w:rsidRPr="007434D3">
              <w:t xml:space="preserve"> </w:t>
            </w:r>
            <w:r w:rsidRPr="007434D3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Access is required to opportunities to: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participate in a range of exercises, case studies and other simulated practical and knowledge assessments that demonstrate the skills and knowledge </w:t>
            </w:r>
            <w:r w:rsidRPr="007434D3">
              <w:t>to use and carry out planned routine maintenance of deck machinery on a vessel; and/or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use and carry out planned routine maintenance of deck machinery on an operational commercial or training vessel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11" w:name="O_152065"/>
      <w:bookmarkEnd w:id="11"/>
      <w:r w:rsidRPr="007434D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2425"/>
        <w:gridCol w:w="3589"/>
        <w:gridCol w:w="18"/>
        <w:gridCol w:w="28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635" w:type="dxa"/>
          <w:tblHeader/>
        </w:trPr>
        <w:tc>
          <w:tcPr>
            <w:tcW w:w="488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Range Statement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TDMMR3407B OPERATE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Emphasis"/>
              </w:rPr>
              <w:t>The Range Statement relates to the unit of competency as a whole</w:t>
            </w:r>
            <w:r w:rsidRPr="007434D3">
              <w:t xml:space="preserve">. </w:t>
            </w:r>
            <w:r w:rsidRPr="007434D3">
              <w:rPr>
                <w:rStyle w:val="Emphasis"/>
              </w:rPr>
              <w:t>It allows for different work environments and situations that may affect performance</w:t>
            </w:r>
            <w:r w:rsidRPr="007434D3">
              <w:t>.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SCOPE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1</w:t>
            </w:r>
            <w:r w:rsidRPr="007434D3">
              <w:t>.</w:t>
            </w:r>
            <w:r w:rsidRPr="007434D3">
              <w:tab/>
            </w:r>
            <w:r w:rsidRPr="007434D3">
              <w:rPr>
                <w:rStyle w:val="SpecialBold"/>
              </w:rPr>
              <w:t>GENERAL CONTEXT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a</w:t>
            </w:r>
            <w:r w:rsidRPr="007434D3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Work must be carried out</w:t>
            </w:r>
            <w:r w:rsidRPr="007434D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in compliance with the relevant regulatory requirements for the operation and maintenance of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b</w:t>
            </w:r>
            <w:r w:rsidRPr="007434D3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Work is performed</w:t>
            </w:r>
            <w:r w:rsidRPr="007434D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within established operational requirements, with responsibility for own outputs in relation to specified quality standards and limited responsibility for within a team in achieving the specified quality and quantity of outcomes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c</w:t>
            </w:r>
            <w:r w:rsidRPr="007434D3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Work involves</w:t>
            </w:r>
            <w:r w:rsidRPr="007434D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the operation and planned routine maintenance of deck machinery on a vessel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2</w:t>
            </w:r>
            <w:r w:rsidRPr="007434D3">
              <w:t>.</w:t>
            </w:r>
            <w:r w:rsidRPr="007434D3">
              <w:tab/>
            </w:r>
            <w:r w:rsidRPr="007434D3">
              <w:rPr>
                <w:rStyle w:val="SpecialBold"/>
              </w:rPr>
              <w:t>WORKSITE ENVIRONMENT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Vessel may include</w:t>
            </w:r>
            <w:r w:rsidRPr="007434D3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any Australian or international commercial vessel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Operation and ma</w:t>
            </w:r>
            <w:r w:rsidRPr="007434D3">
              <w:rPr>
                <w:rStyle w:val="SpecialBold"/>
              </w:rPr>
              <w:t>intenance of the deck machinery may be carried out</w:t>
            </w:r>
            <w:r w:rsidRPr="007434D3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by day or night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while underway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during berthing and unberthing operations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while anchoring or mooring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while in port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while moored or at anchor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Maintenance may include</w:t>
            </w:r>
            <w:r w:rsidRPr="007434D3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planned maintenance systems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operational checks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recording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reporting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isolation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 xml:space="preserve">cleanliness </w:t>
            </w:r>
          </w:p>
        </w:tc>
      </w:tr>
    </w:tbl>
    <w:p w:rsidR="00000000" w:rsidRPr="007434D3" w:rsidP="007434D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3"/>
        <w:gridCol w:w="365"/>
        <w:gridCol w:w="2071"/>
        <w:gridCol w:w="3607"/>
        <w:gridCol w:w="42"/>
        <w:gridCol w:w="18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667" w:type="dxa"/>
          <w:tblHeader/>
        </w:trPr>
        <w:tc>
          <w:tcPr>
            <w:tcW w:w="48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Range Statement</w:t>
            </w:r>
            <w:r w:rsidRPr="007434D3">
              <w:t xml:space="preserve"> (</w:t>
            </w:r>
            <w:r w:rsidRPr="007434D3">
              <w:rPr>
                <w:rStyle w:val="SpecialBold"/>
              </w:rPr>
              <w:t>continued</w:t>
            </w:r>
            <w:r w:rsidRPr="007434D3">
              <w:t xml:space="preserve">) 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TDMMR3407B OPERATE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SCOPE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c</w:t>
            </w:r>
          </w:p>
        </w:tc>
        <w:tc>
          <w:tcPr>
            <w:tcW w:w="174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Maintenance may include</w:t>
            </w:r>
            <w:r w:rsidRPr="007434D3">
              <w:t>: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(</w:t>
            </w:r>
            <w:r w:rsidRPr="007434D3">
              <w:rPr>
                <w:rStyle w:val="SpecialBold"/>
              </w:rPr>
              <w:t>continued</w:t>
            </w:r>
            <w:r w:rsidRPr="007434D3">
              <w:t xml:space="preserve">) 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7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use of correct tools, parts, and lubricants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8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worksite preparation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d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Deck machinery may include</w:t>
            </w:r>
            <w:r w:rsidRPr="007434D3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anchoring windlasses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mooring equipment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cargo hatch covers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cranes and derricks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lifeboat davits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gangways and pilot ladders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7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ventilators and breathers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8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fairleads and rollers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e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Hydraulic Components of deck machinery may include</w:t>
            </w:r>
            <w:r w:rsidRPr="007434D3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pump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reservoir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rams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motors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filters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coolers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7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valves,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8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control valves and relief valves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9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pipes and hoses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Maintenance tools and equipment may include</w:t>
            </w:r>
            <w:r w:rsidRPr="007434D3">
              <w:t>:</w:t>
            </w: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hand and power tools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greasing and lubrication tools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protective clothing and equipment, including: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</w:t>
            </w:r>
          </w:p>
        </w:tc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eye and ear protection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ii</w:t>
            </w:r>
          </w:p>
        </w:tc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safety boots and helmet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iii</w:t>
            </w:r>
          </w:p>
        </w:tc>
        <w:tc>
          <w:tcPr>
            <w:tcW w:w="5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dust and fume masks</w:t>
            </w:r>
          </w:p>
        </w:tc>
      </w:tr>
    </w:tbl>
    <w:p w:rsidR="00000000" w:rsidRPr="007434D3" w:rsidP="007434D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5"/>
        <w:gridCol w:w="352"/>
        <w:gridCol w:w="115"/>
        <w:gridCol w:w="2324"/>
        <w:gridCol w:w="3635"/>
        <w:gridCol w:w="18"/>
        <w:gridCol w:w="14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667" w:type="dxa"/>
          <w:tblHeader/>
        </w:trPr>
        <w:tc>
          <w:tcPr>
            <w:tcW w:w="48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Range Statement</w:t>
            </w:r>
          </w:p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TDMMR3407B OPERATE DECK MACHINERY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</w:p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VARIABLE</w:t>
            </w:r>
          </w:p>
        </w:tc>
        <w:tc>
          <w:tcPr>
            <w:tcW w:w="642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SCOPE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g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Hazards when operating and maintaining deck machinery may include</w:t>
            </w:r>
            <w:r w:rsidRPr="007434D3">
              <w:t>:</w:t>
            </w: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rotating and moving parts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high pressure systems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slippery deck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sharp tools and implements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power tools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electrical circuits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7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cleaning chemicals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8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oil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9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pollution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10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 xml:space="preserve">heat 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11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cables and ropes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12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faulty machinery equipment handling equipment and lifting gear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13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using equipment beyond safe working limits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14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poor housekeeping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15</w:t>
            </w:r>
          </w:p>
        </w:tc>
        <w:tc>
          <w:tcPr>
            <w:tcW w:w="59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non-compliance with safe working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h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Documentation and records</w:t>
            </w:r>
            <w:r w:rsidRPr="007434D3">
              <w:t xml:space="preserve"> </w:t>
            </w:r>
            <w:r w:rsidRPr="007434D3">
              <w:rPr>
                <w:rStyle w:val="SpecialBold"/>
              </w:rPr>
              <w:t>may include</w:t>
            </w:r>
            <w:r w:rsidRPr="007434D3">
              <w:t xml:space="preserve">: 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ISM Code safety management system plans, procedures, checklists and instructions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planned maintenance system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3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OH&amp;S regulations and policy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4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maintenance records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5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deck machinery manufacturer's instructions, specifications and recommended procedures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6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relevant Australian standards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rPr>
                <w:rStyle w:val="SpecialBold"/>
              </w:rPr>
              <w:t>i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Applicable legislation</w:t>
            </w:r>
            <w:r w:rsidRPr="007434D3">
              <w:t xml:space="preserve">, </w:t>
            </w:r>
            <w:r w:rsidRPr="007434D3">
              <w:rPr>
                <w:rStyle w:val="SpecialBold"/>
              </w:rPr>
              <w:t>regulations and codes may include</w:t>
            </w:r>
            <w:r w:rsidRPr="007434D3">
              <w:t>: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1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sections of the IMO STCW 95 Convention and Code and AMSA Marine Orders related to deck operations and maintenance</w:t>
            </w:r>
          </w:p>
        </w:tc>
      </w:tr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t>2</w:t>
            </w:r>
          </w:p>
        </w:tc>
        <w:tc>
          <w:tcPr>
            <w:tcW w:w="60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relevant Commonwealth, State and Territory OH&amp;S and pollution control legislation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12" w:name="O_152066"/>
      <w:bookmarkEnd w:id="12"/>
      <w:r w:rsidRPr="007434D3">
        <w:t>Unit Sector(s)</w:t>
      </w:r>
    </w:p>
    <w:p w:rsidR="00000000" w:rsidRPr="007434D3" w:rsidP="007434D3">
      <w:pPr>
        <w:pStyle w:val="BodyText"/>
      </w:pPr>
      <w:r w:rsidRPr="007434D3">
        <w:t>Not applicable.</w:t>
      </w:r>
    </w:p>
    <w:p w:rsidR="00000000" w:rsidRPr="007434D3" w:rsidP="007434D3">
      <w:pPr>
        <w:pStyle w:val="AllowPageBreak"/>
      </w:pPr>
    </w:p>
    <w:p w:rsidR="00000000" w:rsidRPr="007434D3" w:rsidP="007434D3">
      <w:pPr>
        <w:pStyle w:val="Heading1"/>
      </w:pPr>
      <w:bookmarkStart w:id="13" w:name="O_163908"/>
      <w:bookmarkEnd w:id="13"/>
      <w:r w:rsidRPr="007434D3">
        <w:t>Field</w:t>
      </w:r>
    </w:p>
    <w:p w:rsidR="00B54CAF" w:rsidP="007434D3">
      <w:pPr>
        <w:pStyle w:val="BodyText"/>
      </w:pPr>
      <w:r w:rsidRPr="007434D3">
        <w:t>Field</w:t>
      </w:r>
      <w:r w:rsidRPr="007434D3">
        <w:tab/>
        <w:t>R</w:t>
      </w:r>
      <w:r w:rsidRPr="007434D3">
        <w:tab/>
        <w:t>Carry Out Operations on Equipment and Systems</w:t>
      </w:r>
    </w:p>
    <w:p w:rsidR="00B54CAF" w:rsidP="007434D3">
      <w:pPr>
        <w:pStyle w:val="BodyText"/>
      </w:pPr>
    </w:p>
    <w:p w:rsidR="00000000" w:rsidRPr="007434D3" w:rsidP="007434D3">
      <w:pPr>
        <w:pStyle w:val="Heading1"/>
      </w:pPr>
      <w:bookmarkStart w:id="14" w:name="O_163909"/>
      <w:bookmarkEnd w:id="14"/>
      <w:r w:rsidRPr="007434D3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54C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4D3">
            <w:pPr>
              <w:pStyle w:val="BodyText"/>
              <w:rPr>
                <w:lang w:val="en-NZ"/>
              </w:rPr>
            </w:pPr>
            <w:r w:rsidRPr="007434D3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4D3" w:rsidP="007434D3">
            <w:pPr>
              <w:pStyle w:val="BodyText"/>
            </w:pPr>
            <w:r w:rsidRPr="007434D3">
              <w:t>The unit must be assessed in conjunction with other units that relate to the functions of the occupation(s</w:t>
            </w:r>
            <w:r w:rsidRPr="007434D3">
              <w:t>) concerned.</w:t>
            </w:r>
          </w:p>
        </w:tc>
      </w:tr>
    </w:tbl>
    <w:p w:rsidR="00000000" w:rsidRPr="007434D3" w:rsidP="007434D3">
      <w:pPr>
        <w:pStyle w:val="BodyText"/>
      </w:pPr>
    </w:p>
    <w:p w:rsidR="00000000" w:rsidRPr="007434D3" w:rsidP="007434D3"/>
    <w:sectPr w:rsidSect="007434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4CAF" w:rsidP="00B54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AF" w:rsidP="00743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54CAF" w:rsidP="00743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54CAF" w:rsidP="007434D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4CAF" w:rsidP="00B54CA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CAF" w:rsidP="00743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TDMMR3407B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54CAF" w:rsidP="007434D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43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4D3"/>
  </w:style>
  <w:style w:type="character" w:customStyle="1" w:styleId="Heading1Char">
    <w:name w:val="Heading 1 Char"/>
    <w:link w:val="Heading1"/>
    <w:rsid w:val="00743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4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434D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43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434D3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7434D3"/>
    <w:rPr>
      <w:b/>
      <w:spacing w:val="0"/>
    </w:rPr>
  </w:style>
  <w:style w:type="paragraph" w:styleId="Header">
    <w:name w:val="header"/>
    <w:basedOn w:val="Normal"/>
    <w:link w:val="HeaderChar"/>
    <w:rsid w:val="00743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43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7434D3"/>
    <w:rPr>
      <w:i/>
    </w:rPr>
  </w:style>
  <w:style w:type="paragraph" w:customStyle="1" w:styleId="SuperHeading">
    <w:name w:val="SuperHeading"/>
    <w:basedOn w:val="Normal"/>
    <w:rsid w:val="007434D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43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43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43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43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43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43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4D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434D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434D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43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43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43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4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34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3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4D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43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4D3"/>
  </w:style>
  <w:style w:type="paragraph" w:styleId="TableofFigures">
    <w:name w:val="table of figures"/>
    <w:basedOn w:val="Normal"/>
    <w:next w:val="Normal"/>
    <w:semiHidden/>
    <w:rsid w:val="00743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4D3"/>
    <w:pPr>
      <w:numPr>
        <w:numId w:val="9"/>
      </w:numPr>
    </w:pPr>
  </w:style>
  <w:style w:type="character" w:customStyle="1" w:styleId="WingdingSymbols">
    <w:name w:val="Wingding Symbols"/>
    <w:rsid w:val="007434D3"/>
    <w:rPr>
      <w:rFonts w:ascii="Wingdings" w:hAnsi="Wingdings"/>
    </w:rPr>
  </w:style>
  <w:style w:type="paragraph" w:customStyle="1" w:styleId="TableHeading">
    <w:name w:val="Table Heading"/>
    <w:basedOn w:val="HeadingBase"/>
    <w:rsid w:val="00743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4D3"/>
    <w:rPr>
      <w:color w:val="0033CC"/>
      <w:u w:val="none"/>
    </w:rPr>
  </w:style>
  <w:style w:type="paragraph" w:customStyle="1" w:styleId="BodyTextRight">
    <w:name w:val="Body Text Right"/>
    <w:basedOn w:val="BodyText"/>
    <w:rsid w:val="00743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4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434D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434D3"/>
    <w:rPr>
      <w:sz w:val="32"/>
    </w:rPr>
  </w:style>
  <w:style w:type="paragraph" w:customStyle="1" w:styleId="HeadingProcedure">
    <w:name w:val="Heading Procedure"/>
    <w:basedOn w:val="HeadingBase"/>
    <w:next w:val="Normal"/>
    <w:rsid w:val="00743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4D3"/>
    <w:pPr>
      <w:spacing w:before="60" w:after="60"/>
    </w:pPr>
  </w:style>
  <w:style w:type="paragraph" w:styleId="ListContinue">
    <w:name w:val="List Continue"/>
    <w:basedOn w:val="List"/>
    <w:rsid w:val="007434D3"/>
    <w:pPr>
      <w:ind w:firstLine="0"/>
    </w:pPr>
  </w:style>
  <w:style w:type="paragraph" w:customStyle="1" w:styleId="ListNote">
    <w:name w:val="List Note"/>
    <w:basedOn w:val="List"/>
    <w:rsid w:val="00743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434D3"/>
    <w:rPr>
      <w:rFonts w:ascii="Courier New" w:hAnsi="Courier New"/>
    </w:rPr>
  </w:style>
  <w:style w:type="paragraph" w:customStyle="1" w:styleId="NoteBullet">
    <w:name w:val="Note Bullet"/>
    <w:basedOn w:val="Note"/>
    <w:rsid w:val="00743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4D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434D3"/>
    <w:rPr>
      <w:b/>
      <w:smallCaps/>
    </w:rPr>
  </w:style>
  <w:style w:type="paragraph" w:customStyle="1" w:styleId="TableListNumber">
    <w:name w:val="Table List Number"/>
    <w:basedOn w:val="ListNumber"/>
    <w:rsid w:val="00743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4D3"/>
    <w:pPr>
      <w:numPr>
        <w:numId w:val="7"/>
      </w:numPr>
    </w:pPr>
  </w:style>
  <w:style w:type="paragraph" w:customStyle="1" w:styleId="ListAlpha2">
    <w:name w:val="List Alpha 2"/>
    <w:basedOn w:val="List2"/>
    <w:rsid w:val="007434D3"/>
    <w:pPr>
      <w:numPr>
        <w:numId w:val="6"/>
      </w:numPr>
    </w:pPr>
  </w:style>
  <w:style w:type="paragraph" w:styleId="List2">
    <w:name w:val="List 2"/>
    <w:basedOn w:val="BodyText"/>
    <w:rsid w:val="00743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4D3"/>
    <w:pPr>
      <w:numPr>
        <w:numId w:val="1"/>
      </w:numPr>
    </w:pPr>
  </w:style>
  <w:style w:type="paragraph" w:styleId="ListBullet5">
    <w:name w:val="List Bullet 5"/>
    <w:basedOn w:val="List5"/>
    <w:rsid w:val="007434D3"/>
    <w:pPr>
      <w:numPr>
        <w:numId w:val="2"/>
      </w:numPr>
    </w:pPr>
  </w:style>
  <w:style w:type="paragraph" w:styleId="ListContinue2">
    <w:name w:val="List Continue 2"/>
    <w:basedOn w:val="List2"/>
    <w:rsid w:val="007434D3"/>
    <w:pPr>
      <w:ind w:firstLine="0"/>
    </w:pPr>
  </w:style>
  <w:style w:type="paragraph" w:styleId="ListContinue3">
    <w:name w:val="List Continue 3"/>
    <w:basedOn w:val="List3"/>
    <w:rsid w:val="007434D3"/>
    <w:pPr>
      <w:ind w:left="1021" w:firstLine="0"/>
    </w:pPr>
  </w:style>
  <w:style w:type="paragraph" w:styleId="ListContinue4">
    <w:name w:val="List Continue 4"/>
    <w:basedOn w:val="List4"/>
    <w:rsid w:val="007434D3"/>
    <w:pPr>
      <w:ind w:firstLine="0"/>
    </w:pPr>
  </w:style>
  <w:style w:type="paragraph" w:styleId="ListContinue5">
    <w:name w:val="List Continue 5"/>
    <w:basedOn w:val="List5"/>
    <w:rsid w:val="007434D3"/>
    <w:pPr>
      <w:ind w:firstLine="0"/>
    </w:pPr>
  </w:style>
  <w:style w:type="paragraph" w:styleId="ListNumber3">
    <w:name w:val="List Number 3"/>
    <w:basedOn w:val="List3"/>
    <w:rsid w:val="007434D3"/>
    <w:pPr>
      <w:numPr>
        <w:numId w:val="3"/>
      </w:numPr>
    </w:pPr>
  </w:style>
  <w:style w:type="paragraph" w:styleId="ListNumber4">
    <w:name w:val="List Number 4"/>
    <w:basedOn w:val="List4"/>
    <w:rsid w:val="007434D3"/>
    <w:pPr>
      <w:numPr>
        <w:numId w:val="4"/>
      </w:numPr>
    </w:pPr>
  </w:style>
  <w:style w:type="paragraph" w:styleId="ListNumber5">
    <w:name w:val="List Number 5"/>
    <w:basedOn w:val="List5"/>
    <w:rsid w:val="007434D3"/>
    <w:pPr>
      <w:numPr>
        <w:numId w:val="5"/>
      </w:numPr>
    </w:pPr>
  </w:style>
  <w:style w:type="paragraph" w:styleId="BlockText">
    <w:name w:val="Block Text"/>
    <w:basedOn w:val="Normal"/>
    <w:rsid w:val="007434D3"/>
    <w:pPr>
      <w:spacing w:after="120"/>
      <w:ind w:left="1440" w:right="1440"/>
    </w:pPr>
  </w:style>
  <w:style w:type="character" w:customStyle="1" w:styleId="Subscript">
    <w:name w:val="Subscript"/>
    <w:rsid w:val="007434D3"/>
    <w:rPr>
      <w:sz w:val="16"/>
      <w:vertAlign w:val="subscript"/>
    </w:rPr>
  </w:style>
  <w:style w:type="character" w:customStyle="1" w:styleId="Superscript">
    <w:name w:val="Superscript"/>
    <w:rsid w:val="007434D3"/>
    <w:rPr>
      <w:sz w:val="16"/>
      <w:vertAlign w:val="superscript"/>
    </w:rPr>
  </w:style>
  <w:style w:type="character" w:customStyle="1" w:styleId="Symbols">
    <w:name w:val="Symbols"/>
    <w:rsid w:val="007434D3"/>
    <w:rPr>
      <w:rFonts w:ascii="Symbol" w:hAnsi="Symbol"/>
    </w:rPr>
  </w:style>
  <w:style w:type="character" w:customStyle="1" w:styleId="MenuOptions">
    <w:name w:val="Menu Options"/>
    <w:rsid w:val="007434D3"/>
    <w:rPr>
      <w:rFonts w:ascii="Arial Narrow" w:hAnsi="Arial Narrow"/>
      <w:smallCaps/>
    </w:rPr>
  </w:style>
  <w:style w:type="character" w:customStyle="1" w:styleId="Buttons">
    <w:name w:val="Buttons"/>
    <w:rsid w:val="007434D3"/>
    <w:rPr>
      <w:b/>
    </w:rPr>
  </w:style>
  <w:style w:type="character" w:customStyle="1" w:styleId="Underlined">
    <w:name w:val="Underlined"/>
    <w:rsid w:val="007434D3"/>
    <w:rPr>
      <w:u w:val="single"/>
    </w:rPr>
  </w:style>
  <w:style w:type="paragraph" w:customStyle="1" w:styleId="TableBodyTextRight">
    <w:name w:val="Table Body Text Right"/>
    <w:basedOn w:val="TableBodyText"/>
    <w:rsid w:val="00743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4D3"/>
    <w:rPr>
      <w:sz w:val="18"/>
    </w:rPr>
  </w:style>
  <w:style w:type="paragraph" w:customStyle="1" w:styleId="BodySmallRight">
    <w:name w:val="Body Small Right"/>
    <w:basedOn w:val="BodyTextRight"/>
    <w:rsid w:val="007434D3"/>
    <w:rPr>
      <w:sz w:val="18"/>
      <w:szCs w:val="18"/>
    </w:rPr>
  </w:style>
  <w:style w:type="paragraph" w:customStyle="1" w:styleId="MarginEdition">
    <w:name w:val="Margin Edition"/>
    <w:basedOn w:val="MarginNote"/>
    <w:rsid w:val="00743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4D3"/>
    <w:rPr>
      <w:sz w:val="2"/>
      <w:szCs w:val="2"/>
    </w:rPr>
  </w:style>
  <w:style w:type="character" w:customStyle="1" w:styleId="Small">
    <w:name w:val="Small"/>
    <w:rsid w:val="007434D3"/>
    <w:rPr>
      <w:sz w:val="16"/>
    </w:rPr>
  </w:style>
  <w:style w:type="paragraph" w:customStyle="1" w:styleId="WideTable">
    <w:name w:val="Wide Table"/>
    <w:basedOn w:val="Normal"/>
    <w:rsid w:val="007434D3"/>
    <w:pPr>
      <w:ind w:left="-1418"/>
    </w:pPr>
    <w:rPr>
      <w:sz w:val="2"/>
      <w:szCs w:val="2"/>
    </w:rPr>
  </w:style>
  <w:style w:type="character" w:styleId="PageNumber">
    <w:name w:val="page number"/>
    <w:rsid w:val="007434D3"/>
  </w:style>
  <w:style w:type="paragraph" w:styleId="Quote">
    <w:name w:val="Quote"/>
    <w:basedOn w:val="Heading1"/>
    <w:link w:val="QuoteChar"/>
    <w:qFormat/>
    <w:rsid w:val="007434D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43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4D3"/>
    <w:pPr>
      <w:pageBreakBefore/>
    </w:pPr>
  </w:style>
  <w:style w:type="paragraph" w:customStyle="1" w:styleId="Border">
    <w:name w:val="Border"/>
    <w:basedOn w:val="Normal"/>
    <w:qFormat/>
    <w:rsid w:val="00743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43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434D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434D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43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434D3"/>
    <w:rPr>
      <w:u w:val="single"/>
    </w:rPr>
  </w:style>
  <w:style w:type="character" w:customStyle="1" w:styleId="BoldandItalics">
    <w:name w:val="Bold and Italics"/>
    <w:qFormat/>
    <w:rsid w:val="007434D3"/>
    <w:rPr>
      <w:b/>
      <w:i/>
      <w:u w:val="none"/>
    </w:rPr>
  </w:style>
  <w:style w:type="paragraph" w:styleId="BalloonText">
    <w:name w:val="Balloon Text"/>
    <w:basedOn w:val="Normal"/>
    <w:link w:val="BalloonTextChar"/>
    <w:rsid w:val="00743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434D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434D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434D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1902</Words>
  <Characters>11166</Characters>
  <Application>Microsoft Office Word</Application>
  <DocSecurity>0</DocSecurity>
  <Lines>835</Lines>
  <Paragraphs>380</Paragraphs>
  <ScaleCrop>false</ScaleCrop>
  <Company>Author-it Software Corporation Ltd.</Company>
  <LinksUpToDate>false</LinksUpToDate>
  <CharactersWithSpaces>12735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TDMMR3407B OPERATE DECK MACHINERY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2012-05-26T21:57:00Z</dcterms:created>
  <dcterms:modified xsi:type="dcterms:W3CDTF">2012-05-26T21:57:00Z</dcterms:modified>
</cp:coreProperties>
</file>