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CC2" w:rsidP="00072CC2">
      <w:pPr>
        <w:pStyle w:val="Title"/>
      </w:pPr>
      <w:r>
        <w:fldChar w:fldCharType="begin"/>
      </w:r>
      <w:r>
        <w:instrText xml:space="preserve"> TITLE   \* MERGEFORMAT </w:instrText>
      </w:r>
      <w:r>
        <w:fldChar w:fldCharType="separate"/>
      </w:r>
      <w:r>
        <w:t>TDMMR1907B SAFELY HANDLE AND STOW EXPLOSIVE AND FLAMMABLE MATERIALS</w:t>
      </w:r>
      <w:r>
        <w:fldChar w:fldCharType="end"/>
      </w:r>
    </w:p>
    <w:p w:rsidR="00072CC2" w:rsidP="00072CC2">
      <w:pPr>
        <w:pStyle w:val="Version"/>
        <w:sectPr w:rsidSect="00AE27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2784" w:rsidP="00AE2784">
      <w:pPr>
        <w:pStyle w:val="SuperHeading"/>
      </w:pPr>
      <w:r w:rsidRPr="00AE2784">
        <w:t>TDMMR1907B SAFELY HANDLE AND STOW EXPLOSIVE AND FLAMMABLE MATERIALS</w:t>
      </w:r>
    </w:p>
    <w:p w:rsidR="00000000" w:rsidRPr="00AE2784" w:rsidP="00AE2784">
      <w:pPr>
        <w:pStyle w:val="SuperHeading"/>
      </w:pPr>
    </w:p>
    <w:p w:rsidR="00000000" w:rsidRPr="00AE2784" w:rsidP="00AE2784">
      <w:pPr>
        <w:pStyle w:val="Heading1"/>
      </w:pPr>
      <w:bookmarkStart w:id="1" w:name="O_151863"/>
      <w:bookmarkEnd w:id="1"/>
      <w:r w:rsidRPr="00AE2784">
        <w:t>Modification History</w:t>
      </w:r>
    </w:p>
    <w:p w:rsidR="00000000" w:rsidRPr="00AE2784" w:rsidP="00AE2784">
      <w:pPr>
        <w:pStyle w:val="BodyText"/>
      </w:pPr>
      <w:r w:rsidRPr="00AE2784">
        <w:t>Not applicable.</w:t>
      </w:r>
    </w:p>
    <w:p w:rsidR="00000000" w:rsidRPr="00AE2784" w:rsidP="00AE2784">
      <w:pPr>
        <w:pStyle w:val="AllowPageBreak"/>
      </w:pPr>
    </w:p>
    <w:p w:rsidR="00000000" w:rsidRPr="00AE2784" w:rsidP="00AE2784">
      <w:pPr>
        <w:pStyle w:val="Heading1"/>
      </w:pPr>
      <w:bookmarkStart w:id="2" w:name="O_151864"/>
      <w:bookmarkEnd w:id="2"/>
      <w:r w:rsidRPr="00AE2784">
        <w:t>Unit Descriptor</w:t>
      </w:r>
    </w:p>
    <w:tbl>
      <w:tblPr>
        <w:tblW w:w="0" w:type="auto"/>
        <w:tblLayout w:type="fixed"/>
        <w:tblCellMar>
          <w:left w:w="62" w:type="dxa"/>
          <w:right w:w="62" w:type="dxa"/>
        </w:tblCellMar>
        <w:tblLook w:val="0000"/>
      </w:tblPr>
      <w:tblGrid>
        <w:gridCol w:w="1974"/>
        <w:gridCol w:w="6593"/>
      </w:tblGrid>
      <w:tr w:rsidTr="00072CC2">
        <w:tblPrEx>
          <w:tblW w:w="0" w:type="auto"/>
          <w:tblLayout w:type="fixed"/>
          <w:tblCellMar>
            <w:left w:w="62" w:type="dxa"/>
            <w:right w:w="62" w:type="dxa"/>
          </w:tblCellMar>
          <w:tblLook w:val="0000"/>
        </w:tblPrEx>
        <w:tc>
          <w:tcPr>
            <w:tcW w:w="856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784" w:rsidP="00AE2784">
            <w:pPr>
              <w:pStyle w:val="BodyText"/>
            </w:pPr>
            <w:r w:rsidRPr="00AE2784">
              <w:t>UNIT DESCRIPTOR:</w:t>
            </w:r>
          </w:p>
          <w:p w:rsidR="00000000" w:rsidP="00AE2784">
            <w:pPr>
              <w:pStyle w:val="BodyText"/>
              <w:rPr>
                <w:lang w:val="en-NZ"/>
              </w:rPr>
            </w:pPr>
            <w:r w:rsidRPr="00AE2784">
              <w:rPr>
                <w:rStyle w:val="SpecialBold"/>
              </w:rPr>
              <w:t>This unit involves the skills and knowledge required to safely handle and stow ex</w:t>
            </w:r>
            <w:r w:rsidRPr="00AE2784">
              <w:rPr>
                <w:rStyle w:val="SpecialBold"/>
              </w:rPr>
              <w:t>plosive and flammable materials</w:t>
            </w:r>
            <w:r w:rsidRPr="00AE2784">
              <w:t xml:space="preserve">, </w:t>
            </w:r>
            <w:r w:rsidRPr="00AE2784">
              <w:rPr>
                <w:rStyle w:val="SpecialBold"/>
              </w:rPr>
              <w:t>including explosive liquids</w:t>
            </w:r>
            <w:r w:rsidRPr="00AE2784">
              <w:t xml:space="preserve">, </w:t>
            </w:r>
            <w:r w:rsidRPr="00AE2784">
              <w:rPr>
                <w:rStyle w:val="SpecialBold"/>
              </w:rPr>
              <w:t>gases</w:t>
            </w:r>
            <w:r w:rsidRPr="00AE2784">
              <w:t xml:space="preserve">, </w:t>
            </w:r>
            <w:r w:rsidRPr="00AE2784">
              <w:rPr>
                <w:rStyle w:val="SpecialBold"/>
              </w:rPr>
              <w:t>solids and other materials likely to be carried on a small vessel less than 1</w:t>
            </w:r>
            <w:r w:rsidRPr="00AE2784">
              <w:t>,</w:t>
            </w:r>
            <w:r w:rsidRPr="00AE2784">
              <w:rPr>
                <w:rStyle w:val="SpecialBold"/>
              </w:rPr>
              <w:t>500 KW propulsion power</w:t>
            </w:r>
            <w:r w:rsidRPr="00AE2784">
              <w:t xml:space="preserve">. </w:t>
            </w:r>
            <w:r w:rsidRPr="00AE2784">
              <w:rPr>
                <w:rStyle w:val="SpecialBold"/>
              </w:rPr>
              <w:t>In particular</w:t>
            </w:r>
            <w:r w:rsidRPr="00AE2784">
              <w:t xml:space="preserve">, </w:t>
            </w:r>
            <w:r w:rsidRPr="00AE2784">
              <w:rPr>
                <w:rStyle w:val="SpecialBold"/>
              </w:rPr>
              <w:t>this may include spare fuel</w:t>
            </w:r>
            <w:r w:rsidRPr="00AE2784">
              <w:t xml:space="preserve">, </w:t>
            </w:r>
            <w:r w:rsidRPr="00AE2784">
              <w:rPr>
                <w:rStyle w:val="SpecialBold"/>
              </w:rPr>
              <w:t>lubricants</w:t>
            </w:r>
            <w:r w:rsidRPr="00AE2784">
              <w:t xml:space="preserve">, </w:t>
            </w:r>
            <w:r w:rsidRPr="00AE2784">
              <w:rPr>
                <w:rStyle w:val="SpecialBold"/>
              </w:rPr>
              <w:t>LPG cooking gas</w:t>
            </w:r>
            <w:r w:rsidRPr="00AE2784">
              <w:t xml:space="preserve">, </w:t>
            </w:r>
            <w:r w:rsidRPr="00AE2784">
              <w:rPr>
                <w:rStyle w:val="SpecialBold"/>
              </w:rPr>
              <w:t>flares</w:t>
            </w:r>
            <w:r w:rsidRPr="00AE2784">
              <w:t xml:space="preserve">, </w:t>
            </w:r>
            <w:r w:rsidRPr="00AE2784">
              <w:rPr>
                <w:rStyle w:val="SpecialBold"/>
              </w:rPr>
              <w:t>liquid fuels and refrigerant gases</w:t>
            </w:r>
            <w:r w:rsidRPr="00AE2784">
              <w:t>.</w:t>
            </w:r>
          </w:p>
        </w:tc>
      </w:tr>
      <w:tr w:rsidTr="00072CC2">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single" w:sz="6" w:space="0" w:color="auto"/>
              <w:left w:val="nil"/>
              <w:bottom w:val="single" w:sz="6" w:space="0" w:color="auto"/>
              <w:right w:val="nil"/>
            </w:tcBorders>
            <w:tcMar>
              <w:top w:w="0" w:type="dxa"/>
              <w:left w:w="62" w:type="dxa"/>
              <w:bottom w:w="0" w:type="dxa"/>
              <w:right w:w="62" w:type="dxa"/>
            </w:tcMar>
          </w:tcPr>
          <w:p w:rsidR="00000000" w:rsidRPr="00AE2784" w:rsidP="00AE2784">
            <w:pPr>
              <w:pStyle w:val="BodyText"/>
            </w:pPr>
          </w:p>
        </w:tc>
      </w:tr>
    </w:tbl>
    <w:p w:rsidR="00000000" w:rsidRPr="00AE2784" w:rsidP="00AE2784">
      <w:pPr>
        <w:pStyle w:val="BodyText"/>
      </w:pPr>
    </w:p>
    <w:p w:rsidR="00000000" w:rsidRPr="00AE2784" w:rsidP="00AE2784">
      <w:pPr>
        <w:pStyle w:val="AllowPageBreak"/>
      </w:pPr>
    </w:p>
    <w:p w:rsidR="00000000" w:rsidRPr="00AE2784" w:rsidP="00AE2784">
      <w:pPr>
        <w:pStyle w:val="Heading1"/>
      </w:pPr>
      <w:bookmarkStart w:id="3" w:name="O_151865"/>
      <w:bookmarkEnd w:id="3"/>
      <w:r w:rsidRPr="00AE2784">
        <w:t>Application of the Unit</w:t>
      </w:r>
    </w:p>
    <w:tbl>
      <w:tblPr>
        <w:tblW w:w="0" w:type="auto"/>
        <w:tblLayout w:type="fixed"/>
        <w:tblCellMar>
          <w:left w:w="62" w:type="dxa"/>
          <w:right w:w="62" w:type="dxa"/>
        </w:tblCellMar>
        <w:tblLook w:val="0000"/>
      </w:tblPr>
      <w:tblGrid>
        <w:gridCol w:w="1974"/>
        <w:gridCol w:w="6593"/>
      </w:tblGrid>
      <w:tr w:rsidTr="00072CC2">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Application of the unit</w:t>
            </w:r>
          </w:p>
        </w:tc>
        <w:tc>
          <w:tcPr>
            <w:tcW w:w="6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784" w:rsidP="00AE2784">
            <w:pPr>
              <w:pStyle w:val="BodyText"/>
            </w:pPr>
            <w:r w:rsidRPr="00AE2784">
              <w:t xml:space="preserve">The unit has applications in the qualifications for Marine Engine Drivers Grades 1, 2 and 3 and Marine Engine Driver Grade  3 as per relevant </w:t>
            </w:r>
            <w:r w:rsidRPr="00AE2784">
              <w:t xml:space="preserve">sections of Part D of the NSCV, i.e. Certificate IV in Transport&amp;Distribution (Marine Engine Driving - Grade 1), Certificate III in Transport&amp;Distribution (Marine Engine Driving - Grade 2), Certificate II in Transport&amp;Distribution (Marine Engine Driving - </w:t>
            </w:r>
            <w:r w:rsidRPr="00AE2784">
              <w:t>Grade 3) and Diploma of Transport&amp;Distribution (Coastal Marine Engineering - Engineer Class 3).</w:t>
            </w:r>
          </w:p>
        </w:tc>
      </w:tr>
    </w:tbl>
    <w:p w:rsidR="00000000" w:rsidRPr="00AE2784" w:rsidP="00AE2784">
      <w:pPr>
        <w:pStyle w:val="BodyText"/>
      </w:pPr>
    </w:p>
    <w:p w:rsidR="00000000" w:rsidRPr="00AE2784" w:rsidP="00AE2784">
      <w:pPr>
        <w:pStyle w:val="AllowPageBreak"/>
      </w:pPr>
    </w:p>
    <w:p w:rsidR="00000000" w:rsidRPr="00AE2784" w:rsidP="00AE2784">
      <w:pPr>
        <w:pStyle w:val="Heading1"/>
      </w:pPr>
      <w:bookmarkStart w:id="4" w:name="O_151866"/>
      <w:bookmarkEnd w:id="4"/>
      <w:r w:rsidRPr="00AE2784">
        <w:t>Licensing/Regulatory Information</w:t>
      </w:r>
    </w:p>
    <w:tbl>
      <w:tblPr>
        <w:tblW w:w="0" w:type="auto"/>
        <w:tblLayout w:type="fixed"/>
        <w:tblCellMar>
          <w:left w:w="62" w:type="dxa"/>
          <w:right w:w="62" w:type="dxa"/>
        </w:tblCellMar>
        <w:tblLook w:val="0000"/>
      </w:tblPr>
      <w:tblGrid>
        <w:gridCol w:w="1974"/>
        <w:gridCol w:w="6593"/>
      </w:tblGrid>
      <w:tr w:rsidTr="00072CC2">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Licensing</w:t>
            </w:r>
            <w:r w:rsidRPr="00AE2784">
              <w:t>/</w:t>
            </w:r>
            <w:r w:rsidRPr="00AE2784">
              <w:rPr>
                <w:rStyle w:val="SpecialBold"/>
              </w:rPr>
              <w:t>legislative requirements</w:t>
            </w:r>
          </w:p>
        </w:tc>
        <w:tc>
          <w:tcPr>
            <w:tcW w:w="6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784" w:rsidP="00AE2784">
            <w:pPr>
              <w:pStyle w:val="BodyText"/>
            </w:pPr>
            <w:r w:rsidRPr="00AE2784">
              <w:t>The unit is consistent with the relevant sections of State and Territory maritime regulations and NSCV/USL Code for Marine Engine Drivers, Grades 1, 2 and 3 and Marine Engine Driver Grade  3 on commercial vessels operating in coastal waters.</w:t>
            </w:r>
          </w:p>
        </w:tc>
      </w:tr>
    </w:tbl>
    <w:p w:rsidR="00000000" w:rsidRPr="00AE2784" w:rsidP="00AE2784">
      <w:pPr>
        <w:pStyle w:val="BodyText"/>
      </w:pPr>
    </w:p>
    <w:p w:rsidR="00000000" w:rsidRPr="00AE2784" w:rsidP="00AE2784">
      <w:pPr>
        <w:pStyle w:val="AllowPageBreak"/>
      </w:pPr>
    </w:p>
    <w:p w:rsidR="00000000" w:rsidRPr="00AE2784" w:rsidP="00AE2784">
      <w:pPr>
        <w:pStyle w:val="Heading1"/>
      </w:pPr>
      <w:bookmarkStart w:id="5" w:name="O_151868"/>
      <w:bookmarkEnd w:id="5"/>
      <w:r w:rsidRPr="00AE2784">
        <w:t>Pre-Requisites</w:t>
      </w:r>
    </w:p>
    <w:p w:rsidR="00000000" w:rsidRPr="00AE2784" w:rsidP="00AE2784">
      <w:pPr>
        <w:pStyle w:val="BodyText"/>
      </w:pPr>
      <w:r w:rsidRPr="00AE2784">
        <w:t>Not applicable.</w:t>
      </w:r>
    </w:p>
    <w:p w:rsidR="00000000" w:rsidRPr="00AE2784" w:rsidP="00AE2784">
      <w:pPr>
        <w:pStyle w:val="AllowPageBreak"/>
      </w:pPr>
    </w:p>
    <w:p w:rsidR="00000000" w:rsidRPr="00AE2784" w:rsidP="00AE2784">
      <w:pPr>
        <w:pStyle w:val="Heading1"/>
      </w:pPr>
      <w:bookmarkStart w:id="6" w:name="O_151867"/>
      <w:bookmarkEnd w:id="6"/>
      <w:r w:rsidRPr="00AE2784">
        <w:t>Employability Skills Information</w:t>
      </w:r>
    </w:p>
    <w:p w:rsidR="00000000" w:rsidRPr="00AE2784" w:rsidP="00AE2784">
      <w:pPr>
        <w:pStyle w:val="BodyText"/>
      </w:pPr>
      <w:r w:rsidRPr="00AE2784">
        <w:t>Not applicable.</w:t>
      </w:r>
    </w:p>
    <w:p w:rsidR="00000000" w:rsidRPr="00AE2784" w:rsidP="00AE2784">
      <w:pPr>
        <w:pStyle w:val="AllowPageBreak"/>
      </w:pPr>
    </w:p>
    <w:p w:rsidR="00000000" w:rsidRPr="00AE2784" w:rsidP="00AE2784">
      <w:pPr>
        <w:pStyle w:val="Heading1"/>
      </w:pPr>
      <w:bookmarkStart w:id="7" w:name="O_151869"/>
      <w:bookmarkEnd w:id="7"/>
      <w:r w:rsidRPr="00AE2784">
        <w:t>Elements and Performance Criteria Pre-Content</w:t>
      </w:r>
    </w:p>
    <w:tbl>
      <w:tblPr>
        <w:tblW w:w="0" w:type="auto"/>
        <w:tblLayout w:type="fixed"/>
        <w:tblCellMar>
          <w:left w:w="62" w:type="dxa"/>
          <w:right w:w="62" w:type="dxa"/>
        </w:tblCellMar>
        <w:tblLook w:val="0000"/>
      </w:tblPr>
      <w:tblGrid>
        <w:gridCol w:w="1946"/>
        <w:gridCol w:w="6551"/>
      </w:tblGrid>
      <w:tr w:rsidTr="00072CC2">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AE2784" w:rsidP="00AE2784">
            <w:pPr>
              <w:pStyle w:val="BodyText"/>
            </w:pPr>
            <w:r w:rsidRPr="00AE2784">
              <w:rPr>
                <w:rStyle w:val="Emphasis"/>
              </w:rPr>
              <w:t>Elements describe the essential outcomes of a unit of competency</w:t>
            </w:r>
            <w:r w:rsidRPr="00AE2784">
              <w:t>.</w:t>
            </w:r>
          </w:p>
        </w:tc>
        <w:tc>
          <w:tcPr>
            <w:tcW w:w="6551" w:type="dxa"/>
            <w:tcBorders>
              <w:top w:val="single" w:sz="6" w:space="0" w:color="auto"/>
              <w:left w:val="single" w:sz="6" w:space="0" w:color="auto"/>
              <w:bottom w:val="nil"/>
              <w:right w:val="nil"/>
            </w:tcBorders>
            <w:tcMar>
              <w:top w:w="0" w:type="dxa"/>
              <w:left w:w="62" w:type="dxa"/>
              <w:bottom w:w="0" w:type="dxa"/>
              <w:right w:w="62" w:type="dxa"/>
            </w:tcMar>
          </w:tcPr>
          <w:p w:rsidR="00000000" w:rsidRPr="00AE2784" w:rsidP="00AE2784">
            <w:pPr>
              <w:pStyle w:val="BodyText"/>
            </w:pPr>
            <w:r w:rsidRPr="00AE2784">
              <w:rPr>
                <w:rStyle w:val="Emphasis"/>
              </w:rPr>
              <w:t>Performance Criteria describe the required performance needed to demonstrate achievement of the element</w:t>
            </w:r>
            <w:r w:rsidRPr="00AE2784">
              <w:t xml:space="preserve">. </w:t>
            </w:r>
            <w:r w:rsidRPr="00AE2784">
              <w:rPr>
                <w:rStyle w:val="Emphasis"/>
              </w:rPr>
              <w:t>Assessment of performance is to be consistent with the Evidence Guide</w:t>
            </w:r>
            <w:r w:rsidRPr="00AE2784">
              <w:t>.</w:t>
            </w:r>
          </w:p>
        </w:tc>
      </w:tr>
    </w:tbl>
    <w:p w:rsidR="00000000" w:rsidRPr="00AE2784" w:rsidP="00AE2784">
      <w:pPr>
        <w:pStyle w:val="BodyText"/>
      </w:pPr>
    </w:p>
    <w:p w:rsidR="00000000" w:rsidRPr="00AE2784" w:rsidP="00AE2784">
      <w:pPr>
        <w:pStyle w:val="AllowPageBreak"/>
      </w:pPr>
    </w:p>
    <w:p w:rsidR="00000000" w:rsidRPr="00AE2784" w:rsidP="00AE2784">
      <w:pPr>
        <w:pStyle w:val="Heading1"/>
      </w:pPr>
      <w:bookmarkStart w:id="8" w:name="O_151870"/>
      <w:bookmarkEnd w:id="8"/>
      <w:r w:rsidRPr="00AE2784">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29"/>
        <w:gridCol w:w="158"/>
      </w:tblGrid>
      <w:tr w:rsidTr="00072CC2">
        <w:tblPrEx>
          <w:tblW w:w="0" w:type="auto"/>
          <w:tblLayout w:type="fixed"/>
          <w:tblCellMar>
            <w:left w:w="62" w:type="dxa"/>
            <w:right w:w="62" w:type="dxa"/>
          </w:tblCellMar>
          <w:tblLook w:val="0000"/>
        </w:tblPrEx>
        <w:trPr>
          <w:gridAfter w:val="1"/>
          <w:wAfter w:w="158"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E2784" w:rsidP="00AE2784">
            <w:pPr>
              <w:pStyle w:val="BodyText"/>
            </w:pPr>
            <w:r w:rsidRPr="00AE2784">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E2784">
            <w:pPr>
              <w:pStyle w:val="BodyText"/>
              <w:rPr>
                <w:lang w:val="en-NZ"/>
              </w:rPr>
            </w:pPr>
            <w:r w:rsidRPr="00AE2784">
              <w:rPr>
                <w:rStyle w:val="SpecialBold"/>
              </w:rPr>
              <w:t>PERFORMANCE CRITER</w:t>
            </w:r>
            <w:r w:rsidRPr="00AE2784">
              <w:rPr>
                <w:rStyle w:val="SpecialBold"/>
              </w:rPr>
              <w:t>IA</w:t>
            </w:r>
          </w:p>
        </w:tc>
      </w:tr>
      <w:tr w:rsidTr="00072CC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Handle and stow explosive and flammable materials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a</w:t>
            </w:r>
          </w:p>
        </w:tc>
        <w:tc>
          <w:tcPr>
            <w:tcW w:w="6191"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 xml:space="preserve">Preparations for handling and stowing explosive and flammable materials are undertaken as per relevant hazardous materials regulations and material safety data sheets </w:t>
            </w:r>
          </w:p>
        </w:tc>
      </w:tr>
      <w:tr w:rsidTr="00072CC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b</w:t>
            </w:r>
          </w:p>
        </w:tc>
        <w:tc>
          <w:tcPr>
            <w:tcW w:w="6191"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Explosive or flammable materials are correctly identified prior to commencement of handling and stowage operations</w:t>
            </w:r>
          </w:p>
        </w:tc>
      </w:tr>
      <w:tr w:rsidTr="00072CC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c</w:t>
            </w:r>
          </w:p>
        </w:tc>
        <w:tc>
          <w:tcPr>
            <w:tcW w:w="6191"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Techniques for handling of the hazardous materials are selected and correctly applied according to the types of materials to be handled and/or stowed</w:t>
            </w:r>
          </w:p>
        </w:tc>
      </w:tr>
      <w:tr w:rsidTr="00072CC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d</w:t>
            </w:r>
          </w:p>
        </w:tc>
        <w:tc>
          <w:tcPr>
            <w:tcW w:w="6191"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Communication with others is clear, concise and acknowledged at all times according to good hazardous</w:t>
            </w:r>
            <w:r w:rsidRPr="00AE2784">
              <w:t xml:space="preserve"> materials handling practice and regulations</w:t>
            </w:r>
          </w:p>
        </w:tc>
      </w:tr>
      <w:tr w:rsidTr="00072CC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e</w:t>
            </w:r>
          </w:p>
        </w:tc>
        <w:tc>
          <w:tcPr>
            <w:tcW w:w="6191"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Records of explosive or flammable materials handled or stowed on the vessel are completed as per regulatory requirements and vessel's procedures</w:t>
            </w:r>
          </w:p>
        </w:tc>
      </w:tr>
      <w:tr w:rsidTr="00072CC2">
        <w:tblPrEx>
          <w:tblW w:w="0" w:type="auto"/>
          <w:tblLayout w:type="fixed"/>
          <w:tblCellMar>
            <w:left w:w="62" w:type="dxa"/>
            <w:right w:w="62" w:type="dxa"/>
          </w:tblCellMar>
          <w:tblLook w:val="0000"/>
        </w:tblPrEx>
        <w:trPr>
          <w:gridAfter w:val="2"/>
          <w:wAfter w:w="187"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E2784">
            <w:pPr>
              <w:pStyle w:val="BodyText"/>
              <w:rPr>
                <w:lang w:val="en-NZ"/>
              </w:rPr>
            </w:pPr>
          </w:p>
        </w:tc>
      </w:tr>
      <w:tr w:rsidTr="00072CC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Follow safety and hazard control procedures</w:t>
            </w:r>
          </w:p>
        </w:tc>
        <w:tc>
          <w:tcPr>
            <w:tcW w:w="34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a</w:t>
            </w:r>
          </w:p>
        </w:tc>
        <w:tc>
          <w:tcPr>
            <w:tcW w:w="6211"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Potential hazards when handling explosive and dangerous materials are identified and action is taken to minimise or eliminate risk to personnel, the vessel and the environment</w:t>
            </w:r>
          </w:p>
        </w:tc>
      </w:tr>
      <w:tr w:rsidTr="00072CC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b</w:t>
            </w:r>
          </w:p>
        </w:tc>
        <w:tc>
          <w:tcPr>
            <w:tcW w:w="6211" w:type="dxa"/>
            <w:gridSpan w:val="4"/>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t xml:space="preserve">Safety precautions and hazard minimisation procedures and </w:t>
            </w:r>
            <w:r w:rsidRPr="00AE2784">
              <w:t>regulations are followed when handling and stowing explosive and flammable materials</w:t>
            </w:r>
          </w:p>
        </w:tc>
      </w:tr>
    </w:tbl>
    <w:p w:rsidR="00000000" w:rsidRPr="00AE2784" w:rsidP="00AE2784">
      <w:pPr>
        <w:pStyle w:val="BodyText"/>
      </w:pPr>
    </w:p>
    <w:tbl>
      <w:tblPr>
        <w:tblW w:w="0" w:type="auto"/>
        <w:tblLayout w:type="fixed"/>
        <w:tblCellMar>
          <w:left w:w="62" w:type="dxa"/>
          <w:right w:w="62" w:type="dxa"/>
        </w:tblCellMar>
        <w:tblLook w:val="0000"/>
      </w:tblPr>
      <w:tblGrid>
        <w:gridCol w:w="340"/>
        <w:gridCol w:w="1559"/>
        <w:gridCol w:w="387"/>
        <w:gridCol w:w="6211"/>
      </w:tblGrid>
      <w:tr w:rsidTr="00072CC2">
        <w:tblPrEx>
          <w:tblW w:w="0" w:type="auto"/>
          <w:tblLayout w:type="fixed"/>
          <w:tblCellMar>
            <w:left w:w="62" w:type="dxa"/>
            <w:right w:w="62" w:type="dxa"/>
          </w:tblCellMar>
          <w:tblLook w:val="0000"/>
        </w:tblPrEx>
        <w:trPr>
          <w:tblHeader/>
        </w:trPr>
        <w:tc>
          <w:tcPr>
            <w:tcW w:w="189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E2784" w:rsidP="00AE2784">
            <w:pPr>
              <w:pStyle w:val="BodyText"/>
            </w:pPr>
          </w:p>
          <w:p w:rsidR="00000000" w:rsidRPr="00AE2784" w:rsidP="00AE2784">
            <w:pPr>
              <w:pStyle w:val="BodyText"/>
            </w:pPr>
            <w:r w:rsidRPr="00AE2784">
              <w:rPr>
                <w:rStyle w:val="SpecialBold"/>
              </w:rPr>
              <w:t>ELEMENT</w:t>
            </w:r>
          </w:p>
        </w:tc>
        <w:tc>
          <w:tcPr>
            <w:tcW w:w="659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E2784">
            <w:pPr>
              <w:pStyle w:val="BodyText"/>
              <w:rPr>
                <w:lang w:val="en-NZ"/>
              </w:rPr>
            </w:pPr>
            <w:r w:rsidRPr="00AE2784">
              <w:rPr>
                <w:rStyle w:val="SpecialBold"/>
              </w:rPr>
              <w:t>PERFORMANCE CRITERIA</w:t>
            </w:r>
          </w:p>
        </w:tc>
      </w:tr>
      <w:tr w:rsidTr="00072CC2">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AE2784" w:rsidP="00AE2784">
            <w:pPr>
              <w:pStyle w:val="BodyText"/>
            </w:pPr>
          </w:p>
          <w:p w:rsidR="00000000" w:rsidP="00AE2784">
            <w:pPr>
              <w:pStyle w:val="BodyText"/>
              <w:rPr>
                <w:lang w:val="en-NZ"/>
              </w:rPr>
            </w:pPr>
            <w:r w:rsidRPr="00AE2784">
              <w:rPr>
                <w:rStyle w:val="SpecialBold"/>
              </w:rPr>
              <w:t>2</w:t>
            </w:r>
          </w:p>
        </w:tc>
        <w:tc>
          <w:tcPr>
            <w:tcW w:w="1559" w:type="dxa"/>
            <w:tcBorders>
              <w:top w:val="nil"/>
              <w:left w:val="nil"/>
              <w:bottom w:val="nil"/>
              <w:right w:val="single" w:sz="6" w:space="0" w:color="auto"/>
            </w:tcBorders>
            <w:tcMar>
              <w:top w:w="0" w:type="dxa"/>
              <w:left w:w="62" w:type="dxa"/>
              <w:bottom w:w="0" w:type="dxa"/>
              <w:right w:w="62" w:type="dxa"/>
            </w:tcMar>
          </w:tcPr>
          <w:p w:rsidR="00000000" w:rsidRPr="00AE2784" w:rsidP="00AE2784">
            <w:pPr>
              <w:pStyle w:val="BodyText"/>
            </w:pPr>
          </w:p>
          <w:p w:rsidR="00000000" w:rsidRPr="00AE2784" w:rsidP="00AE2784">
            <w:pPr>
              <w:pStyle w:val="BodyText"/>
            </w:pPr>
            <w:r w:rsidRPr="00AE2784">
              <w:rPr>
                <w:rStyle w:val="SpecialBold"/>
              </w:rPr>
              <w:t>Follow safety and hazard control procedures</w:t>
            </w:r>
          </w:p>
          <w:p w:rsidR="00000000" w:rsidP="00AE2784">
            <w:pPr>
              <w:pStyle w:val="BodyText"/>
              <w:rPr>
                <w:lang w:val="en-NZ"/>
              </w:rPr>
            </w:pPr>
            <w:r w:rsidRPr="00AE2784">
              <w:t>(</w:t>
            </w:r>
            <w:r w:rsidRPr="00AE2784">
              <w:rPr>
                <w:rStyle w:val="SpecialBold"/>
              </w:rPr>
              <w:t>continued</w:t>
            </w:r>
            <w:r w:rsidRPr="00AE2784">
              <w:t>)</w:t>
            </w:r>
          </w:p>
        </w:tc>
        <w:tc>
          <w:tcPr>
            <w:tcW w:w="387" w:type="dxa"/>
            <w:tcBorders>
              <w:top w:val="nil"/>
              <w:left w:val="single" w:sz="6" w:space="0" w:color="auto"/>
              <w:bottom w:val="nil"/>
              <w:right w:val="nil"/>
            </w:tcBorders>
            <w:tcMar>
              <w:top w:w="0" w:type="dxa"/>
              <w:left w:w="62" w:type="dxa"/>
              <w:bottom w:w="0" w:type="dxa"/>
              <w:right w:w="62" w:type="dxa"/>
            </w:tcMar>
          </w:tcPr>
          <w:p w:rsidR="00000000" w:rsidRPr="00AE2784" w:rsidP="00AE2784">
            <w:pPr>
              <w:pStyle w:val="BodyText"/>
            </w:pPr>
          </w:p>
          <w:p w:rsidR="00000000" w:rsidP="00AE2784">
            <w:pPr>
              <w:pStyle w:val="BodyText"/>
              <w:rPr>
                <w:lang w:val="en-NZ"/>
              </w:rPr>
            </w:pPr>
            <w:r w:rsidRPr="00AE2784">
              <w:t>c</w:t>
            </w:r>
          </w:p>
        </w:tc>
        <w:tc>
          <w:tcPr>
            <w:tcW w:w="6211" w:type="dxa"/>
            <w:tcBorders>
              <w:top w:val="nil"/>
              <w:left w:val="nil"/>
              <w:bottom w:val="nil"/>
              <w:right w:val="nil"/>
            </w:tcBorders>
            <w:tcMar>
              <w:top w:w="0" w:type="dxa"/>
              <w:left w:w="62" w:type="dxa"/>
              <w:bottom w:w="0" w:type="dxa"/>
              <w:right w:w="62" w:type="dxa"/>
            </w:tcMar>
          </w:tcPr>
          <w:p w:rsidR="00000000" w:rsidRPr="00AE2784" w:rsidP="00AE2784">
            <w:pPr>
              <w:pStyle w:val="BodyText"/>
            </w:pPr>
          </w:p>
          <w:p w:rsidR="00000000" w:rsidRPr="00AE2784" w:rsidP="00AE2784">
            <w:pPr>
              <w:pStyle w:val="BodyText"/>
            </w:pPr>
            <w:r w:rsidRPr="00AE2784">
              <w:t>Action is taken in the event of an incident or emergency involving explosive or flammable materials to secure the materials and the vessel and maintain the safety of the vessel and persons involved</w:t>
            </w:r>
          </w:p>
        </w:tc>
      </w:tr>
    </w:tbl>
    <w:p w:rsidR="00072CC2" w:rsidP="00AE2784">
      <w:pPr>
        <w:pStyle w:val="BodyText"/>
      </w:pPr>
      <w:r w:rsidRPr="00AE2784">
        <w:t xml:space="preserve"> </w:t>
      </w:r>
    </w:p>
    <w:p w:rsidR="00072CC2" w:rsidP="00AE2784">
      <w:pPr>
        <w:pStyle w:val="BodyText"/>
      </w:pPr>
    </w:p>
    <w:p w:rsidR="00000000" w:rsidRPr="00AE2784" w:rsidP="00AE2784">
      <w:pPr>
        <w:pStyle w:val="Heading1"/>
      </w:pPr>
      <w:bookmarkStart w:id="9" w:name="O_151871"/>
      <w:bookmarkEnd w:id="9"/>
      <w:r w:rsidRPr="00AE2784">
        <w:t>Required Skills and Knowledge</w:t>
      </w:r>
    </w:p>
    <w:tbl>
      <w:tblPr>
        <w:tblW w:w="0" w:type="auto"/>
        <w:tblLayout w:type="fixed"/>
        <w:tblCellMar>
          <w:left w:w="62" w:type="dxa"/>
          <w:right w:w="62" w:type="dxa"/>
        </w:tblCellMar>
        <w:tblLook w:val="0000"/>
      </w:tblPr>
      <w:tblGrid>
        <w:gridCol w:w="423"/>
        <w:gridCol w:w="7906"/>
        <w:gridCol w:w="9"/>
      </w:tblGrid>
      <w:tr w:rsidTr="00072CC2">
        <w:tblPrEx>
          <w:tblW w:w="0" w:type="auto"/>
          <w:tblLayout w:type="fixed"/>
          <w:tblCellMar>
            <w:left w:w="62" w:type="dxa"/>
            <w:right w:w="62" w:type="dxa"/>
          </w:tblCellMar>
          <w:tblLook w:val="0000"/>
        </w:tblPrEx>
        <w:trPr>
          <w:tblHeader/>
        </w:trPr>
        <w:tc>
          <w:tcPr>
            <w:tcW w:w="8338"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rPr>
                <w:rStyle w:val="SpecialBold"/>
              </w:rPr>
              <w:t>REQUIRED KNOWLEDGE</w:t>
            </w:r>
          </w:p>
        </w:tc>
      </w:tr>
      <w:tr w:rsidTr="00072CC2">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rPr>
                <w:rStyle w:val="Emphasis"/>
              </w:rPr>
              <w:t>This describes the knowledge required for this unit</w:t>
            </w:r>
            <w:r w:rsidRPr="00AE2784">
              <w:t>.</w:t>
            </w:r>
          </w:p>
        </w:tc>
      </w:tr>
      <w:tr w:rsidTr="00072CC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1</w:t>
            </w:r>
          </w:p>
        </w:tc>
        <w:tc>
          <w:tcPr>
            <w:tcW w:w="7915"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Relevant OH&amp;S and hazardous materials legislation, and codes of practice</w:t>
            </w:r>
          </w:p>
        </w:tc>
      </w:tr>
      <w:tr w:rsidTr="00072CC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2</w:t>
            </w:r>
          </w:p>
        </w:tc>
        <w:tc>
          <w:tcPr>
            <w:tcW w:w="7915"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Explosive and flammable materials identification codes and signage requirements</w:t>
            </w:r>
          </w:p>
        </w:tc>
      </w:tr>
      <w:tr w:rsidTr="00072CC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3</w:t>
            </w:r>
          </w:p>
        </w:tc>
        <w:tc>
          <w:tcPr>
            <w:tcW w:w="7915"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Material safety data sheets and their use</w:t>
            </w:r>
          </w:p>
        </w:tc>
      </w:tr>
      <w:tr w:rsidTr="00072CC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4</w:t>
            </w:r>
          </w:p>
        </w:tc>
        <w:tc>
          <w:tcPr>
            <w:tcW w:w="7915"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Methods for handling various types of explosive and flammable materials typically stowed on a small vessel, including segregation and separation requirements</w:t>
            </w:r>
          </w:p>
        </w:tc>
      </w:tr>
      <w:tr w:rsidTr="00072CC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5</w:t>
            </w:r>
          </w:p>
        </w:tc>
        <w:tc>
          <w:tcPr>
            <w:tcW w:w="7915"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Characteristics, hazards and problems of different</w:t>
            </w:r>
            <w:r w:rsidRPr="00AE2784">
              <w:t xml:space="preserve"> types of explosive and flammable materials typically stowed on a small vessel, and associated preventative and remedial action and solutions</w:t>
            </w:r>
          </w:p>
        </w:tc>
      </w:tr>
      <w:tr w:rsidTr="00072CC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6</w:t>
            </w:r>
          </w:p>
        </w:tc>
        <w:tc>
          <w:tcPr>
            <w:tcW w:w="7915"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Implications for the handling and stowage of explosive and flammable materials in various wind, weather and sea conditions</w:t>
            </w:r>
          </w:p>
        </w:tc>
      </w:tr>
      <w:tr w:rsidTr="00072CC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7</w:t>
            </w:r>
          </w:p>
        </w:tc>
        <w:tc>
          <w:tcPr>
            <w:tcW w:w="7915"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Communication techniques required in the course of handling or stowage of explosive and flammable materials on-board a small vesse</w:t>
            </w:r>
            <w:r w:rsidRPr="00AE2784">
              <w:t>l</w:t>
            </w:r>
          </w:p>
        </w:tc>
      </w:tr>
      <w:tr w:rsidTr="00072CC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8</w:t>
            </w:r>
          </w:p>
        </w:tc>
        <w:tc>
          <w:tcPr>
            <w:tcW w:w="7915"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Records required concerning the handling or stowage of explosive and flammable materials on-board a small vessel</w:t>
            </w:r>
          </w:p>
        </w:tc>
      </w:tr>
      <w:tr w:rsidTr="00072CC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9</w:t>
            </w:r>
          </w:p>
        </w:tc>
        <w:tc>
          <w:tcPr>
            <w:tcW w:w="7915"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Basic knowledge of International Maritime Dangerous Goods Code (IMDG Code)</w:t>
            </w:r>
          </w:p>
        </w:tc>
      </w:tr>
      <w:tr w:rsidTr="00072CC2">
        <w:tblPrEx>
          <w:tblW w:w="0" w:type="auto"/>
          <w:tblLayout w:type="fixed"/>
          <w:tblCellMar>
            <w:left w:w="62" w:type="dxa"/>
            <w:right w:w="62" w:type="dxa"/>
          </w:tblCellMar>
          <w:tblLook w:val="0000"/>
        </w:tblPrEx>
        <w:trPr>
          <w:gridAfter w:val="1"/>
          <w:wAfter w:w="9" w:type="dxa"/>
        </w:trPr>
        <w:tc>
          <w:tcPr>
            <w:tcW w:w="8329"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p>
        </w:tc>
      </w:tr>
      <w:tr w:rsidTr="00072CC2">
        <w:tblPrEx>
          <w:tblW w:w="0" w:type="auto"/>
          <w:tblLayout w:type="fixed"/>
          <w:tblCellMar>
            <w:left w:w="62" w:type="dxa"/>
            <w:right w:w="62" w:type="dxa"/>
          </w:tblCellMar>
          <w:tblLook w:val="0000"/>
        </w:tblPrEx>
        <w:trPr>
          <w:gridAfter w:val="1"/>
          <w:wAfter w:w="9" w:type="dxa"/>
        </w:trPr>
        <w:tc>
          <w:tcPr>
            <w:tcW w:w="8329"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rPr>
                <w:rStyle w:val="SpecialBold"/>
              </w:rPr>
              <w:t>REQUIRED SKILLS</w:t>
            </w:r>
          </w:p>
        </w:tc>
      </w:tr>
      <w:tr w:rsidTr="00072CC2">
        <w:tblPrEx>
          <w:tblW w:w="0" w:type="auto"/>
          <w:tblLayout w:type="fixed"/>
          <w:tblCellMar>
            <w:left w:w="62" w:type="dxa"/>
            <w:right w:w="62" w:type="dxa"/>
          </w:tblCellMar>
          <w:tblLook w:val="0000"/>
        </w:tblPrEx>
        <w:trPr>
          <w:gridAfter w:val="1"/>
          <w:wAfter w:w="9" w:type="dxa"/>
        </w:trPr>
        <w:tc>
          <w:tcPr>
            <w:tcW w:w="8329"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rPr>
                <w:rStyle w:val="Emphasis"/>
              </w:rPr>
              <w:t>This describes the basic skills required for this unit</w:t>
            </w:r>
            <w:r w:rsidRPr="00AE2784">
              <w:t>.</w:t>
            </w:r>
          </w:p>
        </w:tc>
      </w:tr>
      <w:tr w:rsidTr="00072CC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1</w:t>
            </w:r>
          </w:p>
        </w:tc>
        <w:tc>
          <w:tcPr>
            <w:tcW w:w="7906"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 xml:space="preserve">Use basic verbal communication skills required during handling or stowage of various types of explosive and flammable materials on a small vessel </w:t>
            </w:r>
          </w:p>
        </w:tc>
      </w:tr>
      <w:tr w:rsidTr="00072CC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2</w:t>
            </w:r>
          </w:p>
        </w:tc>
        <w:tc>
          <w:tcPr>
            <w:tcW w:w="7906"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 xml:space="preserve">Read, interpret and apply simple instructions </w:t>
            </w:r>
            <w:r w:rsidRPr="00AE2784">
              <w:t>on the handling or stowage of various types of explosive and flammable materials on a small vessel</w:t>
            </w:r>
          </w:p>
        </w:tc>
      </w:tr>
      <w:tr w:rsidTr="00072CC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3</w:t>
            </w:r>
          </w:p>
        </w:tc>
        <w:tc>
          <w:tcPr>
            <w:tcW w:w="7906"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Complete any required records related to the handling or stowage of various types of explosive and flammable materials on a small vessel</w:t>
            </w:r>
          </w:p>
        </w:tc>
      </w:tr>
      <w:tr w:rsidTr="00072CC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4</w:t>
            </w:r>
          </w:p>
        </w:tc>
        <w:tc>
          <w:tcPr>
            <w:tcW w:w="7906"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Work safely an</w:t>
            </w:r>
            <w:r w:rsidRPr="00AE2784">
              <w:t>d collaboratively with others during the handling or stowage of various types of explosive and flammable materials on a small vessel</w:t>
            </w:r>
          </w:p>
        </w:tc>
      </w:tr>
      <w:tr w:rsidTr="00072CC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5</w:t>
            </w:r>
          </w:p>
        </w:tc>
        <w:tc>
          <w:tcPr>
            <w:tcW w:w="7906"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Select and use relevant tools and equipment as per instructions</w:t>
            </w:r>
          </w:p>
        </w:tc>
      </w:tr>
      <w:tr w:rsidTr="00072CC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6</w:t>
            </w:r>
          </w:p>
        </w:tc>
        <w:tc>
          <w:tcPr>
            <w:tcW w:w="7906"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Take appropriate action in the event of an accidental spillage or safety incident that may occur during the handling or stowage of various types of explosive and flammable materials on a small vessel</w:t>
            </w:r>
          </w:p>
        </w:tc>
      </w:tr>
      <w:tr w:rsidTr="00072CC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7</w:t>
            </w:r>
          </w:p>
        </w:tc>
        <w:tc>
          <w:tcPr>
            <w:tcW w:w="7906"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 xml:space="preserve">React appropriately to changed conditions during the </w:t>
            </w:r>
            <w:r w:rsidRPr="00AE2784">
              <w:t>handling or stowage of various types of explosive and flammable materials on a small vessel</w:t>
            </w:r>
          </w:p>
        </w:tc>
      </w:tr>
      <w:tr w:rsidTr="00072CC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8</w:t>
            </w:r>
          </w:p>
        </w:tc>
        <w:tc>
          <w:tcPr>
            <w:tcW w:w="7906"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Recognise faulty equipment and take appropriate action as per operating instructions</w:t>
            </w:r>
          </w:p>
        </w:tc>
      </w:tr>
      <w:tr w:rsidTr="00072CC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9</w:t>
            </w:r>
          </w:p>
        </w:tc>
        <w:tc>
          <w:tcPr>
            <w:tcW w:w="7906"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 xml:space="preserve">Recognise routine problems and hazards during the handling or stowage of </w:t>
            </w:r>
            <w:r w:rsidRPr="00AE2784">
              <w:t>various types of explosive and flammable materials on a small vessel and take appropriate action</w:t>
            </w:r>
          </w:p>
        </w:tc>
      </w:tr>
      <w:tr w:rsidTr="00072CC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10</w:t>
            </w:r>
          </w:p>
        </w:tc>
        <w:tc>
          <w:tcPr>
            <w:tcW w:w="7906"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Adapt to changes in equipment and procedures in the workplace</w:t>
            </w:r>
          </w:p>
        </w:tc>
      </w:tr>
      <w:tr w:rsidTr="00072CC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11</w:t>
            </w:r>
          </w:p>
        </w:tc>
        <w:tc>
          <w:tcPr>
            <w:tcW w:w="7906" w:type="dxa"/>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t>Follow required work schedule as per company requirements</w:t>
            </w:r>
          </w:p>
        </w:tc>
      </w:tr>
    </w:tbl>
    <w:p w:rsidR="00000000" w:rsidRPr="00AE2784" w:rsidP="00AE2784">
      <w:pPr>
        <w:pStyle w:val="BodyText"/>
      </w:pPr>
    </w:p>
    <w:p w:rsidR="00000000" w:rsidRPr="00AE2784" w:rsidP="00AE2784">
      <w:pPr>
        <w:pStyle w:val="AllowPageBreak"/>
      </w:pPr>
    </w:p>
    <w:p w:rsidR="00000000" w:rsidRPr="00AE2784" w:rsidP="00AE2784">
      <w:pPr>
        <w:pStyle w:val="Heading1"/>
      </w:pPr>
      <w:bookmarkStart w:id="10" w:name="O_151872"/>
      <w:bookmarkEnd w:id="10"/>
      <w:r w:rsidRPr="00AE2784">
        <w:t>Evidence Guide</w:t>
      </w:r>
    </w:p>
    <w:tbl>
      <w:tblPr>
        <w:tblW w:w="0" w:type="auto"/>
        <w:tblLayout w:type="fixed"/>
        <w:tblCellMar>
          <w:left w:w="62" w:type="dxa"/>
          <w:right w:w="62" w:type="dxa"/>
        </w:tblCellMar>
        <w:tblLook w:val="0000"/>
      </w:tblPr>
      <w:tblGrid>
        <w:gridCol w:w="303"/>
        <w:gridCol w:w="1788"/>
        <w:gridCol w:w="360"/>
        <w:gridCol w:w="357"/>
        <w:gridCol w:w="3207"/>
        <w:gridCol w:w="2463"/>
        <w:gridCol w:w="15"/>
      </w:tblGrid>
      <w:tr w:rsidTr="00072CC2">
        <w:tblPrEx>
          <w:tblW w:w="0" w:type="auto"/>
          <w:tblLayout w:type="fixed"/>
          <w:tblCellMar>
            <w:left w:w="62" w:type="dxa"/>
            <w:right w:w="62" w:type="dxa"/>
          </w:tblCellMar>
          <w:tblLook w:val="0000"/>
        </w:tblPrEx>
        <w:trPr>
          <w:gridAfter w:val="2"/>
          <w:wAfter w:w="2478" w:type="dxa"/>
          <w:tblHeader/>
        </w:trPr>
        <w:tc>
          <w:tcPr>
            <w:tcW w:w="6015"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E2784" w:rsidP="00AE2784">
            <w:pPr>
              <w:pStyle w:val="BodyText"/>
            </w:pPr>
            <w:r w:rsidRPr="00AE2784">
              <w:rPr>
                <w:rStyle w:val="SpecialBold"/>
              </w:rPr>
              <w:t>Evidence Guide</w:t>
            </w:r>
            <w:r w:rsidRPr="00AE2784">
              <w:t xml:space="preserve"> </w:t>
            </w:r>
          </w:p>
          <w:p w:rsidR="00000000" w:rsidP="00AE2784">
            <w:pPr>
              <w:pStyle w:val="BodyText"/>
              <w:rPr>
                <w:lang w:val="en-NZ"/>
              </w:rPr>
            </w:pPr>
            <w:r w:rsidRPr="00AE2784">
              <w:rPr>
                <w:rStyle w:val="SpecialBold"/>
              </w:rPr>
              <w:t>TDMMR1907B SAFELY HANDLE AND STOW EXPLOSIVE AND FLAMMABLE MATERIALS</w:t>
            </w:r>
          </w:p>
        </w:tc>
      </w:tr>
      <w:tr w:rsidTr="00072CC2">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AE2784" w:rsidP="00AE2784">
            <w:pPr>
              <w:pStyle w:val="BodyText"/>
            </w:pPr>
          </w:p>
          <w:p w:rsidR="00000000" w:rsidP="00AE2784">
            <w:pPr>
              <w:pStyle w:val="BodyText"/>
              <w:rPr>
                <w:lang w:val="en-NZ"/>
              </w:rPr>
            </w:pPr>
            <w:r w:rsidRPr="00AE2784">
              <w:rPr>
                <w:rStyle w:val="Emphasis"/>
              </w:rPr>
              <w:t>The Evidence Guide provides advice on assessment and must be read in conjunction with the Performance Criteria</w:t>
            </w:r>
            <w:r w:rsidRPr="00AE2784">
              <w:t xml:space="preserve">, </w:t>
            </w:r>
            <w:r w:rsidRPr="00AE2784">
              <w:rPr>
                <w:rStyle w:val="Emphasis"/>
              </w:rPr>
              <w:t>Required Skills and Knowledge</w:t>
            </w:r>
            <w:r w:rsidRPr="00AE2784">
              <w:t xml:space="preserve">, </w:t>
            </w:r>
            <w:r w:rsidRPr="00AE2784">
              <w:rPr>
                <w:rStyle w:val="Emphasis"/>
              </w:rPr>
              <w:t>the Rang</w:t>
            </w:r>
            <w:r w:rsidRPr="00AE2784">
              <w:rPr>
                <w:rStyle w:val="Emphasis"/>
              </w:rPr>
              <w:t>e Statement and the Assessment Guidelines for this Training Package</w:t>
            </w:r>
            <w:r w:rsidRPr="00AE2784">
              <w:t>.</w:t>
            </w:r>
          </w:p>
        </w:tc>
      </w:tr>
      <w:tr w:rsidTr="00072CC2">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AE2784" w:rsidP="00AE2784">
            <w:pPr>
              <w:pStyle w:val="BodyText"/>
            </w:pPr>
            <w:r w:rsidRPr="00AE2784">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Critical aspects of evidence required to demonstrate competency in this unit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Assessment must confirm appropriate knowledge and skills to:</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a</w:t>
            </w:r>
          </w:p>
        </w:tc>
        <w:tc>
          <w:tcPr>
            <w:tcW w:w="6027"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Handle and stow various types of explosive and flammable materials typically found on a small vessel</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b</w:t>
            </w:r>
          </w:p>
        </w:tc>
        <w:tc>
          <w:tcPr>
            <w:tcW w:w="6027"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 xml:space="preserve">Exercise all required safety, environmental and hazard control precautions and procedures during the handling and stowage of explosive and </w:t>
            </w:r>
            <w:r w:rsidRPr="00AE2784">
              <w:t>flammable materials</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c</w:t>
            </w:r>
          </w:p>
        </w:tc>
        <w:tc>
          <w:tcPr>
            <w:tcW w:w="6027"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Communicate effectively with others when handling and stowing explosive and flammable materials on board a small vessel</w:t>
            </w:r>
          </w:p>
        </w:tc>
      </w:tr>
      <w:tr w:rsidTr="00072CC2">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E2784">
            <w:pPr>
              <w:pStyle w:val="BodyText"/>
              <w:rPr>
                <w:lang w:val="en-NZ"/>
              </w:rPr>
            </w:pPr>
          </w:p>
        </w:tc>
      </w:tr>
      <w:tr w:rsidTr="00072CC2">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a</w:t>
            </w:r>
          </w:p>
        </w:tc>
        <w:tc>
          <w:tcPr>
            <w:tcW w:w="6027"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Performance is demonstrated consistently over a period of time and in a suitable range of contexts</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b</w:t>
            </w:r>
          </w:p>
        </w:tc>
        <w:tc>
          <w:tcPr>
            <w:tcW w:w="6027"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Consistently applies underpinning knowledge and skills when:</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1</w:t>
            </w:r>
          </w:p>
        </w:tc>
        <w:tc>
          <w:tcPr>
            <w:tcW w:w="5670"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handling and stowing explosive and flammable materials on a small vessel</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2</w:t>
            </w:r>
          </w:p>
        </w:tc>
        <w:tc>
          <w:tcPr>
            <w:tcW w:w="5670"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taking required safety precautions when handling or stowing explosive and flammable materials on board a small vessel</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c</w:t>
            </w:r>
          </w:p>
        </w:tc>
        <w:tc>
          <w:tcPr>
            <w:tcW w:w="6027"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Shows evidence of application of relevant workplace procedures, including</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1</w:t>
            </w:r>
          </w:p>
        </w:tc>
        <w:tc>
          <w:tcPr>
            <w:tcW w:w="5670"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relevant sections of NSCV and USL Code</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2</w:t>
            </w:r>
          </w:p>
        </w:tc>
        <w:tc>
          <w:tcPr>
            <w:tcW w:w="5670"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 xml:space="preserve">relevant OH&amp;S regulations and hazard prevention policies and procedures </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3</w:t>
            </w:r>
          </w:p>
        </w:tc>
        <w:tc>
          <w:tcPr>
            <w:tcW w:w="5670"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safety management system</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4</w:t>
            </w:r>
          </w:p>
        </w:tc>
        <w:tc>
          <w:tcPr>
            <w:tcW w:w="5670"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job procedures and work instructions</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d</w:t>
            </w:r>
          </w:p>
        </w:tc>
        <w:tc>
          <w:tcPr>
            <w:tcW w:w="6027"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Action is taken promptly to report and/or rectify problems and safety incidents during handling and stowing of explosive and flammable materials on board a small vessel</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e</w:t>
            </w:r>
          </w:p>
        </w:tc>
        <w:tc>
          <w:tcPr>
            <w:tcW w:w="6027"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Work is completed sys</w:t>
            </w:r>
            <w:r w:rsidRPr="00AE2784">
              <w:t>tematically with required attention to detail and standard procedures</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f</w:t>
            </w:r>
          </w:p>
        </w:tc>
        <w:tc>
          <w:tcPr>
            <w:tcW w:w="6027"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Recognises and adapts appropriately to cultural differences in the workplace, including modes of behaviour and interactions among crew and others</w:t>
            </w:r>
          </w:p>
        </w:tc>
      </w:tr>
      <w:tr w:rsidTr="00072CC2">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E2784">
            <w:pPr>
              <w:pStyle w:val="BodyText"/>
              <w:rPr>
                <w:lang w:val="en-NZ"/>
              </w:rPr>
            </w:pPr>
          </w:p>
        </w:tc>
      </w:tr>
      <w:tr w:rsidTr="00072CC2">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rPr>
                <w:rStyle w:val="SpecialBold"/>
              </w:rPr>
              <w:t>3</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a</w:t>
            </w:r>
          </w:p>
        </w:tc>
        <w:tc>
          <w:tcPr>
            <w:tcW w:w="6027"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Assessment of competency must comply with the assessment requirements of the relevant maritime regulations</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b</w:t>
            </w:r>
          </w:p>
        </w:tc>
        <w:tc>
          <w:tcPr>
            <w:tcW w:w="6027" w:type="dxa"/>
            <w:gridSpan w:val="3"/>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t>Assessment of this unit must be undertaken within relevant marine authority approved and audited arrangements by a registered training organisation:</w:t>
            </w:r>
          </w:p>
        </w:tc>
      </w:tr>
    </w:tbl>
    <w:p w:rsidR="00000000" w:rsidRPr="00AE2784" w:rsidP="00AE2784">
      <w:pPr>
        <w:pStyle w:val="BodyText"/>
      </w:pPr>
    </w:p>
    <w:tbl>
      <w:tblPr>
        <w:tblW w:w="0" w:type="auto"/>
        <w:tblLayout w:type="fixed"/>
        <w:tblCellMar>
          <w:left w:w="62" w:type="dxa"/>
          <w:right w:w="62" w:type="dxa"/>
        </w:tblCellMar>
        <w:tblLook w:val="0000"/>
      </w:tblPr>
      <w:tblGrid>
        <w:gridCol w:w="303"/>
        <w:gridCol w:w="1788"/>
        <w:gridCol w:w="360"/>
        <w:gridCol w:w="357"/>
        <w:gridCol w:w="357"/>
        <w:gridCol w:w="2850"/>
        <w:gridCol w:w="2463"/>
        <w:gridCol w:w="15"/>
      </w:tblGrid>
      <w:tr w:rsidTr="00072CC2">
        <w:tblPrEx>
          <w:tblW w:w="0" w:type="auto"/>
          <w:tblLayout w:type="fixed"/>
          <w:tblCellMar>
            <w:left w:w="62" w:type="dxa"/>
            <w:right w:w="62" w:type="dxa"/>
          </w:tblCellMar>
          <w:tblLook w:val="0000"/>
        </w:tblPrEx>
        <w:trPr>
          <w:gridAfter w:val="2"/>
          <w:wAfter w:w="2478" w:type="dxa"/>
          <w:tblHeader/>
        </w:trPr>
        <w:tc>
          <w:tcPr>
            <w:tcW w:w="6015"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E2784" w:rsidP="00AE2784">
            <w:pPr>
              <w:pStyle w:val="BodyText"/>
            </w:pPr>
            <w:r w:rsidRPr="00AE2784">
              <w:rPr>
                <w:rStyle w:val="SpecialBold"/>
              </w:rPr>
              <w:t>Evidence Guide</w:t>
            </w:r>
            <w:r w:rsidRPr="00AE2784">
              <w:t xml:space="preserve">  (</w:t>
            </w:r>
            <w:r w:rsidRPr="00AE2784">
              <w:rPr>
                <w:rStyle w:val="SpecialBold"/>
              </w:rPr>
              <w:t>continued</w:t>
            </w:r>
            <w:r w:rsidRPr="00AE2784">
              <w:t xml:space="preserve">) </w:t>
            </w:r>
          </w:p>
          <w:p w:rsidR="00000000" w:rsidP="00AE2784">
            <w:pPr>
              <w:pStyle w:val="BodyText"/>
              <w:rPr>
                <w:lang w:val="en-NZ"/>
              </w:rPr>
            </w:pPr>
            <w:r w:rsidRPr="00AE2784">
              <w:rPr>
                <w:rStyle w:val="SpecialBold"/>
              </w:rPr>
              <w:t>TDMMR1907B SAFELY HANDLE AND STOW EXPLOSIVE AND FLAMMABLE MATERIALS</w:t>
            </w:r>
          </w:p>
        </w:tc>
      </w:tr>
      <w:tr w:rsidTr="00072CC2">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AE2784" w:rsidP="00AE2784">
            <w:pPr>
              <w:pStyle w:val="BodyText"/>
            </w:pPr>
          </w:p>
          <w:p w:rsidR="00000000" w:rsidRPr="00AE2784" w:rsidP="00AE2784">
            <w:pPr>
              <w:pStyle w:val="BodyText"/>
            </w:pPr>
            <w:r w:rsidRPr="00AE2784">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AE2784" w:rsidP="00AE2784">
            <w:pPr>
              <w:pStyle w:val="BodyText"/>
            </w:pPr>
            <w:r w:rsidRPr="00AE2784">
              <w:rPr>
                <w:rStyle w:val="SpecialBold"/>
              </w:rPr>
              <w:t>Context of assessment</w:t>
            </w:r>
          </w:p>
          <w:p w:rsidR="00000000" w:rsidP="00AE2784">
            <w:pPr>
              <w:pStyle w:val="BodyText"/>
              <w:rPr>
                <w:lang w:val="en-NZ"/>
              </w:rPr>
            </w:pPr>
            <w:r w:rsidRPr="00AE2784">
              <w:t>(</w:t>
            </w:r>
            <w:r w:rsidRPr="00AE2784">
              <w:rPr>
                <w:rStyle w:val="SpecialBold"/>
              </w:rPr>
              <w:t>continued</w:t>
            </w:r>
            <w:r w:rsidRPr="00AE2784">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1</w:t>
            </w:r>
          </w:p>
        </w:tc>
        <w:tc>
          <w:tcPr>
            <w:tcW w:w="5670"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As a minimum, assessment of knowledge must be conducted through appropriate written/oral examinations, and</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2</w:t>
            </w:r>
          </w:p>
        </w:tc>
        <w:tc>
          <w:tcPr>
            <w:tcW w:w="5670" w:type="dxa"/>
            <w:gridSpan w:val="3"/>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Appropriate practical assessment must occur:</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i</w:t>
            </w:r>
          </w:p>
        </w:tc>
        <w:tc>
          <w:tcPr>
            <w:tcW w:w="5313"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 xml:space="preserve">at the registered training organisation; and/or </w:t>
            </w:r>
          </w:p>
        </w:tc>
      </w:tr>
      <w:tr w:rsidTr="00072CC2">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AE2784">
            <w:pPr>
              <w:pStyle w:val="BodyText"/>
              <w:rPr>
                <w:lang w:val="en-NZ"/>
              </w:rPr>
            </w:pPr>
            <w:r w:rsidRPr="00AE2784">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AE2784">
            <w:pPr>
              <w:pStyle w:val="BodyText"/>
              <w:rPr>
                <w:lang w:val="en-NZ"/>
              </w:rPr>
            </w:pPr>
            <w:r w:rsidRPr="00AE2784">
              <w:t>on an appropriate working or training vessel</w:t>
            </w:r>
          </w:p>
        </w:tc>
      </w:tr>
      <w:tr w:rsidTr="00072CC2">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E2784">
            <w:pPr>
              <w:pStyle w:val="BodyText"/>
              <w:rPr>
                <w:lang w:val="en-NZ"/>
              </w:rPr>
            </w:pPr>
          </w:p>
        </w:tc>
      </w:tr>
      <w:tr w:rsidTr="00072CC2">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4</w:t>
            </w:r>
            <w:r w:rsidRPr="00AE2784">
              <w:tab/>
            </w:r>
            <w:r w:rsidRPr="00AE2784">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Access is required to opportunities to:</w:t>
            </w:r>
          </w:p>
        </w:tc>
      </w:tr>
      <w:tr w:rsidTr="00072CC2">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a</w:t>
            </w:r>
          </w:p>
        </w:tc>
        <w:tc>
          <w:tcPr>
            <w:tcW w:w="6027"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pa</w:t>
            </w:r>
            <w:r w:rsidRPr="00AE2784">
              <w:t>rticipate in a range of exercises, case studies and other simulated practical and knowledge assessments that demonstrate the skills and knowledge to handle and stow explosive and flammable materials on board a small vessel; and/or</w:t>
            </w:r>
          </w:p>
        </w:tc>
      </w:tr>
      <w:tr w:rsidTr="00072CC2">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b</w:t>
            </w:r>
          </w:p>
        </w:tc>
        <w:tc>
          <w:tcPr>
            <w:tcW w:w="6027" w:type="dxa"/>
            <w:gridSpan w:val="4"/>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t>handle and stow explosive and flammable materials on an operational small commercial or training vessel</w:t>
            </w:r>
          </w:p>
        </w:tc>
      </w:tr>
    </w:tbl>
    <w:p w:rsidR="00000000" w:rsidRPr="00AE2784" w:rsidP="00AE2784">
      <w:pPr>
        <w:pStyle w:val="BodyText"/>
      </w:pPr>
    </w:p>
    <w:p w:rsidR="00000000" w:rsidRPr="00AE2784" w:rsidP="00AE2784">
      <w:pPr>
        <w:pStyle w:val="AllowPageBreak"/>
      </w:pPr>
    </w:p>
    <w:p w:rsidR="00000000" w:rsidRPr="00AE2784" w:rsidP="00AE2784">
      <w:pPr>
        <w:pStyle w:val="Heading1"/>
      </w:pPr>
      <w:bookmarkStart w:id="11" w:name="O_151873"/>
      <w:bookmarkEnd w:id="11"/>
      <w:r w:rsidRPr="00AE2784">
        <w:t>Range Statement</w:t>
      </w:r>
    </w:p>
    <w:tbl>
      <w:tblPr>
        <w:tblW w:w="0" w:type="auto"/>
        <w:tblLayout w:type="fixed"/>
        <w:tblCellMar>
          <w:left w:w="62" w:type="dxa"/>
          <w:right w:w="62" w:type="dxa"/>
        </w:tblCellMar>
        <w:tblLook w:val="0000"/>
      </w:tblPr>
      <w:tblGrid>
        <w:gridCol w:w="340"/>
        <w:gridCol w:w="6"/>
        <w:gridCol w:w="1744"/>
        <w:gridCol w:w="357"/>
        <w:gridCol w:w="11"/>
        <w:gridCol w:w="3557"/>
        <w:gridCol w:w="2460"/>
        <w:gridCol w:w="18"/>
        <w:gridCol w:w="28"/>
      </w:tblGrid>
      <w:tr w:rsidTr="00072CC2">
        <w:tblPrEx>
          <w:tblW w:w="0" w:type="auto"/>
          <w:tblLayout w:type="fixed"/>
          <w:tblCellMar>
            <w:left w:w="62" w:type="dxa"/>
            <w:right w:w="62" w:type="dxa"/>
          </w:tblCellMar>
          <w:tblLook w:val="0000"/>
        </w:tblPrEx>
        <w:trPr>
          <w:gridAfter w:val="3"/>
          <w:wAfter w:w="2506" w:type="dxa"/>
          <w:tblHeader/>
        </w:trPr>
        <w:tc>
          <w:tcPr>
            <w:tcW w:w="6015"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E2784" w:rsidP="00AE2784">
            <w:pPr>
              <w:pStyle w:val="BodyText"/>
            </w:pPr>
            <w:r w:rsidRPr="00AE2784">
              <w:rPr>
                <w:rStyle w:val="SpecialBold"/>
              </w:rPr>
              <w:t>Range Statement</w:t>
            </w:r>
          </w:p>
          <w:p w:rsidR="00000000" w:rsidP="00AE2784">
            <w:pPr>
              <w:pStyle w:val="BodyText"/>
              <w:rPr>
                <w:lang w:val="en-NZ"/>
              </w:rPr>
            </w:pPr>
            <w:r w:rsidRPr="00AE2784">
              <w:rPr>
                <w:rStyle w:val="SpecialBold"/>
              </w:rPr>
              <w:t>TDMMR1907B SAFELY HANDLE AND STOW EXPLOSIVE AND FLAMMABLE MATERIALS</w:t>
            </w:r>
          </w:p>
        </w:tc>
      </w:tr>
      <w:tr w:rsidTr="00072CC2">
        <w:tblPrEx>
          <w:tblW w:w="0" w:type="auto"/>
          <w:tblLayout w:type="fixed"/>
          <w:tblCellMar>
            <w:left w:w="62" w:type="dxa"/>
            <w:right w:w="62" w:type="dxa"/>
          </w:tblCellMar>
          <w:tblLook w:val="0000"/>
        </w:tblPrEx>
        <w:tc>
          <w:tcPr>
            <w:tcW w:w="8521" w:type="dxa"/>
            <w:gridSpan w:val="9"/>
            <w:tcBorders>
              <w:top w:val="single" w:sz="6" w:space="0" w:color="auto"/>
              <w:left w:val="nil"/>
              <w:bottom w:val="nil"/>
              <w:right w:val="nil"/>
            </w:tcBorders>
            <w:tcMar>
              <w:top w:w="0" w:type="dxa"/>
              <w:left w:w="62" w:type="dxa"/>
              <w:bottom w:w="0" w:type="dxa"/>
              <w:right w:w="62" w:type="dxa"/>
            </w:tcMar>
          </w:tcPr>
          <w:p w:rsidR="00000000" w:rsidRPr="00AE2784" w:rsidP="00AE2784">
            <w:pPr>
              <w:pStyle w:val="BodyText"/>
            </w:pPr>
          </w:p>
          <w:p w:rsidR="00000000" w:rsidP="00AE2784">
            <w:pPr>
              <w:pStyle w:val="BodyText"/>
              <w:rPr>
                <w:lang w:val="en-NZ"/>
              </w:rPr>
            </w:pPr>
            <w:r w:rsidRPr="00AE2784">
              <w:rPr>
                <w:rStyle w:val="Emphasis"/>
              </w:rPr>
              <w:t>The Range Statement relates to the unit of competency as a whole</w:t>
            </w:r>
            <w:r w:rsidRPr="00AE2784">
              <w:t xml:space="preserve">. </w:t>
            </w:r>
            <w:r w:rsidRPr="00AE2784">
              <w:rPr>
                <w:rStyle w:val="Emphasis"/>
              </w:rPr>
              <w:t>It allows for different work environments and situations that may affect performance</w:t>
            </w:r>
            <w:r w:rsidRPr="00AE2784">
              <w:t>.</w:t>
            </w:r>
          </w:p>
        </w:tc>
      </w:tr>
      <w:tr w:rsidTr="00072CC2">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AE2784" w:rsidP="00AE2784">
            <w:pPr>
              <w:pStyle w:val="BodyText"/>
            </w:pPr>
            <w:r w:rsidRPr="00AE2784">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rPr>
                <w:rStyle w:val="SpecialBold"/>
              </w:rPr>
              <w:t>SCOPE</w:t>
            </w:r>
          </w:p>
        </w:tc>
      </w:tr>
      <w:tr w:rsidTr="00072CC2">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AE2784">
            <w:pPr>
              <w:pStyle w:val="BodyText"/>
              <w:rPr>
                <w:lang w:val="en-NZ"/>
              </w:rPr>
            </w:pPr>
            <w:r w:rsidRPr="00AE2784">
              <w:rPr>
                <w:rStyle w:val="SpecialBold"/>
              </w:rPr>
              <w:t>1</w:t>
            </w:r>
            <w:r w:rsidRPr="00AE2784">
              <w:t>.</w:t>
            </w:r>
            <w:r w:rsidRPr="00AE2784">
              <w:tab/>
            </w:r>
            <w:r w:rsidRPr="00AE2784">
              <w:rPr>
                <w:rStyle w:val="SpecialBold"/>
              </w:rPr>
              <w:t>GENERAL CONTEXT</w:t>
            </w:r>
          </w:p>
        </w:tc>
      </w:tr>
      <w:tr w:rsidTr="00072CC2">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AE2784">
            <w:pPr>
              <w:pStyle w:val="BodyText"/>
              <w:rPr>
                <w:lang w:val="en-NZ"/>
              </w:rPr>
            </w:pPr>
          </w:p>
        </w:tc>
      </w:tr>
      <w:tr w:rsidTr="00072CC2">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E2784" w:rsidP="00AE2784">
            <w:pPr>
              <w:pStyle w:val="BodyText"/>
            </w:pPr>
            <w:r w:rsidRPr="00AE2784">
              <w:rPr>
                <w:rStyle w:val="SpecialBold"/>
              </w:rPr>
              <w:t>a</w:t>
            </w:r>
            <w:r w:rsidRPr="00AE2784">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Work must be carried out</w:t>
            </w:r>
            <w:r w:rsidRPr="00AE2784">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E2784">
            <w:pPr>
              <w:pStyle w:val="BodyText"/>
              <w:rPr>
                <w:lang w:val="en-NZ"/>
              </w:rPr>
            </w:pPr>
            <w:r w:rsidRPr="00AE2784">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AE2784">
            <w:pPr>
              <w:pStyle w:val="BodyText"/>
              <w:rPr>
                <w:lang w:val="en-NZ"/>
              </w:rPr>
            </w:pPr>
            <w:r w:rsidRPr="00AE2784">
              <w:t>i</w:t>
            </w:r>
            <w:r w:rsidRPr="00AE2784">
              <w:t>n compliance with the relevant sections of the State and Territory marine regulations and the National Standard for Commercial Vessels and USL Code</w:t>
            </w:r>
          </w:p>
        </w:tc>
      </w:tr>
      <w:tr w:rsidTr="00072CC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E2784">
            <w:pPr>
              <w:pStyle w:val="BodyText"/>
              <w:rPr>
                <w:lang w:val="en-NZ"/>
              </w:rPr>
            </w:pPr>
          </w:p>
        </w:tc>
      </w:tr>
      <w:tr w:rsidTr="00072CC2">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E2784" w:rsidP="00AE2784">
            <w:pPr>
              <w:pStyle w:val="BodyText"/>
            </w:pPr>
            <w:r w:rsidRPr="00AE2784">
              <w:rPr>
                <w:rStyle w:val="SpecialBold"/>
              </w:rPr>
              <w:t>b</w:t>
            </w:r>
            <w:r w:rsidRPr="00AE2784">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Work is performed</w:t>
            </w:r>
            <w:r w:rsidRPr="00AE2784">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E2784">
            <w:pPr>
              <w:pStyle w:val="BodyText"/>
              <w:rPr>
                <w:lang w:val="en-NZ"/>
              </w:rPr>
            </w:pPr>
            <w:r w:rsidRPr="00AE2784">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AE2784">
            <w:pPr>
              <w:pStyle w:val="BodyText"/>
              <w:rPr>
                <w:lang w:val="en-NZ"/>
              </w:rPr>
            </w:pPr>
            <w:r w:rsidRPr="00AE2784">
              <w:t>within established procedures, with responsibility for own outputs in relation to specified quality standards</w:t>
            </w:r>
          </w:p>
        </w:tc>
      </w:tr>
      <w:tr w:rsidTr="00072CC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E2784">
            <w:pPr>
              <w:pStyle w:val="BodyText"/>
              <w:rPr>
                <w:lang w:val="en-NZ"/>
              </w:rPr>
            </w:pPr>
          </w:p>
        </w:tc>
      </w:tr>
      <w:tr w:rsidTr="00072CC2">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rPr>
                <w:rStyle w:val="SpecialBold"/>
              </w:rPr>
              <w:t>d</w:t>
            </w:r>
            <w:r w:rsidRPr="00AE2784">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Work requires</w:t>
            </w:r>
            <w:r w:rsidRPr="00AE2784">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1</w:t>
            </w:r>
          </w:p>
        </w:tc>
        <w:tc>
          <w:tcPr>
            <w:tcW w:w="6017"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limited responsibility for others in achieving outcomes, including the application of solutions to a variety of predictable maintenance problems</w:t>
            </w:r>
          </w:p>
        </w:tc>
      </w:tr>
      <w:tr w:rsidTr="00072CC2">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AE2784">
            <w:pPr>
              <w:pStyle w:val="BodyText"/>
              <w:rPr>
                <w:lang w:val="en-NZ"/>
              </w:rPr>
            </w:pPr>
            <w:r w:rsidRPr="00AE2784">
              <w:rPr>
                <w:rStyle w:val="SpecialBold"/>
              </w:rPr>
              <w:t>2</w:t>
            </w:r>
            <w:r w:rsidRPr="00AE2784">
              <w:t>.</w:t>
            </w:r>
            <w:r w:rsidRPr="00AE2784">
              <w:tab/>
            </w:r>
            <w:r w:rsidRPr="00AE2784">
              <w:rPr>
                <w:rStyle w:val="SpecialBold"/>
              </w:rPr>
              <w:t>WORKSITE ENVIRONMENT</w:t>
            </w:r>
          </w:p>
        </w:tc>
      </w:tr>
      <w:tr w:rsidTr="00072CC2">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72CC2">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AE2784" w:rsidP="00AE2784">
            <w:pPr>
              <w:pStyle w:val="BodyText"/>
            </w:pPr>
            <w:r w:rsidRPr="00AE2784">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Explosive and flammable materials may include</w:t>
            </w:r>
            <w:r w:rsidRPr="00AE2784">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AE2784">
            <w:pPr>
              <w:pStyle w:val="BodyText"/>
              <w:rPr>
                <w:lang w:val="en-NZ"/>
              </w:rPr>
            </w:pPr>
            <w:r w:rsidRPr="00AE2784">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AE2784">
            <w:pPr>
              <w:pStyle w:val="BodyText"/>
              <w:rPr>
                <w:lang w:val="en-NZ"/>
              </w:rPr>
            </w:pPr>
            <w:r w:rsidRPr="00AE2784">
              <w:t>those handled or stowed on a small commercial coastal vessel operated by a Marine Engine Driver Grade 1, 2 or 3</w:t>
            </w:r>
          </w:p>
        </w:tc>
      </w:tr>
      <w:tr w:rsidTr="00072CC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72CC2">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AE2784" w:rsidP="00AE2784">
            <w:pPr>
              <w:pStyle w:val="BodyText"/>
            </w:pPr>
            <w:r w:rsidRPr="00AE2784">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Types of explosive and flammable materials may include</w:t>
            </w:r>
            <w:r w:rsidRPr="00AE2784">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1</w:t>
            </w:r>
          </w:p>
        </w:tc>
        <w:tc>
          <w:tcPr>
            <w:tcW w:w="6046"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spare diesel or petroleum fuel</w:t>
            </w:r>
          </w:p>
        </w:tc>
      </w:tr>
      <w:tr w:rsidTr="00072CC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2</w:t>
            </w:r>
          </w:p>
        </w:tc>
        <w:tc>
          <w:tcPr>
            <w:tcW w:w="6046"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lubricants</w:t>
            </w:r>
          </w:p>
        </w:tc>
      </w:tr>
      <w:tr w:rsidTr="00072CC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3</w:t>
            </w:r>
          </w:p>
        </w:tc>
        <w:tc>
          <w:tcPr>
            <w:tcW w:w="6046"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LPG</w:t>
            </w:r>
          </w:p>
        </w:tc>
      </w:tr>
      <w:tr w:rsidTr="00072CC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4</w:t>
            </w:r>
          </w:p>
        </w:tc>
        <w:tc>
          <w:tcPr>
            <w:tcW w:w="6046"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refrigerant gases</w:t>
            </w:r>
          </w:p>
        </w:tc>
      </w:tr>
      <w:tr w:rsidTr="00072CC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5</w:t>
            </w:r>
          </w:p>
        </w:tc>
        <w:tc>
          <w:tcPr>
            <w:tcW w:w="6046"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chemicals and cleaning products</w:t>
            </w:r>
          </w:p>
        </w:tc>
      </w:tr>
      <w:tr w:rsidTr="00072CC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72CC2">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Handling of explosive and flammable materials may need to be carried out</w:t>
            </w:r>
            <w:r w:rsidRPr="00AE2784">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1</w:t>
            </w:r>
          </w:p>
        </w:tc>
        <w:tc>
          <w:tcPr>
            <w:tcW w:w="6046"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by day or night in both normal and emergency situations</w:t>
            </w:r>
          </w:p>
        </w:tc>
      </w:tr>
      <w:tr w:rsidTr="00072CC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2</w:t>
            </w:r>
          </w:p>
        </w:tc>
        <w:tc>
          <w:tcPr>
            <w:tcW w:w="6046"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 xml:space="preserve">under any permissible conditions of weather </w:t>
            </w:r>
          </w:p>
        </w:tc>
      </w:tr>
      <w:tr w:rsidTr="00072CC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3</w:t>
            </w:r>
          </w:p>
        </w:tc>
        <w:tc>
          <w:tcPr>
            <w:tcW w:w="6046"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while underway</w:t>
            </w:r>
          </w:p>
        </w:tc>
      </w:tr>
      <w:tr w:rsidTr="00072CC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4</w:t>
            </w:r>
          </w:p>
        </w:tc>
        <w:tc>
          <w:tcPr>
            <w:tcW w:w="6046"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while anchored or moored</w:t>
            </w:r>
          </w:p>
        </w:tc>
      </w:tr>
      <w:tr w:rsidTr="00072CC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5</w:t>
            </w:r>
          </w:p>
        </w:tc>
        <w:tc>
          <w:tcPr>
            <w:tcW w:w="6046"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during maintenance operations</w:t>
            </w:r>
          </w:p>
        </w:tc>
      </w:tr>
      <w:tr w:rsidTr="00072CC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6</w:t>
            </w:r>
          </w:p>
        </w:tc>
        <w:tc>
          <w:tcPr>
            <w:tcW w:w="6046"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when vessel is slipped</w:t>
            </w:r>
          </w:p>
        </w:tc>
      </w:tr>
      <w:tr w:rsidTr="00072CC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7</w:t>
            </w:r>
          </w:p>
        </w:tc>
        <w:tc>
          <w:tcPr>
            <w:tcW w:w="6046"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when transferring fuel</w:t>
            </w:r>
          </w:p>
        </w:tc>
      </w:tr>
      <w:tr w:rsidTr="00072CC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8</w:t>
            </w:r>
          </w:p>
        </w:tc>
        <w:tc>
          <w:tcPr>
            <w:tcW w:w="6046" w:type="dxa"/>
            <w:gridSpan w:val="4"/>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t>when in port</w:t>
            </w:r>
          </w:p>
        </w:tc>
      </w:tr>
    </w:tbl>
    <w:p w:rsidR="00000000" w:rsidRPr="00AE2784" w:rsidP="00AE2784">
      <w:pPr>
        <w:pStyle w:val="BodyText"/>
      </w:pPr>
    </w:p>
    <w:tbl>
      <w:tblPr>
        <w:tblW w:w="0" w:type="auto"/>
        <w:tblLayout w:type="fixed"/>
        <w:tblCellMar>
          <w:left w:w="62" w:type="dxa"/>
          <w:right w:w="62" w:type="dxa"/>
        </w:tblCellMar>
        <w:tblLook w:val="0000"/>
      </w:tblPr>
      <w:tblGrid>
        <w:gridCol w:w="346"/>
        <w:gridCol w:w="1744"/>
        <w:gridCol w:w="357"/>
        <w:gridCol w:w="3568"/>
        <w:gridCol w:w="2474"/>
        <w:gridCol w:w="28"/>
        <w:gridCol w:w="18"/>
        <w:gridCol w:w="14"/>
      </w:tblGrid>
      <w:tr w:rsidTr="00072CC2">
        <w:tblPrEx>
          <w:tblW w:w="0" w:type="auto"/>
          <w:tblLayout w:type="fixed"/>
          <w:tblCellMar>
            <w:left w:w="62" w:type="dxa"/>
            <w:right w:w="62" w:type="dxa"/>
          </w:tblCellMar>
          <w:tblLook w:val="0000"/>
        </w:tblPrEx>
        <w:trPr>
          <w:gridAfter w:val="4"/>
          <w:wAfter w:w="2534" w:type="dxa"/>
          <w:tblHeader/>
        </w:trPr>
        <w:tc>
          <w:tcPr>
            <w:tcW w:w="6015"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E2784" w:rsidP="00AE2784">
            <w:pPr>
              <w:pStyle w:val="BodyText"/>
            </w:pPr>
            <w:r w:rsidRPr="00AE2784">
              <w:rPr>
                <w:rStyle w:val="SpecialBold"/>
              </w:rPr>
              <w:t>Range Statement</w:t>
            </w:r>
            <w:r w:rsidRPr="00AE2784">
              <w:t xml:space="preserve"> (</w:t>
            </w:r>
            <w:r w:rsidRPr="00AE2784">
              <w:rPr>
                <w:rStyle w:val="SpecialBold"/>
              </w:rPr>
              <w:t>continued</w:t>
            </w:r>
            <w:r w:rsidRPr="00AE2784">
              <w:t xml:space="preserve">) </w:t>
            </w:r>
          </w:p>
          <w:p w:rsidR="00000000" w:rsidP="00AE2784">
            <w:pPr>
              <w:pStyle w:val="BodyText"/>
              <w:rPr>
                <w:lang w:val="en-NZ"/>
              </w:rPr>
            </w:pPr>
            <w:r w:rsidRPr="00AE2784">
              <w:rPr>
                <w:rStyle w:val="SpecialBold"/>
              </w:rPr>
              <w:t>TDMMR1907B SAFELY HANDLE AND STOW EXPLOSIVE AND FLAMMABLE MATERIALS</w:t>
            </w:r>
          </w:p>
        </w:tc>
      </w:tr>
      <w:tr w:rsidTr="00072CC2">
        <w:tblPrEx>
          <w:tblW w:w="0" w:type="auto"/>
          <w:tblLayout w:type="fixed"/>
          <w:tblCellMar>
            <w:left w:w="62" w:type="dxa"/>
            <w:right w:w="62" w:type="dxa"/>
          </w:tblCellMar>
          <w:tblLook w:val="0000"/>
        </w:tblPrEx>
        <w:trPr>
          <w:gridAfter w:val="2"/>
          <w:wAfter w:w="32"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E2784" w:rsidP="00AE2784">
            <w:pPr>
              <w:pStyle w:val="BodyText"/>
            </w:pPr>
          </w:p>
          <w:p w:rsidR="00000000" w:rsidRPr="00AE2784" w:rsidP="00AE2784">
            <w:pPr>
              <w:pStyle w:val="BodyText"/>
            </w:pPr>
            <w:r w:rsidRPr="00AE2784">
              <w:rPr>
                <w:rStyle w:val="SpecialBold"/>
              </w:rPr>
              <w:t>VARIABLE</w:t>
            </w:r>
          </w:p>
        </w:tc>
        <w:tc>
          <w:tcPr>
            <w:tcW w:w="6427"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E2784">
            <w:pPr>
              <w:pStyle w:val="BodyText"/>
              <w:rPr>
                <w:lang w:val="en-NZ"/>
              </w:rPr>
            </w:pPr>
            <w:r w:rsidRPr="00AE2784">
              <w:rPr>
                <w:rStyle w:val="SpecialBold"/>
              </w:rPr>
              <w:t>SCOPE</w:t>
            </w:r>
          </w:p>
        </w:tc>
      </w:tr>
      <w:tr w:rsidTr="00072CC2">
        <w:tblPrEx>
          <w:tblW w:w="0" w:type="auto"/>
          <w:tblLayout w:type="fixed"/>
          <w:tblCellMar>
            <w:left w:w="62" w:type="dxa"/>
            <w:right w:w="62" w:type="dxa"/>
          </w:tblCellMar>
          <w:tblLook w:val="0000"/>
        </w:tblPrEx>
        <w:trPr>
          <w:gridAfter w:val="3"/>
          <w:wAfter w:w="60"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72CC2">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Hazards when handling and stowing explosive or flammable materials may include</w:t>
            </w:r>
            <w:r w:rsidRPr="00AE2784">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1</w:t>
            </w:r>
          </w:p>
        </w:tc>
        <w:tc>
          <w:tcPr>
            <w:tcW w:w="6042"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faulty materials handling equipment</w:t>
            </w:r>
          </w:p>
        </w:tc>
      </w:tr>
      <w:tr w:rsidTr="00072CC2">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2</w:t>
            </w:r>
          </w:p>
        </w:tc>
        <w:tc>
          <w:tcPr>
            <w:tcW w:w="6042"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damaged or corroded fuel or LPG containers</w:t>
            </w:r>
          </w:p>
        </w:tc>
      </w:tr>
      <w:tr w:rsidTr="00072CC2">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3</w:t>
            </w:r>
          </w:p>
        </w:tc>
        <w:tc>
          <w:tcPr>
            <w:tcW w:w="6042"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leaking or spilt flammable liquid or explosive gas containers</w:t>
            </w:r>
          </w:p>
        </w:tc>
      </w:tr>
      <w:tr w:rsidTr="00072CC2">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4</w:t>
            </w:r>
          </w:p>
        </w:tc>
        <w:tc>
          <w:tcPr>
            <w:tcW w:w="6042"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materials handling operations in poor weather or sea conditions</w:t>
            </w:r>
          </w:p>
        </w:tc>
      </w:tr>
      <w:tr w:rsidTr="00072CC2">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5</w:t>
            </w:r>
          </w:p>
        </w:tc>
        <w:tc>
          <w:tcPr>
            <w:tcW w:w="6042"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incorrectly stowed explosive and flammable materials</w:t>
            </w:r>
          </w:p>
        </w:tc>
      </w:tr>
      <w:tr w:rsidTr="00072CC2">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6</w:t>
            </w:r>
          </w:p>
        </w:tc>
        <w:tc>
          <w:tcPr>
            <w:tcW w:w="6042"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incorrectly lashed or secured containers of dangerous materials</w:t>
            </w:r>
          </w:p>
        </w:tc>
      </w:tr>
      <w:tr w:rsidTr="00072CC2">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7</w:t>
            </w:r>
          </w:p>
        </w:tc>
        <w:tc>
          <w:tcPr>
            <w:tcW w:w="6042"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naked flames, ignition or sparks</w:t>
            </w:r>
          </w:p>
        </w:tc>
      </w:tr>
      <w:tr w:rsidTr="00072CC2">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8</w:t>
            </w:r>
          </w:p>
        </w:tc>
        <w:tc>
          <w:tcPr>
            <w:tcW w:w="6042"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explosion or fire</w:t>
            </w:r>
          </w:p>
        </w:tc>
      </w:tr>
      <w:tr w:rsidTr="00072CC2">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9</w:t>
            </w:r>
          </w:p>
        </w:tc>
        <w:tc>
          <w:tcPr>
            <w:tcW w:w="6042" w:type="dxa"/>
            <w:gridSpan w:val="2"/>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non-compliance with safe working procedures</w:t>
            </w:r>
          </w:p>
        </w:tc>
      </w:tr>
      <w:tr w:rsidTr="00072CC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72CC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Sources of information and documentation may include</w:t>
            </w:r>
            <w:r w:rsidRPr="00AE2784">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1</w:t>
            </w:r>
          </w:p>
        </w:tc>
        <w:tc>
          <w:tcPr>
            <w:tcW w:w="6088"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 xml:space="preserve">company materials handling procedures </w:t>
            </w:r>
          </w:p>
        </w:tc>
      </w:tr>
      <w:tr w:rsidTr="00072CC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2</w:t>
            </w:r>
          </w:p>
        </w:tc>
        <w:tc>
          <w:tcPr>
            <w:tcW w:w="6088"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relevant material safety data sheets</w:t>
            </w:r>
          </w:p>
        </w:tc>
      </w:tr>
      <w:tr w:rsidTr="00072CC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3</w:t>
            </w:r>
          </w:p>
        </w:tc>
        <w:tc>
          <w:tcPr>
            <w:tcW w:w="6088"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records and inventories of explosive or flammable materials stored on a small vessel</w:t>
            </w:r>
          </w:p>
        </w:tc>
      </w:tr>
      <w:tr w:rsidTr="00072CC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4</w:t>
            </w:r>
          </w:p>
        </w:tc>
        <w:tc>
          <w:tcPr>
            <w:tcW w:w="6088"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explosive or flammable materials manufacturer's instructions</w:t>
            </w:r>
          </w:p>
        </w:tc>
      </w:tr>
      <w:tr w:rsidTr="00072CC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5</w:t>
            </w:r>
          </w:p>
        </w:tc>
        <w:tc>
          <w:tcPr>
            <w:tcW w:w="6088"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instructions of relevant maritime authorities related to the handling of explosive and flammable mat</w:t>
            </w:r>
            <w:r w:rsidRPr="00AE2784">
              <w:t>erials on board small vessels</w:t>
            </w:r>
          </w:p>
        </w:tc>
      </w:tr>
      <w:tr w:rsidTr="00072CC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6</w:t>
            </w:r>
          </w:p>
        </w:tc>
        <w:tc>
          <w:tcPr>
            <w:tcW w:w="6088"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IMDG Code</w:t>
            </w:r>
          </w:p>
        </w:tc>
      </w:tr>
      <w:tr w:rsidTr="00072CC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7</w:t>
            </w:r>
          </w:p>
        </w:tc>
        <w:tc>
          <w:tcPr>
            <w:tcW w:w="6088"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relevant Australian and international standards</w:t>
            </w:r>
          </w:p>
        </w:tc>
      </w:tr>
      <w:tr w:rsidTr="00072CC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72CC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Applicable regulations and legislation may include</w:t>
            </w:r>
            <w:r w:rsidRPr="00AE2784">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1</w:t>
            </w:r>
          </w:p>
        </w:tc>
        <w:tc>
          <w:tcPr>
            <w:tcW w:w="6088"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relevant sections of State and Territory marine regulations related to the handling and stowage of explosive and flammable materials on board a small vessel</w:t>
            </w:r>
          </w:p>
        </w:tc>
      </w:tr>
      <w:tr w:rsidTr="00072CC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2</w:t>
            </w:r>
          </w:p>
        </w:tc>
        <w:tc>
          <w:tcPr>
            <w:tcW w:w="6088" w:type="dxa"/>
            <w:gridSpan w:val="4"/>
            <w:tcBorders>
              <w:top w:val="nil"/>
              <w:left w:val="nil"/>
              <w:bottom w:val="nil"/>
              <w:right w:val="nil"/>
            </w:tcBorders>
            <w:tcMar>
              <w:top w:w="0" w:type="dxa"/>
              <w:left w:w="62" w:type="dxa"/>
              <w:bottom w:w="0" w:type="dxa"/>
              <w:right w:w="62" w:type="dxa"/>
            </w:tcMar>
          </w:tcPr>
          <w:p w:rsidR="00000000" w:rsidP="00AE2784">
            <w:pPr>
              <w:pStyle w:val="BodyText"/>
              <w:rPr>
                <w:lang w:val="en-NZ"/>
              </w:rPr>
            </w:pPr>
            <w:r w:rsidRPr="00AE2784">
              <w:t>relevant sections of the NSCV and USL Code</w:t>
            </w:r>
          </w:p>
        </w:tc>
      </w:tr>
      <w:tr w:rsidTr="00072CC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E2784">
            <w:pPr>
              <w:pStyle w:val="BodyText"/>
              <w:rPr>
                <w:lang w:val="en-NZ"/>
              </w:rPr>
            </w:pPr>
            <w:r w:rsidRPr="00AE2784">
              <w:t>3</w:t>
            </w:r>
          </w:p>
        </w:tc>
        <w:tc>
          <w:tcPr>
            <w:tcW w:w="6088" w:type="dxa"/>
            <w:gridSpan w:val="4"/>
            <w:tcBorders>
              <w:top w:val="nil"/>
              <w:left w:val="nil"/>
              <w:bottom w:val="nil"/>
              <w:right w:val="nil"/>
            </w:tcBorders>
            <w:tcMar>
              <w:top w:w="0" w:type="dxa"/>
              <w:left w:w="62" w:type="dxa"/>
              <w:bottom w:w="0" w:type="dxa"/>
              <w:right w:w="62" w:type="dxa"/>
            </w:tcMar>
          </w:tcPr>
          <w:p w:rsidR="00000000" w:rsidRPr="00AE2784" w:rsidP="00AE2784">
            <w:pPr>
              <w:pStyle w:val="BodyText"/>
            </w:pPr>
            <w:r w:rsidRPr="00AE2784">
              <w:t>relevant international, Commonwealth, State and Territory OH&amp;S legislation and standards concerning the handling and stowage of explosive and flammable materials</w:t>
            </w:r>
          </w:p>
        </w:tc>
      </w:tr>
    </w:tbl>
    <w:p w:rsidR="00000000" w:rsidRPr="00AE2784" w:rsidP="00AE2784">
      <w:pPr>
        <w:pStyle w:val="BodyText"/>
      </w:pPr>
    </w:p>
    <w:p w:rsidR="00000000" w:rsidRPr="00AE2784" w:rsidP="00AE2784">
      <w:pPr>
        <w:pStyle w:val="AllowPageBreak"/>
      </w:pPr>
    </w:p>
    <w:p w:rsidR="00000000" w:rsidRPr="00AE2784" w:rsidP="00AE2784">
      <w:pPr>
        <w:pStyle w:val="Heading1"/>
      </w:pPr>
      <w:bookmarkStart w:id="12" w:name="O_151874"/>
      <w:bookmarkEnd w:id="12"/>
      <w:r w:rsidRPr="00AE2784">
        <w:t>Unit Sector(s)</w:t>
      </w:r>
    </w:p>
    <w:p w:rsidR="00000000" w:rsidRPr="00AE2784" w:rsidP="00AE2784">
      <w:pPr>
        <w:pStyle w:val="BodyText"/>
      </w:pPr>
      <w:r w:rsidRPr="00AE2784">
        <w:t>Not applicable.</w:t>
      </w:r>
    </w:p>
    <w:p w:rsidR="00000000" w:rsidRPr="00AE2784" w:rsidP="00AE2784">
      <w:pPr>
        <w:pStyle w:val="AllowPageBreak"/>
      </w:pPr>
    </w:p>
    <w:p w:rsidR="00000000" w:rsidRPr="00AE2784" w:rsidP="00AE2784">
      <w:pPr>
        <w:pStyle w:val="Heading1"/>
      </w:pPr>
      <w:bookmarkStart w:id="13" w:name="O_163876"/>
      <w:bookmarkEnd w:id="13"/>
      <w:r w:rsidRPr="00AE2784">
        <w:t>Field</w:t>
      </w:r>
    </w:p>
    <w:p w:rsidR="00072CC2" w:rsidP="00AE2784">
      <w:pPr>
        <w:pStyle w:val="BodyText"/>
      </w:pPr>
      <w:r w:rsidRPr="00AE2784">
        <w:t>Field</w:t>
      </w:r>
      <w:r w:rsidRPr="00AE2784">
        <w:tab/>
        <w:t>R</w:t>
      </w:r>
      <w:r w:rsidRPr="00AE2784">
        <w:tab/>
      </w:r>
      <w:r w:rsidRPr="00AE2784">
        <w:t>Carry Out Operations on Equipment and Systems</w:t>
      </w:r>
    </w:p>
    <w:p w:rsidR="00072CC2" w:rsidP="00AE2784">
      <w:pPr>
        <w:pStyle w:val="BodyText"/>
      </w:pPr>
    </w:p>
    <w:p w:rsidR="00000000" w:rsidRPr="00AE2784" w:rsidP="00AE2784">
      <w:pPr>
        <w:pStyle w:val="Heading1"/>
      </w:pPr>
      <w:bookmarkStart w:id="14" w:name="O_163877"/>
      <w:bookmarkEnd w:id="14"/>
      <w:r w:rsidRPr="00AE2784">
        <w:t>Relationship to other units</w:t>
      </w:r>
    </w:p>
    <w:tbl>
      <w:tblPr>
        <w:tblW w:w="0" w:type="auto"/>
        <w:tblLayout w:type="fixed"/>
        <w:tblCellMar>
          <w:left w:w="62" w:type="dxa"/>
          <w:right w:w="62" w:type="dxa"/>
        </w:tblCellMar>
        <w:tblLook w:val="0000"/>
      </w:tblPr>
      <w:tblGrid>
        <w:gridCol w:w="1974"/>
        <w:gridCol w:w="6593"/>
      </w:tblGrid>
      <w:tr w:rsidTr="00072CC2">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2784">
            <w:pPr>
              <w:pStyle w:val="BodyText"/>
              <w:rPr>
                <w:lang w:val="en-NZ"/>
              </w:rPr>
            </w:pPr>
            <w:r w:rsidRPr="00AE2784">
              <w:rPr>
                <w:rStyle w:val="SpecialBold"/>
              </w:rPr>
              <w:t>Relationship to other units</w:t>
            </w:r>
          </w:p>
        </w:tc>
        <w:tc>
          <w:tcPr>
            <w:tcW w:w="6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2784" w:rsidP="00AE2784">
            <w:pPr>
              <w:pStyle w:val="BodyText"/>
            </w:pPr>
            <w:r w:rsidRPr="00AE2784">
              <w:t>The unit may be assessed in conjunction with other units that relate to the functions of the occupation(s) concerned.</w:t>
            </w:r>
          </w:p>
        </w:tc>
      </w:tr>
    </w:tbl>
    <w:p w:rsidR="00000000" w:rsidRPr="00AE2784" w:rsidP="00AE2784">
      <w:pPr>
        <w:pStyle w:val="BodyText"/>
      </w:pPr>
    </w:p>
    <w:p w:rsidR="00000000" w:rsidRPr="00AE2784" w:rsidP="00AE2784"/>
    <w:sectPr w:rsidSect="00AE27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CC2" w:rsidP="00072C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C2" w:rsidP="00AE2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72CC2" w:rsidP="00AE27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72CC2" w:rsidP="00AE27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2CC2" w:rsidP="00072C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CC2" w:rsidP="00AE2784">
    <w:pPr>
      <w:pStyle w:val="Header"/>
      <w:framePr w:wrap="around"/>
    </w:pPr>
    <w:r>
      <w:fldChar w:fldCharType="begin"/>
    </w:r>
    <w:r>
      <w:instrText xml:space="preserve"> TITLE   \* MERGEFORMAT </w:instrText>
    </w:r>
    <w:r>
      <w:fldChar w:fldCharType="separate"/>
    </w:r>
    <w:r>
      <w:t>TDMMR1907B SAFELY HANDLE AND STOW EXPLOSIVE AND FLAMMABLE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2CC2" w:rsidP="00AE27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7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2784"/>
    <w:pPr>
      <w:spacing w:before="360" w:after="60"/>
      <w:outlineLvl w:val="0"/>
    </w:pPr>
    <w:rPr>
      <w:sz w:val="32"/>
    </w:rPr>
  </w:style>
  <w:style w:type="paragraph" w:styleId="Heading2">
    <w:name w:val="heading 2"/>
    <w:basedOn w:val="HeadingBase"/>
    <w:next w:val="BodyText"/>
    <w:link w:val="Heading2Char"/>
    <w:qFormat/>
    <w:rsid w:val="00AE2784"/>
    <w:pPr>
      <w:keepLines/>
      <w:spacing w:before="240" w:after="120"/>
      <w:outlineLvl w:val="1"/>
    </w:pPr>
    <w:rPr>
      <w:sz w:val="28"/>
      <w:szCs w:val="40"/>
    </w:rPr>
  </w:style>
  <w:style w:type="paragraph" w:styleId="Heading3">
    <w:name w:val="heading 3"/>
    <w:basedOn w:val="HeadingBase"/>
    <w:next w:val="BodyText"/>
    <w:link w:val="Heading3Char"/>
    <w:qFormat/>
    <w:rsid w:val="00AE2784"/>
    <w:pPr>
      <w:spacing w:before="180" w:after="120"/>
      <w:outlineLvl w:val="2"/>
    </w:pPr>
    <w:rPr>
      <w:spacing w:val="-10"/>
      <w:kern w:val="32"/>
    </w:rPr>
  </w:style>
  <w:style w:type="paragraph" w:styleId="Heading4">
    <w:name w:val="heading 4"/>
    <w:basedOn w:val="HeadingBase"/>
    <w:next w:val="BodyText"/>
    <w:link w:val="Heading4Char"/>
    <w:qFormat/>
    <w:rsid w:val="00AE2784"/>
    <w:pPr>
      <w:spacing w:before="160" w:after="120"/>
      <w:outlineLvl w:val="3"/>
    </w:pPr>
    <w:rPr>
      <w:sz w:val="22"/>
    </w:rPr>
  </w:style>
  <w:style w:type="paragraph" w:styleId="Heading5">
    <w:name w:val="heading 5"/>
    <w:basedOn w:val="HeadingBase"/>
    <w:next w:val="Normal"/>
    <w:link w:val="Heading5Char"/>
    <w:qFormat/>
    <w:rsid w:val="00AE2784"/>
    <w:pPr>
      <w:spacing w:before="80"/>
      <w:outlineLvl w:val="4"/>
    </w:pPr>
    <w:rPr>
      <w:color w:val="918585"/>
      <w:sz w:val="20"/>
    </w:rPr>
  </w:style>
  <w:style w:type="paragraph" w:styleId="Heading6">
    <w:name w:val="heading 6"/>
    <w:basedOn w:val="HeadingBase"/>
    <w:next w:val="Normal"/>
    <w:link w:val="Heading6Char"/>
    <w:qFormat/>
    <w:rsid w:val="00AE2784"/>
    <w:pPr>
      <w:spacing w:before="60"/>
      <w:outlineLvl w:val="5"/>
    </w:pPr>
    <w:rPr>
      <w:color w:val="918585"/>
      <w:sz w:val="20"/>
    </w:rPr>
  </w:style>
  <w:style w:type="paragraph" w:styleId="Heading7">
    <w:name w:val="heading 7"/>
    <w:basedOn w:val="Normal"/>
    <w:next w:val="Normal"/>
    <w:link w:val="Heading7Char"/>
    <w:qFormat/>
    <w:rsid w:val="00AE2784"/>
    <w:pPr>
      <w:ind w:left="720"/>
      <w:outlineLvl w:val="6"/>
    </w:pPr>
    <w:rPr>
      <w:i/>
    </w:rPr>
  </w:style>
  <w:style w:type="paragraph" w:styleId="Heading8">
    <w:name w:val="heading 8"/>
    <w:basedOn w:val="Normal"/>
    <w:next w:val="Normal"/>
    <w:link w:val="Heading8Char"/>
    <w:qFormat/>
    <w:rsid w:val="00AE2784"/>
    <w:pPr>
      <w:ind w:left="720"/>
      <w:outlineLvl w:val="7"/>
    </w:pPr>
    <w:rPr>
      <w:i/>
    </w:rPr>
  </w:style>
  <w:style w:type="paragraph" w:styleId="Heading9">
    <w:name w:val="heading 9"/>
    <w:basedOn w:val="Normal"/>
    <w:next w:val="Normal"/>
    <w:link w:val="Heading9Char"/>
    <w:qFormat/>
    <w:rsid w:val="00AE2784"/>
    <w:pPr>
      <w:ind w:left="720"/>
      <w:outlineLvl w:val="8"/>
    </w:pPr>
    <w:rPr>
      <w:i/>
    </w:rPr>
  </w:style>
  <w:style w:type="character" w:default="1" w:styleId="DefaultParagraphFont">
    <w:name w:val="Default Paragraph Font"/>
    <w:uiPriority w:val="1"/>
    <w:unhideWhenUsed/>
    <w:rsid w:val="00AE2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784"/>
  </w:style>
  <w:style w:type="character" w:customStyle="1" w:styleId="Heading1Char">
    <w:name w:val="Heading 1 Char"/>
    <w:basedOn w:val="DefaultParagraphFont"/>
    <w:link w:val="Heading1"/>
    <w:rsid w:val="00AE2784"/>
    <w:rPr>
      <w:rFonts w:ascii="Times New Roman" w:eastAsia="Times New Roman" w:hAnsi="Times New Roman" w:cs="Times New Roman"/>
      <w:b/>
      <w:sz w:val="32"/>
      <w:szCs w:val="20"/>
      <w:lang w:eastAsia="en-US"/>
    </w:rPr>
  </w:style>
  <w:style w:type="paragraph" w:styleId="BodyText">
    <w:name w:val="Body Text"/>
    <w:basedOn w:val="Normal"/>
    <w:link w:val="BodyTextChar"/>
    <w:rsid w:val="00AE27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2784"/>
    <w:rPr>
      <w:rFonts w:ascii="Times New Roman" w:eastAsia="Times New Roman" w:hAnsi="Times New Roman" w:cs="Times New Roman"/>
      <w:sz w:val="24"/>
      <w:lang w:val="en-US" w:eastAsia="en-US"/>
    </w:rPr>
  </w:style>
  <w:style w:type="paragraph" w:styleId="Footer">
    <w:name w:val="footer"/>
    <w:basedOn w:val="Normal"/>
    <w:link w:val="FooterChar"/>
    <w:rsid w:val="00AE2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78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E2784"/>
    <w:rPr>
      <w:b/>
      <w:spacing w:val="0"/>
    </w:rPr>
  </w:style>
  <w:style w:type="paragraph" w:styleId="Header">
    <w:name w:val="header"/>
    <w:basedOn w:val="Normal"/>
    <w:link w:val="HeaderChar"/>
    <w:rsid w:val="00AE2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78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E2784"/>
    <w:rPr>
      <w:i/>
    </w:rPr>
  </w:style>
  <w:style w:type="paragraph" w:customStyle="1" w:styleId="SuperHeading">
    <w:name w:val="SuperHeading"/>
    <w:basedOn w:val="Normal"/>
    <w:rsid w:val="00AE2784"/>
    <w:pPr>
      <w:spacing w:before="240" w:after="120"/>
      <w:outlineLvl w:val="0"/>
    </w:pPr>
    <w:rPr>
      <w:rFonts w:ascii="Times New Roman" w:hAnsi="Times New Roman"/>
      <w:b/>
      <w:sz w:val="28"/>
    </w:rPr>
  </w:style>
  <w:style w:type="paragraph" w:customStyle="1" w:styleId="AllowPageBreak">
    <w:name w:val="AllowPageBreak"/>
    <w:rsid w:val="00AE27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2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7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27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2784"/>
    <w:rPr>
      <w:rFonts w:ascii="Courier New" w:eastAsia="Times New Roman" w:hAnsi="Courier New" w:cs="Times New Roman"/>
      <w:i/>
      <w:szCs w:val="20"/>
      <w:lang w:val="en-US" w:eastAsia="en-US"/>
    </w:rPr>
  </w:style>
  <w:style w:type="paragraph" w:customStyle="1" w:styleId="HeadingBase">
    <w:name w:val="Heading Base"/>
    <w:rsid w:val="00AE2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784"/>
    <w:pPr>
      <w:tabs>
        <w:tab w:val="right" w:leader="dot" w:pos="9072"/>
      </w:tabs>
      <w:ind w:left="567"/>
    </w:pPr>
    <w:rPr>
      <w:szCs w:val="22"/>
    </w:rPr>
  </w:style>
  <w:style w:type="paragraph" w:customStyle="1" w:styleId="TOCBase">
    <w:name w:val="TOC Base"/>
    <w:rsid w:val="00AE2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784"/>
    <w:pPr>
      <w:tabs>
        <w:tab w:val="right" w:leader="dot" w:pos="9072"/>
      </w:tabs>
      <w:spacing w:before="40" w:after="40"/>
      <w:ind w:left="284"/>
    </w:pPr>
    <w:rPr>
      <w:rFonts w:ascii="Times New Roman" w:hAnsi="Times New Roman"/>
    </w:rPr>
  </w:style>
  <w:style w:type="paragraph" w:styleId="TOC1">
    <w:name w:val="toc 1"/>
    <w:basedOn w:val="TOCBase"/>
    <w:next w:val="Normal"/>
    <w:rsid w:val="00AE27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2784"/>
    <w:pPr>
      <w:spacing w:before="5040"/>
      <w:jc w:val="center"/>
    </w:pPr>
    <w:rPr>
      <w:sz w:val="48"/>
      <w:szCs w:val="72"/>
      <w:lang w:val="en-US"/>
    </w:rPr>
  </w:style>
  <w:style w:type="character" w:customStyle="1" w:styleId="TitleChar">
    <w:name w:val="Title Char"/>
    <w:basedOn w:val="DefaultParagraphFont"/>
    <w:link w:val="Title"/>
    <w:rsid w:val="00AE2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784"/>
    <w:pPr>
      <w:tabs>
        <w:tab w:val="left" w:pos="3600"/>
        <w:tab w:val="left" w:pos="3958"/>
      </w:tabs>
    </w:pPr>
  </w:style>
  <w:style w:type="paragraph" w:styleId="List">
    <w:name w:val="List"/>
    <w:basedOn w:val="BodyText"/>
    <w:next w:val="BodyText"/>
    <w:rsid w:val="00AE2784"/>
    <w:pPr>
      <w:tabs>
        <w:tab w:val="left" w:pos="340"/>
      </w:tabs>
      <w:spacing w:before="60" w:after="60"/>
      <w:ind w:left="340" w:hanging="340"/>
    </w:pPr>
  </w:style>
  <w:style w:type="paragraph" w:styleId="ListBullet">
    <w:name w:val="List Bullet"/>
    <w:basedOn w:val="List"/>
    <w:rsid w:val="00AE2784"/>
    <w:pPr>
      <w:numPr>
        <w:numId w:val="11"/>
      </w:numPr>
      <w:tabs>
        <w:tab w:val="clear" w:pos="340"/>
      </w:tabs>
      <w:spacing w:before="40" w:after="40"/>
    </w:pPr>
  </w:style>
  <w:style w:type="paragraph" w:customStyle="1" w:styleId="Note">
    <w:name w:val="Note"/>
    <w:basedOn w:val="BodyText"/>
    <w:rsid w:val="00AE2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784"/>
    <w:pPr>
      <w:framePr w:wrap="auto" w:hAnchor="text" w:y="6049"/>
    </w:pPr>
    <w:rPr>
      <w:color w:val="000000"/>
      <w:sz w:val="40"/>
    </w:rPr>
  </w:style>
  <w:style w:type="paragraph" w:customStyle="1" w:styleId="TOCTitle">
    <w:name w:val="TOCTitle"/>
    <w:basedOn w:val="Heading1"/>
    <w:rsid w:val="00AE2784"/>
    <w:pPr>
      <w:spacing w:after="240"/>
      <w:jc w:val="center"/>
      <w:outlineLvl w:val="9"/>
    </w:pPr>
    <w:rPr>
      <w:caps/>
    </w:rPr>
  </w:style>
  <w:style w:type="paragraph" w:customStyle="1" w:styleId="Version">
    <w:name w:val="Version"/>
    <w:rsid w:val="00AE27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2784"/>
    <w:pPr>
      <w:numPr>
        <w:numId w:val="12"/>
      </w:numPr>
      <w:tabs>
        <w:tab w:val="clear" w:pos="680"/>
      </w:tabs>
    </w:pPr>
  </w:style>
  <w:style w:type="paragraph" w:styleId="Index1">
    <w:name w:val="index 1"/>
    <w:basedOn w:val="Normal"/>
    <w:next w:val="Normal"/>
    <w:semiHidden/>
    <w:rsid w:val="00AE2784"/>
    <w:pPr>
      <w:keepNext w:val="0"/>
      <w:tabs>
        <w:tab w:val="right" w:pos="4176"/>
      </w:tabs>
      <w:ind w:left="198" w:hanging="198"/>
    </w:pPr>
    <w:rPr>
      <w:rFonts w:ascii="Garamond" w:hAnsi="Garamond"/>
    </w:rPr>
  </w:style>
  <w:style w:type="paragraph" w:styleId="IndexHeading">
    <w:name w:val="index heading"/>
    <w:basedOn w:val="Normal"/>
    <w:next w:val="Index1"/>
    <w:semiHidden/>
    <w:rsid w:val="00AE2784"/>
    <w:pPr>
      <w:spacing w:before="120" w:after="120"/>
    </w:pPr>
    <w:rPr>
      <w:rFonts w:ascii="Arial" w:hAnsi="Arial"/>
      <w:b/>
      <w:color w:val="918585"/>
      <w:sz w:val="24"/>
    </w:rPr>
  </w:style>
  <w:style w:type="paragraph" w:customStyle="1" w:styleId="Chapter">
    <w:name w:val="Chapter"/>
    <w:basedOn w:val="Normal"/>
    <w:rsid w:val="00AE2784"/>
    <w:pPr>
      <w:spacing w:before="240"/>
    </w:pPr>
    <w:rPr>
      <w:rFonts w:ascii="Times New Roman" w:hAnsi="Times New Roman"/>
      <w:smallCaps/>
      <w:spacing w:val="80"/>
      <w:sz w:val="28"/>
    </w:rPr>
  </w:style>
  <w:style w:type="paragraph" w:customStyle="1" w:styleId="InChapter">
    <w:name w:val="InChapter"/>
    <w:basedOn w:val="Heading3"/>
    <w:rsid w:val="00AE2784"/>
    <w:pPr>
      <w:spacing w:after="240"/>
      <w:outlineLvl w:val="9"/>
    </w:pPr>
    <w:rPr>
      <w:noProof/>
    </w:rPr>
  </w:style>
  <w:style w:type="paragraph" w:styleId="Index2">
    <w:name w:val="index 2"/>
    <w:basedOn w:val="Normal"/>
    <w:next w:val="Normal"/>
    <w:semiHidden/>
    <w:rsid w:val="00AE2784"/>
    <w:pPr>
      <w:tabs>
        <w:tab w:val="right" w:pos="4176"/>
      </w:tabs>
      <w:ind w:left="568" w:hanging="284"/>
    </w:pPr>
    <w:rPr>
      <w:rFonts w:ascii="Garamond" w:hAnsi="Garamond"/>
    </w:rPr>
  </w:style>
  <w:style w:type="paragraph" w:customStyle="1" w:styleId="Byline">
    <w:name w:val="Byline"/>
    <w:rsid w:val="00AE2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784"/>
    <w:pPr>
      <w:tabs>
        <w:tab w:val="clear" w:pos="3600"/>
        <w:tab w:val="clear" w:pos="3958"/>
      </w:tabs>
      <w:jc w:val="right"/>
    </w:pPr>
  </w:style>
  <w:style w:type="paragraph" w:styleId="Caption">
    <w:name w:val="caption"/>
    <w:basedOn w:val="BodyText"/>
    <w:next w:val="Normal"/>
    <w:qFormat/>
    <w:rsid w:val="00AE2784"/>
    <w:pPr>
      <w:framePr w:w="2268" w:hSpace="181" w:vSpace="181" w:wrap="around" w:vAnchor="text" w:hAnchor="page" w:x="1135" w:y="285" w:anchorLock="1"/>
    </w:pPr>
    <w:rPr>
      <w:i/>
    </w:rPr>
  </w:style>
  <w:style w:type="paragraph" w:customStyle="1" w:styleId="MiniTOCTitle">
    <w:name w:val="MiniTOCTitle"/>
    <w:basedOn w:val="Heading4"/>
    <w:rsid w:val="00AE2784"/>
    <w:pPr>
      <w:spacing w:before="240"/>
      <w:outlineLvl w:val="9"/>
    </w:pPr>
    <w:rPr>
      <w:noProof/>
      <w:sz w:val="24"/>
    </w:rPr>
  </w:style>
  <w:style w:type="paragraph" w:customStyle="1" w:styleId="MiniTOCItem">
    <w:name w:val="MiniTOCItem"/>
    <w:basedOn w:val="ListBullet"/>
    <w:rsid w:val="00AE2784"/>
    <w:pPr>
      <w:numPr>
        <w:numId w:val="0"/>
      </w:numPr>
      <w:tabs>
        <w:tab w:val="right" w:leader="dot" w:pos="6521"/>
      </w:tabs>
      <w:spacing w:before="0" w:after="0"/>
    </w:pPr>
  </w:style>
  <w:style w:type="paragraph" w:customStyle="1" w:styleId="TOFTitle">
    <w:name w:val="TOFTitle"/>
    <w:basedOn w:val="TOCTitle"/>
    <w:rsid w:val="00AE2784"/>
  </w:style>
  <w:style w:type="paragraph" w:styleId="TableofFigures">
    <w:name w:val="table of figures"/>
    <w:basedOn w:val="Normal"/>
    <w:next w:val="Normal"/>
    <w:semiHidden/>
    <w:rsid w:val="00AE2784"/>
    <w:pPr>
      <w:tabs>
        <w:tab w:val="right" w:leader="dot" w:pos="9072"/>
      </w:tabs>
      <w:ind w:left="970" w:hanging="403"/>
    </w:pPr>
    <w:rPr>
      <w:rFonts w:ascii="Times New Roman" w:hAnsi="Times New Roman"/>
      <w:b/>
    </w:rPr>
  </w:style>
  <w:style w:type="paragraph" w:styleId="ListNumber">
    <w:name w:val="List Number"/>
    <w:basedOn w:val="List"/>
    <w:rsid w:val="00AE2784"/>
    <w:pPr>
      <w:numPr>
        <w:numId w:val="9"/>
      </w:numPr>
    </w:pPr>
  </w:style>
  <w:style w:type="character" w:customStyle="1" w:styleId="WingdingSymbols">
    <w:name w:val="Wingding Symbols"/>
    <w:rsid w:val="00AE2784"/>
    <w:rPr>
      <w:rFonts w:ascii="Wingdings" w:hAnsi="Wingdings"/>
    </w:rPr>
  </w:style>
  <w:style w:type="paragraph" w:customStyle="1" w:styleId="TableHeading">
    <w:name w:val="Table Heading"/>
    <w:basedOn w:val="HeadingBase"/>
    <w:rsid w:val="00AE2784"/>
    <w:pPr>
      <w:keepLines/>
      <w:pBdr>
        <w:bottom w:val="single" w:sz="6" w:space="1" w:color="918585"/>
      </w:pBdr>
      <w:spacing w:before="240"/>
    </w:pPr>
  </w:style>
  <w:style w:type="character" w:customStyle="1" w:styleId="HotSpot">
    <w:name w:val="HotSpot"/>
    <w:rsid w:val="00AE2784"/>
    <w:rPr>
      <w:color w:val="0033CC"/>
      <w:u w:val="none"/>
    </w:rPr>
  </w:style>
  <w:style w:type="paragraph" w:customStyle="1" w:styleId="BodyTextRight">
    <w:name w:val="Body Text Right"/>
    <w:basedOn w:val="BodyText"/>
    <w:rsid w:val="00AE2784"/>
    <w:pPr>
      <w:spacing w:before="0" w:after="0"/>
      <w:jc w:val="right"/>
    </w:pPr>
  </w:style>
  <w:style w:type="paragraph" w:styleId="Index3">
    <w:name w:val="index 3"/>
    <w:basedOn w:val="ListNumber2"/>
    <w:next w:val="Normal"/>
    <w:semiHidden/>
    <w:rsid w:val="00AE2784"/>
    <w:pPr>
      <w:numPr>
        <w:numId w:val="0"/>
      </w:numPr>
      <w:tabs>
        <w:tab w:val="right" w:leader="dot" w:pos="4176"/>
      </w:tabs>
    </w:pPr>
  </w:style>
  <w:style w:type="paragraph" w:styleId="ListNumber2">
    <w:name w:val="List Number 2"/>
    <w:basedOn w:val="List2"/>
    <w:rsid w:val="00AE2784"/>
    <w:pPr>
      <w:numPr>
        <w:numId w:val="8"/>
      </w:numPr>
      <w:tabs>
        <w:tab w:val="clear" w:pos="1060"/>
      </w:tabs>
    </w:pPr>
  </w:style>
  <w:style w:type="paragraph" w:customStyle="1" w:styleId="MarginNote">
    <w:name w:val="Margin Note"/>
    <w:basedOn w:val="BodyText"/>
    <w:rsid w:val="00AE2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7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2784"/>
    <w:rPr>
      <w:sz w:val="32"/>
    </w:rPr>
  </w:style>
  <w:style w:type="paragraph" w:customStyle="1" w:styleId="HeadingProcedure">
    <w:name w:val="Heading Procedure"/>
    <w:basedOn w:val="HeadingBase"/>
    <w:next w:val="Normal"/>
    <w:rsid w:val="00AE2784"/>
    <w:pPr>
      <w:tabs>
        <w:tab w:val="left" w:pos="0"/>
      </w:tabs>
      <w:spacing w:before="120" w:after="60"/>
    </w:pPr>
    <w:rPr>
      <w:i/>
      <w:color w:val="918585"/>
      <w:sz w:val="22"/>
    </w:rPr>
  </w:style>
  <w:style w:type="paragraph" w:customStyle="1" w:styleId="TableBodyText">
    <w:name w:val="Table Body Text"/>
    <w:basedOn w:val="BodyText"/>
    <w:rsid w:val="00AE2784"/>
    <w:pPr>
      <w:spacing w:before="60" w:after="60"/>
    </w:pPr>
  </w:style>
  <w:style w:type="paragraph" w:styleId="ListContinue">
    <w:name w:val="List Continue"/>
    <w:basedOn w:val="List"/>
    <w:rsid w:val="00AE2784"/>
    <w:pPr>
      <w:ind w:firstLine="0"/>
    </w:pPr>
  </w:style>
  <w:style w:type="paragraph" w:customStyle="1" w:styleId="ListNote">
    <w:name w:val="List Note"/>
    <w:basedOn w:val="List"/>
    <w:rsid w:val="00AE2784"/>
    <w:pPr>
      <w:pBdr>
        <w:top w:val="single" w:sz="6" w:space="2" w:color="918585"/>
        <w:bottom w:val="single" w:sz="6" w:space="2" w:color="918585"/>
      </w:pBdr>
      <w:tabs>
        <w:tab w:val="left" w:pos="1021"/>
      </w:tabs>
      <w:ind w:firstLine="0"/>
    </w:pPr>
  </w:style>
  <w:style w:type="paragraph" w:customStyle="1" w:styleId="Warning">
    <w:name w:val="Warning"/>
    <w:basedOn w:val="BodyText"/>
    <w:rsid w:val="00AE2784"/>
    <w:pPr>
      <w:shd w:val="clear" w:color="auto" w:fill="D9D9D9"/>
      <w:tabs>
        <w:tab w:val="left" w:pos="992"/>
      </w:tabs>
      <w:ind w:left="119" w:right="119"/>
    </w:pPr>
    <w:rPr>
      <w:sz w:val="20"/>
    </w:rPr>
  </w:style>
  <w:style w:type="paragraph" w:customStyle="1" w:styleId="MarginIcons">
    <w:name w:val="Margin Icons"/>
    <w:basedOn w:val="BodyText"/>
    <w:rsid w:val="00AE2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784"/>
    <w:rPr>
      <w:rFonts w:ascii="Courier New" w:hAnsi="Courier New"/>
    </w:rPr>
  </w:style>
  <w:style w:type="paragraph" w:customStyle="1" w:styleId="NoteBullet">
    <w:name w:val="Note Bullet"/>
    <w:basedOn w:val="Note"/>
    <w:rsid w:val="00AE2784"/>
    <w:pPr>
      <w:tabs>
        <w:tab w:val="clear" w:pos="680"/>
      </w:tabs>
      <w:spacing w:before="60" w:after="60"/>
    </w:pPr>
  </w:style>
  <w:style w:type="paragraph" w:customStyle="1" w:styleId="SubHeading2">
    <w:name w:val="SubHeading2"/>
    <w:basedOn w:val="HeadingBase"/>
    <w:rsid w:val="00AE2784"/>
    <w:pPr>
      <w:spacing w:before="240" w:after="60"/>
    </w:pPr>
    <w:rPr>
      <w:sz w:val="20"/>
    </w:rPr>
  </w:style>
  <w:style w:type="paragraph" w:customStyle="1" w:styleId="SubHeading1">
    <w:name w:val="SubHeading1"/>
    <w:basedOn w:val="HeadingBase"/>
    <w:rsid w:val="00AE2784"/>
    <w:pPr>
      <w:spacing w:before="240" w:after="60"/>
    </w:pPr>
    <w:rPr>
      <w:color w:val="918585"/>
      <w:sz w:val="22"/>
    </w:rPr>
  </w:style>
  <w:style w:type="paragraph" w:customStyle="1" w:styleId="SideHeading">
    <w:name w:val="Side Heading"/>
    <w:basedOn w:val="HeadingBase"/>
    <w:rsid w:val="00AE2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784"/>
    <w:pPr>
      <w:numPr>
        <w:numId w:val="10"/>
      </w:numPr>
    </w:pPr>
  </w:style>
  <w:style w:type="paragraph" w:styleId="PlainText">
    <w:name w:val="Plain Text"/>
    <w:basedOn w:val="Normal"/>
    <w:link w:val="PlainTextChar"/>
    <w:rsid w:val="00AE2784"/>
    <w:rPr>
      <w:sz w:val="20"/>
    </w:rPr>
  </w:style>
  <w:style w:type="character" w:customStyle="1" w:styleId="PlainTextChar">
    <w:name w:val="Plain Text Char"/>
    <w:basedOn w:val="DefaultParagraphFont"/>
    <w:link w:val="PlainText"/>
    <w:rsid w:val="00AE27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2784"/>
    <w:rPr>
      <w:b/>
      <w:smallCaps/>
    </w:rPr>
  </w:style>
  <w:style w:type="paragraph" w:customStyle="1" w:styleId="TableListNumber">
    <w:name w:val="Table List Number"/>
    <w:basedOn w:val="ListNumber"/>
    <w:rsid w:val="00AE2784"/>
    <w:pPr>
      <w:numPr>
        <w:numId w:val="0"/>
      </w:numPr>
    </w:pPr>
  </w:style>
  <w:style w:type="paragraph" w:styleId="TOC4">
    <w:name w:val="toc 4"/>
    <w:basedOn w:val="TOCBase"/>
    <w:next w:val="Normal"/>
    <w:semiHidden/>
    <w:rsid w:val="00AE2784"/>
    <w:pPr>
      <w:tabs>
        <w:tab w:val="right" w:leader="dot" w:pos="9071"/>
      </w:tabs>
      <w:ind w:left="1701"/>
    </w:pPr>
  </w:style>
  <w:style w:type="paragraph" w:customStyle="1" w:styleId="ListAlpha">
    <w:name w:val="List Alpha"/>
    <w:basedOn w:val="List"/>
    <w:rsid w:val="00AE2784"/>
    <w:pPr>
      <w:numPr>
        <w:numId w:val="7"/>
      </w:numPr>
    </w:pPr>
  </w:style>
  <w:style w:type="paragraph" w:customStyle="1" w:styleId="ListAlpha2">
    <w:name w:val="List Alpha 2"/>
    <w:basedOn w:val="List2"/>
    <w:rsid w:val="00AE2784"/>
    <w:pPr>
      <w:numPr>
        <w:numId w:val="6"/>
      </w:numPr>
    </w:pPr>
  </w:style>
  <w:style w:type="paragraph" w:styleId="List2">
    <w:name w:val="List 2"/>
    <w:basedOn w:val="BodyText"/>
    <w:rsid w:val="00AE2784"/>
    <w:pPr>
      <w:tabs>
        <w:tab w:val="left" w:pos="680"/>
      </w:tabs>
      <w:spacing w:before="60" w:after="60"/>
      <w:ind w:left="680" w:hanging="340"/>
    </w:pPr>
  </w:style>
  <w:style w:type="paragraph" w:styleId="List3">
    <w:name w:val="List 3"/>
    <w:basedOn w:val="BodyText"/>
    <w:rsid w:val="00AE2784"/>
    <w:pPr>
      <w:tabs>
        <w:tab w:val="left" w:pos="1021"/>
      </w:tabs>
      <w:spacing w:before="60" w:after="60"/>
      <w:ind w:left="1020" w:hanging="340"/>
    </w:pPr>
  </w:style>
  <w:style w:type="paragraph" w:styleId="List4">
    <w:name w:val="List 4"/>
    <w:basedOn w:val="BodyText"/>
    <w:rsid w:val="00AE2784"/>
    <w:pPr>
      <w:tabs>
        <w:tab w:val="left" w:pos="1361"/>
      </w:tabs>
      <w:spacing w:before="60" w:after="60"/>
      <w:ind w:left="1361" w:hanging="340"/>
    </w:pPr>
  </w:style>
  <w:style w:type="paragraph" w:styleId="List5">
    <w:name w:val="List 5"/>
    <w:basedOn w:val="BodyText"/>
    <w:rsid w:val="00AE2784"/>
    <w:pPr>
      <w:tabs>
        <w:tab w:val="left" w:pos="1701"/>
      </w:tabs>
      <w:spacing w:before="60" w:after="60"/>
      <w:ind w:left="1701" w:hanging="340"/>
    </w:pPr>
  </w:style>
  <w:style w:type="paragraph" w:styleId="ListBullet3">
    <w:name w:val="List Bullet 3"/>
    <w:basedOn w:val="List3"/>
    <w:rsid w:val="00AE2784"/>
    <w:pPr>
      <w:numPr>
        <w:numId w:val="13"/>
      </w:numPr>
      <w:tabs>
        <w:tab w:val="clear" w:pos="1021"/>
      </w:tabs>
      <w:ind w:left="1037" w:hanging="357"/>
    </w:pPr>
  </w:style>
  <w:style w:type="paragraph" w:styleId="ListBullet4">
    <w:name w:val="List Bullet 4"/>
    <w:basedOn w:val="List4"/>
    <w:rsid w:val="00AE2784"/>
    <w:pPr>
      <w:numPr>
        <w:numId w:val="1"/>
      </w:numPr>
    </w:pPr>
  </w:style>
  <w:style w:type="paragraph" w:styleId="ListBullet5">
    <w:name w:val="List Bullet 5"/>
    <w:basedOn w:val="List5"/>
    <w:rsid w:val="00AE2784"/>
    <w:pPr>
      <w:numPr>
        <w:numId w:val="2"/>
      </w:numPr>
    </w:pPr>
  </w:style>
  <w:style w:type="paragraph" w:styleId="ListContinue2">
    <w:name w:val="List Continue 2"/>
    <w:basedOn w:val="List2"/>
    <w:rsid w:val="00AE2784"/>
    <w:pPr>
      <w:ind w:firstLine="0"/>
    </w:pPr>
  </w:style>
  <w:style w:type="paragraph" w:styleId="ListContinue3">
    <w:name w:val="List Continue 3"/>
    <w:basedOn w:val="List3"/>
    <w:rsid w:val="00AE2784"/>
    <w:pPr>
      <w:ind w:left="1021" w:firstLine="0"/>
    </w:pPr>
  </w:style>
  <w:style w:type="paragraph" w:styleId="ListContinue4">
    <w:name w:val="List Continue 4"/>
    <w:basedOn w:val="List4"/>
    <w:rsid w:val="00AE2784"/>
    <w:pPr>
      <w:ind w:firstLine="0"/>
    </w:pPr>
  </w:style>
  <w:style w:type="paragraph" w:styleId="ListContinue5">
    <w:name w:val="List Continue 5"/>
    <w:basedOn w:val="List5"/>
    <w:rsid w:val="00AE2784"/>
    <w:pPr>
      <w:ind w:firstLine="0"/>
    </w:pPr>
  </w:style>
  <w:style w:type="paragraph" w:styleId="ListNumber3">
    <w:name w:val="List Number 3"/>
    <w:basedOn w:val="List3"/>
    <w:rsid w:val="00AE2784"/>
    <w:pPr>
      <w:numPr>
        <w:numId w:val="3"/>
      </w:numPr>
    </w:pPr>
  </w:style>
  <w:style w:type="paragraph" w:styleId="ListNumber4">
    <w:name w:val="List Number 4"/>
    <w:basedOn w:val="List4"/>
    <w:rsid w:val="00AE2784"/>
    <w:pPr>
      <w:numPr>
        <w:numId w:val="4"/>
      </w:numPr>
    </w:pPr>
  </w:style>
  <w:style w:type="paragraph" w:styleId="ListNumber5">
    <w:name w:val="List Number 5"/>
    <w:basedOn w:val="List5"/>
    <w:rsid w:val="00AE2784"/>
    <w:pPr>
      <w:numPr>
        <w:numId w:val="5"/>
      </w:numPr>
    </w:pPr>
  </w:style>
  <w:style w:type="paragraph" w:styleId="BlockText">
    <w:name w:val="Block Text"/>
    <w:basedOn w:val="Normal"/>
    <w:rsid w:val="00AE2784"/>
    <w:pPr>
      <w:spacing w:after="120"/>
      <w:ind w:left="1440" w:right="1440"/>
    </w:pPr>
  </w:style>
  <w:style w:type="character" w:customStyle="1" w:styleId="Subscript">
    <w:name w:val="Subscript"/>
    <w:basedOn w:val="DefaultParagraphFont"/>
    <w:rsid w:val="00AE2784"/>
    <w:rPr>
      <w:sz w:val="16"/>
      <w:vertAlign w:val="subscript"/>
    </w:rPr>
  </w:style>
  <w:style w:type="character" w:customStyle="1" w:styleId="Superscript">
    <w:name w:val="Superscript"/>
    <w:basedOn w:val="DefaultParagraphFont"/>
    <w:rsid w:val="00AE2784"/>
    <w:rPr>
      <w:sz w:val="16"/>
      <w:vertAlign w:val="superscript"/>
    </w:rPr>
  </w:style>
  <w:style w:type="character" w:customStyle="1" w:styleId="Symbols">
    <w:name w:val="Symbols"/>
    <w:basedOn w:val="DefaultParagraphFont"/>
    <w:rsid w:val="00AE2784"/>
    <w:rPr>
      <w:rFonts w:ascii="Symbol" w:hAnsi="Symbol"/>
    </w:rPr>
  </w:style>
  <w:style w:type="character" w:customStyle="1" w:styleId="MenuOptions">
    <w:name w:val="Menu Options"/>
    <w:basedOn w:val="DefaultParagraphFont"/>
    <w:rsid w:val="00AE2784"/>
    <w:rPr>
      <w:rFonts w:ascii="Arial Narrow" w:hAnsi="Arial Narrow"/>
      <w:smallCaps/>
    </w:rPr>
  </w:style>
  <w:style w:type="character" w:customStyle="1" w:styleId="Buttons">
    <w:name w:val="Buttons"/>
    <w:basedOn w:val="DefaultParagraphFont"/>
    <w:rsid w:val="00AE2784"/>
    <w:rPr>
      <w:b/>
    </w:rPr>
  </w:style>
  <w:style w:type="character" w:customStyle="1" w:styleId="Underlined">
    <w:name w:val="Underlined"/>
    <w:basedOn w:val="DefaultParagraphFont"/>
    <w:rsid w:val="00AE2784"/>
    <w:rPr>
      <w:u w:val="single"/>
    </w:rPr>
  </w:style>
  <w:style w:type="paragraph" w:customStyle="1" w:styleId="TableBodyTextRight">
    <w:name w:val="Table Body Text Right"/>
    <w:basedOn w:val="TableBodyText"/>
    <w:rsid w:val="00AE2784"/>
    <w:pPr>
      <w:widowControl w:val="0"/>
      <w:autoSpaceDE w:val="0"/>
      <w:autoSpaceDN w:val="0"/>
      <w:adjustRightInd w:val="0"/>
      <w:jc w:val="right"/>
    </w:pPr>
    <w:rPr>
      <w:rFonts w:cs="Arial"/>
      <w:szCs w:val="18"/>
    </w:rPr>
  </w:style>
  <w:style w:type="paragraph" w:customStyle="1" w:styleId="CopyrightText">
    <w:name w:val="Copyright Text"/>
    <w:basedOn w:val="BodyText"/>
    <w:rsid w:val="00AE2784"/>
    <w:rPr>
      <w:sz w:val="18"/>
    </w:rPr>
  </w:style>
  <w:style w:type="paragraph" w:customStyle="1" w:styleId="BodySmallRight">
    <w:name w:val="Body Small Right"/>
    <w:basedOn w:val="BodyTextRight"/>
    <w:rsid w:val="00AE2784"/>
    <w:rPr>
      <w:sz w:val="18"/>
      <w:szCs w:val="18"/>
    </w:rPr>
  </w:style>
  <w:style w:type="paragraph" w:customStyle="1" w:styleId="MarginEdition">
    <w:name w:val="Margin Edition"/>
    <w:basedOn w:val="MarginNote"/>
    <w:rsid w:val="00AE2784"/>
    <w:pPr>
      <w:spacing w:before="0" w:after="0"/>
    </w:pPr>
    <w:rPr>
      <w:rFonts w:ascii="Times New Roman" w:hAnsi="Times New Roman"/>
      <w:color w:val="999999"/>
    </w:rPr>
  </w:style>
  <w:style w:type="paragraph" w:customStyle="1" w:styleId="Spacer">
    <w:name w:val="Spacer"/>
    <w:basedOn w:val="Normal"/>
    <w:rsid w:val="00AE2784"/>
    <w:rPr>
      <w:sz w:val="2"/>
      <w:szCs w:val="2"/>
    </w:rPr>
  </w:style>
  <w:style w:type="character" w:customStyle="1" w:styleId="Small">
    <w:name w:val="Small"/>
    <w:basedOn w:val="DefaultParagraphFont"/>
    <w:rsid w:val="00AE2784"/>
    <w:rPr>
      <w:sz w:val="16"/>
    </w:rPr>
  </w:style>
  <w:style w:type="paragraph" w:customStyle="1" w:styleId="WideTable">
    <w:name w:val="Wide Table"/>
    <w:basedOn w:val="Normal"/>
    <w:rsid w:val="00AE2784"/>
    <w:pPr>
      <w:ind w:left="-1418"/>
    </w:pPr>
    <w:rPr>
      <w:sz w:val="2"/>
      <w:szCs w:val="2"/>
    </w:rPr>
  </w:style>
  <w:style w:type="character" w:styleId="PageNumber">
    <w:name w:val="page number"/>
    <w:basedOn w:val="DefaultParagraphFont"/>
    <w:rsid w:val="00AE2784"/>
  </w:style>
  <w:style w:type="paragraph" w:styleId="Quote">
    <w:name w:val="Quote"/>
    <w:basedOn w:val="Heading1"/>
    <w:link w:val="QuoteChar"/>
    <w:qFormat/>
    <w:rsid w:val="00AE2784"/>
    <w:rPr>
      <w:b w:val="0"/>
      <w:sz w:val="72"/>
      <w:szCs w:val="72"/>
      <w:lang w:val="en-NZ"/>
    </w:rPr>
  </w:style>
  <w:style w:type="character" w:customStyle="1" w:styleId="QuoteChar">
    <w:name w:val="Quote Char"/>
    <w:basedOn w:val="DefaultParagraphFont"/>
    <w:link w:val="Quote"/>
    <w:rsid w:val="00AE2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784"/>
    <w:pPr>
      <w:pageBreakBefore/>
    </w:pPr>
  </w:style>
  <w:style w:type="paragraph" w:customStyle="1" w:styleId="Border">
    <w:name w:val="Border"/>
    <w:basedOn w:val="Normal"/>
    <w:qFormat/>
    <w:rsid w:val="00AE2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784"/>
    <w:rPr>
      <w:b/>
      <w:bCs/>
      <w:i/>
      <w:iCs/>
      <w:color w:val="auto"/>
    </w:rPr>
  </w:style>
  <w:style w:type="paragraph" w:styleId="IntenseQuote">
    <w:name w:val="Intense Quote"/>
    <w:basedOn w:val="Normal"/>
    <w:next w:val="Normal"/>
    <w:link w:val="IntenseQuoteChar"/>
    <w:uiPriority w:val="30"/>
    <w:qFormat/>
    <w:rsid w:val="00AE2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7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2784"/>
    <w:rPr>
      <w:smallCaps/>
      <w:color w:val="auto"/>
      <w:u w:val="single"/>
    </w:rPr>
  </w:style>
  <w:style w:type="character" w:styleId="IntenseReference">
    <w:name w:val="Intense Reference"/>
    <w:basedOn w:val="DefaultParagraphFont"/>
    <w:uiPriority w:val="32"/>
    <w:qFormat/>
    <w:rsid w:val="00AE2784"/>
    <w:rPr>
      <w:b/>
      <w:bCs/>
      <w:smallCaps/>
      <w:color w:val="auto"/>
      <w:spacing w:val="5"/>
      <w:u w:val="single"/>
    </w:rPr>
  </w:style>
  <w:style w:type="paragraph" w:customStyle="1" w:styleId="2ColumnHeading">
    <w:name w:val="2Column Heading"/>
    <w:basedOn w:val="BodyText"/>
    <w:qFormat/>
    <w:rsid w:val="00AE2784"/>
    <w:pPr>
      <w:spacing w:after="60"/>
      <w:ind w:left="-2268"/>
    </w:pPr>
    <w:rPr>
      <w:b/>
    </w:rPr>
  </w:style>
  <w:style w:type="paragraph" w:customStyle="1" w:styleId="Heading1TOC">
    <w:name w:val="Heading1 TOC"/>
    <w:basedOn w:val="Normal"/>
    <w:qFormat/>
    <w:rsid w:val="00AE2784"/>
    <w:pPr>
      <w:spacing w:before="240" w:after="120"/>
    </w:pPr>
    <w:rPr>
      <w:rFonts w:ascii="Times New Roman" w:hAnsi="Times New Roman"/>
      <w:b/>
      <w:sz w:val="32"/>
    </w:rPr>
  </w:style>
  <w:style w:type="paragraph" w:customStyle="1" w:styleId="Heading2TOC">
    <w:name w:val="Heading2 TOC"/>
    <w:basedOn w:val="Normal"/>
    <w:qFormat/>
    <w:rsid w:val="00AE2784"/>
    <w:pPr>
      <w:spacing w:before="240" w:after="60"/>
    </w:pPr>
    <w:rPr>
      <w:rFonts w:ascii="Times New Roman" w:hAnsi="Times New Roman"/>
      <w:b/>
      <w:sz w:val="28"/>
    </w:rPr>
  </w:style>
  <w:style w:type="character" w:customStyle="1" w:styleId="Underline">
    <w:name w:val="Underline"/>
    <w:basedOn w:val="DefaultParagraphFont"/>
    <w:qFormat/>
    <w:rsid w:val="00AE2784"/>
    <w:rPr>
      <w:u w:val="single"/>
    </w:rPr>
  </w:style>
  <w:style w:type="character" w:customStyle="1" w:styleId="BoldandItalics">
    <w:name w:val="Bold and Italics"/>
    <w:qFormat/>
    <w:rsid w:val="00AE2784"/>
    <w:rPr>
      <w:b/>
      <w:i/>
      <w:u w:val="none"/>
    </w:rPr>
  </w:style>
  <w:style w:type="paragraph" w:styleId="BalloonText">
    <w:name w:val="Balloon Text"/>
    <w:basedOn w:val="Normal"/>
    <w:link w:val="BalloonTextChar"/>
    <w:rsid w:val="00AE2784"/>
    <w:rPr>
      <w:rFonts w:ascii="Tahoma" w:hAnsi="Tahoma" w:cs="Tahoma"/>
      <w:sz w:val="16"/>
      <w:szCs w:val="16"/>
    </w:rPr>
  </w:style>
  <w:style w:type="character" w:customStyle="1" w:styleId="BalloonTextChar">
    <w:name w:val="Balloon Text Char"/>
    <w:basedOn w:val="DefaultParagraphFont"/>
    <w:link w:val="BalloonText"/>
    <w:rsid w:val="00AE27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27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27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1799</Words>
  <Characters>10343</Characters>
  <Application>Microsoft Office Word</Application>
  <DocSecurity>0</DocSecurity>
  <Lines>608</Lines>
  <Paragraphs>267</Paragraphs>
  <ScaleCrop>false</ScaleCrop>
  <Company>Author-it Software Corporation Ltd.</Company>
  <LinksUpToDate>false</LinksUpToDate>
  <CharactersWithSpaces>11889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TDMMR1907B SAFELY HANDLE AND STOW EXPLOSIVE AND FLAMMABLE MATERIALS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2012-05-26T21:56:00Z</dcterms:created>
  <dcterms:modified xsi:type="dcterms:W3CDTF">2012-05-26T21:56:00Z</dcterms:modified>
</cp:coreProperties>
</file>