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140" w:rsidP="00FD214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TDMMR1807B OPERATE DECK MACHINERY INSTALLED ON A SMALL VESSEL OF LESS THAN 750 KW PROPULSION POWER</w:t>
      </w:r>
      <w:r>
        <w:fldChar w:fldCharType="end"/>
      </w:r>
    </w:p>
    <w:p w:rsidR="00FD2140" w:rsidP="00FD2140">
      <w:pPr>
        <w:pStyle w:val="Version"/>
        <w:sectPr w:rsidSect="00A25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4E5" w:rsidP="00A254E5">
      <w:pPr>
        <w:pStyle w:val="SuperHeading"/>
      </w:pPr>
      <w:r w:rsidRPr="00A254E5">
        <w:t>TDMMR1807B OPERATE DECK MACHINERY INSTALLED ON A SMALL VESSEL OF LESS THAN 750KW PROPULSION POWER</w:t>
      </w:r>
    </w:p>
    <w:p w:rsidR="00000000" w:rsidRPr="00A254E5" w:rsidP="00A254E5">
      <w:pPr>
        <w:pStyle w:val="Heading1"/>
      </w:pPr>
      <w:bookmarkStart w:id="1" w:name="O_151851"/>
      <w:bookmarkEnd w:id="1"/>
      <w:r w:rsidRPr="00A254E5">
        <w:t>Modification History</w:t>
      </w:r>
    </w:p>
    <w:p w:rsidR="00000000" w:rsidRPr="00A254E5" w:rsidP="00A254E5">
      <w:pPr>
        <w:pStyle w:val="BodyText"/>
      </w:pPr>
      <w:r w:rsidRPr="00A254E5">
        <w:t>Not applicable.</w:t>
      </w: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2" w:name="O_151852"/>
      <w:bookmarkEnd w:id="2"/>
      <w:r w:rsidRPr="00A254E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UNIT DESCRIPTOR:</w:t>
            </w: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This unit involves the skills and knowledge required within the limits of responsibility of a Master 5 and Marine Engine Drivers Grades 2 and 3 to operate and carry out basic user maintenance on shipboard lifting equipmen</w:t>
            </w:r>
            <w:r w:rsidRPr="00A254E5">
              <w:rPr>
                <w:rStyle w:val="SpecialBold"/>
              </w:rPr>
              <w:t>t and deck machinery as per manufacturer's instructions</w:t>
            </w:r>
            <w:r w:rsidRPr="00A254E5">
              <w:t xml:space="preserve">, </w:t>
            </w:r>
            <w:r w:rsidRPr="00A254E5">
              <w:rPr>
                <w:rStyle w:val="SpecialBold"/>
              </w:rPr>
              <w:t>marine regulations and vessel operational procedures</w:t>
            </w: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3" w:name="O_151853"/>
      <w:bookmarkEnd w:id="3"/>
      <w:r w:rsidRPr="00A254E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The unit has applications in the qualification for a Master 5 and Marine Engine Drivers Grades 2 and 3 as per relevant sections of Part D of the National Standard for Commercial Vessels (NSCV), i.e. Certificate III in Transport&amp;Distribution (Coastal Mariti</w:t>
            </w:r>
            <w:r w:rsidRPr="00A254E5">
              <w:t xml:space="preserve">me Operations - Master Class 5), Certificate III in Transport&amp;Distribution (Marine Engine Driving Grade 2) and Certificate II in Transport&amp;Distribution (Marine Engine Driving - Grade 3). 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4" w:name="O_151854"/>
      <w:bookmarkEnd w:id="4"/>
      <w:r w:rsidRPr="00A254E5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Licensing</w:t>
            </w:r>
            <w:r w:rsidRPr="00A254E5">
              <w:t>/</w:t>
            </w:r>
            <w:r w:rsidRPr="00A254E5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The unit is consistent with the relevant sections of State and Territory maritime regulations and NSCV/USL Code for a Master 5, MED 2 and MED 3.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5" w:name="O_151856"/>
      <w:bookmarkEnd w:id="5"/>
      <w:r w:rsidRPr="00A254E5">
        <w:t>Pre-Requisites</w:t>
      </w:r>
    </w:p>
    <w:p w:rsidR="00000000" w:rsidRPr="00A254E5" w:rsidP="00A254E5">
      <w:pPr>
        <w:pStyle w:val="BodyText"/>
      </w:pPr>
      <w:r w:rsidRPr="00A254E5">
        <w:t>Not applicable.</w:t>
      </w: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6" w:name="O_151855"/>
      <w:bookmarkEnd w:id="6"/>
      <w:r w:rsidRPr="00A254E5">
        <w:t>Employability Skill</w:t>
      </w:r>
      <w:r w:rsidRPr="00A254E5">
        <w:t>s Information</w:t>
      </w:r>
    </w:p>
    <w:p w:rsidR="00000000" w:rsidRPr="00A254E5" w:rsidP="00A254E5">
      <w:pPr>
        <w:pStyle w:val="BodyText"/>
      </w:pPr>
      <w:r w:rsidRPr="00A254E5">
        <w:t>Not applicable.</w:t>
      </w: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7" w:name="O_151857"/>
      <w:bookmarkEnd w:id="7"/>
      <w:r w:rsidRPr="00A254E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37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Emphasis"/>
              </w:rPr>
              <w:t>Elements describe the essential outcomes of a unit of competency</w:t>
            </w:r>
            <w:r w:rsidRPr="00A254E5">
              <w:t>.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Emphasis"/>
              </w:rPr>
              <w:t>Performance Criteria describe the required performance needed to demonstrate achievement of the element</w:t>
            </w:r>
            <w:r w:rsidRPr="00A254E5">
              <w:t xml:space="preserve">. </w:t>
            </w:r>
            <w:r w:rsidRPr="00A254E5">
              <w:rPr>
                <w:rStyle w:val="Emphasis"/>
              </w:rPr>
              <w:t>Assessment of performance is to be consistent with the Evidence Guide</w:t>
            </w:r>
            <w:r w:rsidRPr="00A254E5">
              <w:t>.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8" w:name="O_151858"/>
      <w:bookmarkEnd w:id="8"/>
      <w:r w:rsidRPr="00A254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08"/>
        <w:gridCol w:w="14"/>
        <w:gridCol w:w="6215"/>
        <w:gridCol w:w="14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ELEMENT</w:t>
            </w:r>
          </w:p>
        </w:tc>
        <w:tc>
          <w:tcPr>
            <w:tcW w:w="655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PERFORMANCE CRITER</w:t>
            </w:r>
            <w:r w:rsidRPr="00A254E5">
              <w:rPr>
                <w:rStyle w:val="SpecialBold"/>
              </w:rPr>
              <w:t>IA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.</w:t>
            </w:r>
          </w:p>
        </w:tc>
        <w:tc>
          <w:tcPr>
            <w:tcW w:w="653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Operate deck machinery</w:t>
            </w:r>
          </w:p>
        </w:tc>
        <w:tc>
          <w:tcPr>
            <w:tcW w:w="32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Deck machinery is operated as per procedures and manufacturer's instructions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Guards and safety features are checked and are kept in place while machinery is in use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5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Carry out basic user maintenance on deck machinery</w:t>
            </w:r>
          </w:p>
        </w:tc>
        <w:tc>
          <w:tcPr>
            <w:tcW w:w="32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The performance of deck machinery is routinely monitored in accordance with manufacturer's instructions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Machinery faults are identified and appropriate action initiated to report or rectify problems within the limits of responsibility as per standard procedures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Basic routine service checks and procedures are followed to maintain the serviceability of deck machinery in accordance with manufacturer's instructions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5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Follow safety and hazard control procedures</w:t>
            </w:r>
          </w:p>
        </w:tc>
        <w:tc>
          <w:tcPr>
            <w:tcW w:w="30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All safety precautions and regulations are followed when operating deck machinery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08"/>
        <w:gridCol w:w="6243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Follow safety and hazard control procedures</w:t>
            </w: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(</w:t>
            </w:r>
            <w:r w:rsidRPr="00A254E5">
              <w:rPr>
                <w:rStyle w:val="SpecialBold"/>
              </w:rPr>
              <w:t>continued</w:t>
            </w:r>
            <w:r w:rsidRPr="00A254E5">
              <w:t xml:space="preserve">) </w:t>
            </w:r>
          </w:p>
        </w:tc>
        <w:tc>
          <w:tcPr>
            <w:tcW w:w="30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Safety and hazard minimisation procedures and regulations are followed at all times during the operation of deck machinery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</w:t>
            </w:r>
          </w:p>
        </w:tc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Appropriate action is taken in the event of a failure or emergency involving deck machinery to isolate and secure the relevant equipment and the vessel and maintain the safety of the vessel and persons involved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d</w:t>
            </w:r>
          </w:p>
        </w:tc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Shipboard emergency and contingency plans are followed in the event of a failure or emergency involving deck machinery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FD2140" w:rsidP="00A254E5">
      <w:pPr>
        <w:pStyle w:val="BodyText"/>
      </w:pPr>
    </w:p>
    <w:p w:rsidR="00FD2140" w:rsidP="00A254E5">
      <w:pPr>
        <w:pStyle w:val="BodyText"/>
      </w:pPr>
    </w:p>
    <w:p w:rsidR="00000000" w:rsidRPr="00A254E5" w:rsidP="00A254E5">
      <w:pPr>
        <w:pStyle w:val="Heading1"/>
      </w:pPr>
      <w:bookmarkStart w:id="9" w:name="O_151859"/>
      <w:bookmarkEnd w:id="9"/>
      <w:r w:rsidRPr="00A254E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REQUIRED KNOWLEDGE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Emphasis"/>
              </w:rPr>
              <w:t>This describes the knowledge required for this unit</w:t>
            </w: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Relevant State and Territory maritime, OH&amp;S and pollution control regulations and policies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Procedures for the operation of deck machinery on a small vessel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Safety, environmental and hazard control precautions and procedures relevant to the operation of deck machinery on a small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Principal features and operating characteristics of </w:t>
            </w:r>
            <w:r w:rsidRPr="00A254E5">
              <w:t>deck machinery used on small vessels, including: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lifting equipment and gear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winches and capstans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fishing gear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Problems related to the operation of deck machinery and appropriate action and solutions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Communication techniques and signals needed during the operation of deck machinery on small commercial vessels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REQUIRED SKILLS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Emphasis"/>
              </w:rPr>
              <w:t>This describes the basic skills required for this unit</w:t>
            </w: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Use basic verbal and visual communication skills required during the operation of deck machinery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Read, interpret and apply simple instructions on the operation and servicing of deck machinery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Complete any required records related to the operation </w:t>
            </w:r>
            <w:r w:rsidRPr="00A254E5">
              <w:t>of deck machinery on a small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Work safely and collaboratively with others during the operation of deck machinery on a small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Select and use relevant tools and equipment as per instructions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Recognise faulty equipment and take appropriate action as per operating instructions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Recognise routine problems and hazards while operating deck machinery and take appropriate action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Adapt to changes in equipment and procedures in the workplace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Follow required work schedule as per company requirements</w:t>
            </w:r>
          </w:p>
        </w:tc>
      </w:tr>
    </w:tbl>
    <w:p w:rsidR="00FD2140" w:rsidP="00A254E5">
      <w:pPr>
        <w:pStyle w:val="BodyText"/>
      </w:pPr>
    </w:p>
    <w:p w:rsidR="00FD2140" w:rsidP="00A254E5">
      <w:pPr>
        <w:pStyle w:val="BodyText"/>
      </w:pPr>
    </w:p>
    <w:p w:rsidR="00000000" w:rsidRPr="00A254E5" w:rsidP="00A254E5">
      <w:pPr>
        <w:pStyle w:val="Heading1"/>
      </w:pPr>
      <w:bookmarkStart w:id="10" w:name="O_151860"/>
      <w:bookmarkEnd w:id="10"/>
      <w:r w:rsidRPr="00A254E5">
        <w:t>Evidence Guide</w:t>
      </w:r>
    </w:p>
    <w:p w:rsidR="00000000" w:rsidRPr="00A254E5" w:rsidP="00A254E5">
      <w:pPr>
        <w:pStyle w:val="BodyText"/>
      </w:pPr>
      <w:r w:rsidRPr="00A254E5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90"/>
        <w:gridCol w:w="361"/>
        <w:gridCol w:w="358"/>
        <w:gridCol w:w="5667"/>
        <w:gridCol w:w="15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Emphasis"/>
              </w:rPr>
              <w:t>T</w:t>
            </w:r>
            <w:r w:rsidRPr="00A254E5">
              <w:rPr>
                <w:rStyle w:val="Emphasis"/>
              </w:rPr>
              <w:t>he Evidence Guide provides advice on assessment and must be read in conjunction with the Performance Criteria</w:t>
            </w:r>
            <w:r w:rsidRPr="00A254E5">
              <w:t xml:space="preserve">, </w:t>
            </w:r>
            <w:r w:rsidRPr="00A254E5">
              <w:rPr>
                <w:rStyle w:val="Emphasis"/>
              </w:rPr>
              <w:t>Required Skills and Knowledge</w:t>
            </w:r>
            <w:r w:rsidRPr="00A254E5">
              <w:t xml:space="preserve">, </w:t>
            </w:r>
            <w:r w:rsidRPr="00A254E5">
              <w:rPr>
                <w:rStyle w:val="Emphasis"/>
              </w:rPr>
              <w:t>the Range Statement and the Assessment Guidelines for this Training Package</w:t>
            </w: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1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Assessment must confirm appropriate knowledge and skills to: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Operate deck machinery on a small commercial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Identify typical problems related to the operation of deck machinery on a small vessel and take appropriate action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Exercise all required safety, environmental and hazard control precautions and procedures during operation of deck machinery on a smal</w:t>
            </w:r>
            <w:r w:rsidRPr="00A254E5">
              <w:t>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d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Communicate effectively with others when operating deck machinery on a small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2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Performance is demonstrated consistently over a period o</w:t>
            </w:r>
            <w:r w:rsidRPr="00A254E5">
              <w:t>f time and in a suitable range of contexts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Consistently applies underpinning knowledge and skills when: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operating deck machinery on a small commercial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applying safety and pollution control precautions when operating deck machinery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Shows evidence of application of relevant workplace procedures, including: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sections of relevant marine regulations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OH&amp;S regulations and hazard prevention policies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job procedures and work instructions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relevant vessel manufacturer's guidelines relating to operating deck machinery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environmental protection procedures when carrying out maintenance operations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d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Action is taken promptly to report and/or rectify issues and problems identified with op</w:t>
            </w:r>
            <w:r w:rsidRPr="00A254E5">
              <w:t xml:space="preserve">erating deck machinery in accordance with procedures and manufacturer's instructions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e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Work is completed systematically with required attention to detail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f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BodyText"/>
      </w:pPr>
      <w:r w:rsidRPr="00A254E5">
        <w:rPr>
          <w:rStyle w:val="SpecialBold"/>
        </w:rPr>
        <w:t>Evidence Guide</w:t>
      </w:r>
      <w:r w:rsidRPr="00A254E5">
        <w:t xml:space="preserve"> (</w:t>
      </w:r>
      <w:r w:rsidRPr="00A254E5">
        <w:rPr>
          <w:rStyle w:val="SpecialBold"/>
        </w:rPr>
        <w:t>continued</w:t>
      </w:r>
      <w:r w:rsidRPr="00A254E5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9"/>
        <w:gridCol w:w="361"/>
        <w:gridCol w:w="358"/>
        <w:gridCol w:w="358"/>
        <w:gridCol w:w="5325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Assessment of competency must comply with the assessment requirements of the relevant maritime regulations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Assessment of this unit must be undertaken within relevant marine authority approved and audited arrangements by a registered training organisation: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As a minimum, assessment of knowledge must be conducted through appropriate written/oral examinations, and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Appropriate practical assessment must occur: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at the registered training organisation; and/or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on an appropriate working or training vessel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 xml:space="preserve">4Specific resources </w:t>
            </w:r>
            <w:r w:rsidRPr="00A254E5">
              <w:rPr>
                <w:rStyle w:val="SpecialBold"/>
              </w:rPr>
              <w:t>required for assessment</w:t>
            </w: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Access is required to opportunities to: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participate in a range of exercises, case studies and other simulated practical and knowledge assessments that demonstrate the skills and knowledge to operate deck machinery on a small vessel; and/or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operate deck machinery on an operational small commercial or training vessel</w:t>
            </w:r>
          </w:p>
        </w:tc>
      </w:tr>
    </w:tbl>
    <w:p w:rsidR="00FD2140" w:rsidP="00A254E5">
      <w:pPr>
        <w:pStyle w:val="BodyText"/>
      </w:pPr>
    </w:p>
    <w:p w:rsidR="00FD2140" w:rsidP="00A254E5">
      <w:pPr>
        <w:pStyle w:val="BodyText"/>
      </w:pPr>
    </w:p>
    <w:p w:rsidR="00000000" w:rsidRPr="00A254E5" w:rsidP="00A254E5">
      <w:pPr>
        <w:pStyle w:val="Heading1"/>
      </w:pPr>
      <w:bookmarkStart w:id="11" w:name="O_151861"/>
      <w:bookmarkEnd w:id="11"/>
      <w:r w:rsidRPr="00A254E5">
        <w:t>Range Statement</w:t>
      </w:r>
    </w:p>
    <w:p w:rsidR="00000000" w:rsidRPr="00A254E5" w:rsidP="00A254E5">
      <w:pPr>
        <w:pStyle w:val="BodyText"/>
      </w:pPr>
      <w:r w:rsidRPr="00A254E5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14"/>
        <w:gridCol w:w="18"/>
        <w:gridCol w:w="2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Emphasis"/>
              </w:rPr>
              <w:t>The Range Statement relates to the unit of competency as a whole</w:t>
            </w:r>
            <w:r w:rsidRPr="00A254E5">
              <w:t xml:space="preserve">. </w:t>
            </w:r>
            <w:r w:rsidRPr="00A254E5">
              <w:rPr>
                <w:rStyle w:val="Emphasis"/>
              </w:rPr>
              <w:t>It allows for different work environments and situations that may affect performance</w:t>
            </w:r>
            <w:r w:rsidRPr="00A254E5">
              <w:t>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SCOPE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1</w:t>
            </w:r>
            <w:r w:rsidRPr="00A254E5">
              <w:t>.</w:t>
            </w:r>
            <w:r w:rsidRPr="00A254E5">
              <w:tab/>
            </w:r>
            <w:r w:rsidRPr="00A254E5">
              <w:rPr>
                <w:rStyle w:val="SpecialBold"/>
              </w:rPr>
              <w:t>GENERAL CONTEXT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a</w:t>
            </w:r>
            <w:r w:rsidRPr="00A254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Work must be carried out</w:t>
            </w:r>
            <w:r w:rsidRPr="00A254E5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in compliance with the relevant sections of the State and Territory marine regulations, the National Standard for Commercial Vessels and USL Code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b</w:t>
            </w:r>
            <w:r w:rsidRPr="00A254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Work is performed</w:t>
            </w:r>
            <w:r w:rsidRPr="00A254E5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within established procedures, with responsibility for own outputs in relation to specified quality and safety standards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c</w:t>
            </w:r>
            <w:r w:rsidRPr="00A254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Work requires</w:t>
            </w:r>
            <w:r w:rsidRPr="00A254E5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limited responsibility for others in achieving outcomes, including the application of solutions to a variety of predictable maintenance problems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2</w:t>
            </w:r>
            <w:r w:rsidRPr="00A254E5">
              <w:t>.</w:t>
            </w:r>
            <w:r w:rsidRPr="00A254E5">
              <w:tab/>
            </w:r>
            <w:r w:rsidRPr="00A254E5">
              <w:rPr>
                <w:rStyle w:val="SpecialBold"/>
              </w:rPr>
              <w:t>WORKSITE ENVIRONMENT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Vessel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any small commercial vessel between less than 750 </w:t>
            </w:r>
            <w:r w:rsidRPr="00A254E5">
              <w:t>kW propulsion power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Operation and basic maintenance of deck machinery may be conducted</w:t>
            </w:r>
            <w:r w:rsidRPr="00A254E5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by day or night in both normal and emergency situations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under any permissible conditions of weather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while underway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during berthing and unberthing operations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while anchored or moored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during fishing operations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while in port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8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while in dry dock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Deck machinery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lifting equipment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winches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capstans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net and line handling equipment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basic hydraulic systems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>
      <w:pPr>
        <w:pStyle w:val="BodyText"/>
      </w:pPr>
      <w:r w:rsidRPr="00A254E5">
        <w:rPr>
          <w:rStyle w:val="SpecialBold"/>
        </w:rPr>
        <w:t>Range Statement</w:t>
      </w:r>
      <w:r w:rsidRPr="00A254E5">
        <w:t xml:space="preserve"> (</w:t>
      </w:r>
      <w:r w:rsidRPr="00A254E5">
        <w:rPr>
          <w:rStyle w:val="SpecialBold"/>
        </w:rPr>
        <w:t>continued</w:t>
      </w:r>
      <w:r w:rsidRPr="00A254E5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TDMMR1807B OPERATE DECK MACHINERY INSTALLED ON A SMALL VESSEL OF LESS THAN 750 KW PROPULSION POWER</w:t>
            </w:r>
          </w:p>
        </w:tc>
      </w:tr>
    </w:tbl>
    <w:p w:rsidR="00000000" w:rsidRPr="00A254E5" w:rsidP="00A254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365"/>
        <w:gridCol w:w="5678"/>
        <w:gridCol w:w="28"/>
        <w:gridCol w:w="14"/>
        <w:gridCol w:w="18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SCOPE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Basic user maintenance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</w:p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routine servicing in accordance with established procedures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routine visual and performance checks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identification of poor performance or faults in the operation of deck machinery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identification of faulty equipment, lifting gear or machinery components and arranging for repair or replacement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application of lubricants to moving parts of deck machinery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Maintenance tools and equipment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hand and power tools, including screwdrivers, drills, grinders, spanners, wrenches, wire cutters, etc.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greasing and lubrication tools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protective clothing and equipment such as: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eye and ear protection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headgear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iii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safety boots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Sources of information and documentation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relevant regulations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deck machinery operation and maintenance procedures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manufacturer's instructions, specifications and recommended procedures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rPr>
                <w:rStyle w:val="SpecialBold"/>
              </w:rPr>
              <w:t>g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Applicable regulations and legislation may include</w:t>
            </w:r>
            <w:r w:rsidRPr="00A254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 xml:space="preserve">State and Territory marine regulations related to the operation of small vessels 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relevant sections of the NSCV and USL Code</w:t>
            </w:r>
          </w:p>
        </w:tc>
      </w:tr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relevant international, Commonwealth, State and Territory OH&amp;S and pollution control legislation</w:t>
            </w:r>
          </w:p>
        </w:tc>
      </w:tr>
    </w:tbl>
    <w:p w:rsidR="00FD2140" w:rsidP="00A254E5">
      <w:pPr>
        <w:pStyle w:val="BodyText"/>
      </w:pPr>
    </w:p>
    <w:p w:rsidR="00FD2140" w:rsidP="00A254E5">
      <w:pPr>
        <w:pStyle w:val="BodyText"/>
      </w:pPr>
    </w:p>
    <w:p w:rsidR="00000000" w:rsidRPr="00A254E5" w:rsidP="00A254E5">
      <w:pPr>
        <w:pStyle w:val="Heading1"/>
      </w:pPr>
      <w:bookmarkStart w:id="12" w:name="O_151862"/>
      <w:bookmarkEnd w:id="12"/>
      <w:r w:rsidRPr="00A254E5">
        <w:t>Unit Sector(s)</w:t>
      </w:r>
    </w:p>
    <w:p w:rsidR="00000000" w:rsidRPr="00A254E5" w:rsidP="00A254E5">
      <w:pPr>
        <w:pStyle w:val="BodyText"/>
      </w:pPr>
      <w:r w:rsidRPr="00A254E5">
        <w:t>Not applicable.</w:t>
      </w:r>
    </w:p>
    <w:p w:rsidR="00000000" w:rsidRPr="00A254E5" w:rsidP="00A254E5">
      <w:pPr>
        <w:pStyle w:val="AllowPageBreak"/>
      </w:pPr>
    </w:p>
    <w:p w:rsidR="00000000" w:rsidRPr="00A254E5" w:rsidP="00A254E5">
      <w:pPr>
        <w:pStyle w:val="Heading1"/>
      </w:pPr>
      <w:bookmarkStart w:id="13" w:name="O_163874"/>
      <w:bookmarkEnd w:id="13"/>
      <w:r w:rsidRPr="00A254E5">
        <w:t>Field</w:t>
      </w:r>
    </w:p>
    <w:p w:rsidR="00FD2140" w:rsidP="00A254E5">
      <w:pPr>
        <w:pStyle w:val="BodyText"/>
      </w:pPr>
      <w:r w:rsidRPr="00A254E5">
        <w:t>Field</w:t>
      </w:r>
      <w:r w:rsidRPr="00A254E5">
        <w:tab/>
        <w:t>R</w:t>
      </w:r>
      <w:r w:rsidRPr="00A254E5">
        <w:tab/>
        <w:t>Carry Out Operations on Equipment and Systems</w:t>
      </w:r>
    </w:p>
    <w:p w:rsidR="00FD2140" w:rsidP="00A254E5">
      <w:pPr>
        <w:pStyle w:val="BodyText"/>
      </w:pPr>
    </w:p>
    <w:p w:rsidR="00000000" w:rsidRPr="00A254E5" w:rsidP="00A254E5">
      <w:pPr>
        <w:pStyle w:val="Heading1"/>
      </w:pPr>
      <w:bookmarkStart w:id="14" w:name="O_163875"/>
      <w:bookmarkEnd w:id="14"/>
      <w:r w:rsidRPr="00A254E5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E5">
            <w:pPr>
              <w:pStyle w:val="BodyText"/>
              <w:rPr>
                <w:lang w:val="en-NZ"/>
              </w:rPr>
            </w:pPr>
            <w:r w:rsidRPr="00A254E5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E5" w:rsidP="00A254E5">
            <w:pPr>
              <w:pStyle w:val="BodyText"/>
            </w:pPr>
            <w:r w:rsidRPr="00A254E5">
              <w:t>The unit may be assessed in conjunction with other units that relate to the functions of the occupation(s) concerned.</w:t>
            </w:r>
          </w:p>
        </w:tc>
      </w:tr>
    </w:tbl>
    <w:p w:rsidR="00000000" w:rsidRPr="00A254E5" w:rsidP="00A254E5">
      <w:pPr>
        <w:pStyle w:val="BodyText"/>
      </w:pPr>
    </w:p>
    <w:p w:rsidR="00000000" w:rsidRPr="00A254E5" w:rsidP="00A254E5"/>
    <w:sectPr w:rsidSect="00A25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2140" w:rsidP="00FD214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40" w:rsidP="00A25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D2140" w:rsidP="00A25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D2140" w:rsidP="00A254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E5" w:rsidRPr="00FD2140" w:rsidP="00FD21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40" w:rsidRPr="002D2AF8" w:rsidP="00A25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TDMMR1807B OPERATE DECK MACHINERY INSTALLED ON A SMALL VESSEL OF LESS THAN 750 KW PROPULSION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D2140" w:rsidP="00A25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4E5"/>
  </w:style>
  <w:style w:type="character" w:customStyle="1" w:styleId="Heading1Char">
    <w:name w:val="Heading 1 Char"/>
    <w:basedOn w:val="DefaultParagraphFont"/>
    <w:link w:val="Heading1"/>
    <w:rsid w:val="00A25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4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4E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25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4E5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A254E5"/>
    <w:rPr>
      <w:b/>
      <w:spacing w:val="0"/>
    </w:rPr>
  </w:style>
  <w:style w:type="character" w:styleId="Emphasis">
    <w:name w:val="Emphasis"/>
    <w:basedOn w:val="DefaultParagraphFont"/>
    <w:qFormat/>
    <w:rsid w:val="00A254E5"/>
    <w:rPr>
      <w:i/>
    </w:rPr>
  </w:style>
  <w:style w:type="paragraph" w:customStyle="1" w:styleId="SuperHeading">
    <w:name w:val="SuperHeading"/>
    <w:basedOn w:val="Normal"/>
    <w:rsid w:val="00A254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5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5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4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5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4E5"/>
  </w:style>
  <w:style w:type="paragraph" w:styleId="TableofFigures">
    <w:name w:val="table of figures"/>
    <w:basedOn w:val="Normal"/>
    <w:next w:val="Normal"/>
    <w:semiHidden/>
    <w:rsid w:val="00A25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4E5"/>
    <w:pPr>
      <w:numPr>
        <w:numId w:val="9"/>
      </w:numPr>
    </w:pPr>
  </w:style>
  <w:style w:type="character" w:customStyle="1" w:styleId="WingdingSymbols">
    <w:name w:val="Wingding Symbols"/>
    <w:rsid w:val="00A254E5"/>
    <w:rPr>
      <w:rFonts w:ascii="Wingdings" w:hAnsi="Wingdings"/>
    </w:rPr>
  </w:style>
  <w:style w:type="paragraph" w:customStyle="1" w:styleId="TableHeading">
    <w:name w:val="Table Heading"/>
    <w:basedOn w:val="HeadingBase"/>
    <w:rsid w:val="00A25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4E5"/>
    <w:rPr>
      <w:color w:val="0033CC"/>
      <w:u w:val="none"/>
    </w:rPr>
  </w:style>
  <w:style w:type="paragraph" w:customStyle="1" w:styleId="BodyTextRight">
    <w:name w:val="Body Text Right"/>
    <w:basedOn w:val="BodyText"/>
    <w:rsid w:val="00A25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4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4E5"/>
    <w:rPr>
      <w:sz w:val="32"/>
    </w:rPr>
  </w:style>
  <w:style w:type="paragraph" w:customStyle="1" w:styleId="HeadingProcedure">
    <w:name w:val="Heading Procedure"/>
    <w:basedOn w:val="HeadingBase"/>
    <w:next w:val="Normal"/>
    <w:rsid w:val="00A25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4E5"/>
    <w:pPr>
      <w:spacing w:before="60" w:after="60"/>
    </w:pPr>
  </w:style>
  <w:style w:type="paragraph" w:styleId="ListContinue">
    <w:name w:val="List Continue"/>
    <w:basedOn w:val="List"/>
    <w:rsid w:val="00A254E5"/>
    <w:pPr>
      <w:ind w:firstLine="0"/>
    </w:pPr>
  </w:style>
  <w:style w:type="paragraph" w:customStyle="1" w:styleId="ListNote">
    <w:name w:val="List Note"/>
    <w:basedOn w:val="List"/>
    <w:rsid w:val="00A25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4E5"/>
    <w:rPr>
      <w:rFonts w:ascii="Courier New" w:hAnsi="Courier New"/>
    </w:rPr>
  </w:style>
  <w:style w:type="paragraph" w:customStyle="1" w:styleId="NoteBullet">
    <w:name w:val="Note Bullet"/>
    <w:basedOn w:val="Note"/>
    <w:rsid w:val="00A25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4E5"/>
    <w:rPr>
      <w:b/>
      <w:smallCaps/>
    </w:rPr>
  </w:style>
  <w:style w:type="paragraph" w:customStyle="1" w:styleId="TableListNumber">
    <w:name w:val="Table List Number"/>
    <w:basedOn w:val="ListNumber"/>
    <w:rsid w:val="00A25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4E5"/>
    <w:pPr>
      <w:numPr>
        <w:numId w:val="7"/>
      </w:numPr>
    </w:pPr>
  </w:style>
  <w:style w:type="paragraph" w:customStyle="1" w:styleId="ListAlpha2">
    <w:name w:val="List Alpha 2"/>
    <w:basedOn w:val="List2"/>
    <w:rsid w:val="00A254E5"/>
    <w:pPr>
      <w:numPr>
        <w:numId w:val="6"/>
      </w:numPr>
    </w:pPr>
  </w:style>
  <w:style w:type="paragraph" w:styleId="List2">
    <w:name w:val="List 2"/>
    <w:basedOn w:val="BodyText"/>
    <w:rsid w:val="00A25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4E5"/>
    <w:pPr>
      <w:numPr>
        <w:numId w:val="1"/>
      </w:numPr>
    </w:pPr>
  </w:style>
  <w:style w:type="paragraph" w:styleId="ListBullet5">
    <w:name w:val="List Bullet 5"/>
    <w:basedOn w:val="List5"/>
    <w:rsid w:val="00A254E5"/>
    <w:pPr>
      <w:numPr>
        <w:numId w:val="2"/>
      </w:numPr>
    </w:pPr>
  </w:style>
  <w:style w:type="paragraph" w:styleId="ListContinue2">
    <w:name w:val="List Continue 2"/>
    <w:basedOn w:val="List2"/>
    <w:rsid w:val="00A254E5"/>
    <w:pPr>
      <w:ind w:firstLine="0"/>
    </w:pPr>
  </w:style>
  <w:style w:type="paragraph" w:styleId="ListContinue3">
    <w:name w:val="List Continue 3"/>
    <w:basedOn w:val="List3"/>
    <w:rsid w:val="00A254E5"/>
    <w:pPr>
      <w:ind w:left="1021" w:firstLine="0"/>
    </w:pPr>
  </w:style>
  <w:style w:type="paragraph" w:styleId="ListContinue4">
    <w:name w:val="List Continue 4"/>
    <w:basedOn w:val="List4"/>
    <w:rsid w:val="00A254E5"/>
    <w:pPr>
      <w:ind w:firstLine="0"/>
    </w:pPr>
  </w:style>
  <w:style w:type="paragraph" w:styleId="ListContinue5">
    <w:name w:val="List Continue 5"/>
    <w:basedOn w:val="List5"/>
    <w:rsid w:val="00A254E5"/>
    <w:pPr>
      <w:ind w:firstLine="0"/>
    </w:pPr>
  </w:style>
  <w:style w:type="paragraph" w:styleId="ListNumber3">
    <w:name w:val="List Number 3"/>
    <w:basedOn w:val="List3"/>
    <w:rsid w:val="00A254E5"/>
    <w:pPr>
      <w:numPr>
        <w:numId w:val="3"/>
      </w:numPr>
    </w:pPr>
  </w:style>
  <w:style w:type="paragraph" w:styleId="ListNumber4">
    <w:name w:val="List Number 4"/>
    <w:basedOn w:val="List4"/>
    <w:rsid w:val="00A254E5"/>
    <w:pPr>
      <w:numPr>
        <w:numId w:val="4"/>
      </w:numPr>
    </w:pPr>
  </w:style>
  <w:style w:type="paragraph" w:styleId="ListNumber5">
    <w:name w:val="List Number 5"/>
    <w:basedOn w:val="List5"/>
    <w:rsid w:val="00A254E5"/>
    <w:pPr>
      <w:numPr>
        <w:numId w:val="5"/>
      </w:numPr>
    </w:pPr>
  </w:style>
  <w:style w:type="paragraph" w:styleId="BlockText">
    <w:name w:val="Block Text"/>
    <w:basedOn w:val="Normal"/>
    <w:rsid w:val="00A25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4E5"/>
    <w:rPr>
      <w:sz w:val="16"/>
      <w:vertAlign w:val="superscript"/>
    </w:rPr>
  </w:style>
  <w:style w:type="character" w:customStyle="1" w:styleId="Symbols">
    <w:name w:val="Symbols"/>
    <w:basedOn w:val="DefaultParagraphFont"/>
    <w:rsid w:val="00A254E5"/>
    <w:rPr>
      <w:rFonts w:ascii="Symbol" w:hAnsi="Symbol"/>
    </w:rPr>
  </w:style>
  <w:style w:type="character" w:customStyle="1" w:styleId="MenuOptions">
    <w:name w:val="Menu Options"/>
    <w:basedOn w:val="DefaultParagraphFont"/>
    <w:rsid w:val="00A25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4E5"/>
    <w:rPr>
      <w:b/>
    </w:rPr>
  </w:style>
  <w:style w:type="character" w:customStyle="1" w:styleId="Underlined">
    <w:name w:val="Underlined"/>
    <w:basedOn w:val="DefaultParagraphFont"/>
    <w:rsid w:val="00A254E5"/>
    <w:rPr>
      <w:u w:val="single"/>
    </w:rPr>
  </w:style>
  <w:style w:type="paragraph" w:customStyle="1" w:styleId="TableBodyTextRight">
    <w:name w:val="Table Body Text Right"/>
    <w:basedOn w:val="TableBodyText"/>
    <w:rsid w:val="00A25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4E5"/>
    <w:rPr>
      <w:sz w:val="18"/>
    </w:rPr>
  </w:style>
  <w:style w:type="paragraph" w:customStyle="1" w:styleId="BodySmallRight">
    <w:name w:val="Body Small Right"/>
    <w:basedOn w:val="BodyTextRight"/>
    <w:rsid w:val="00A254E5"/>
    <w:rPr>
      <w:sz w:val="18"/>
      <w:szCs w:val="18"/>
    </w:rPr>
  </w:style>
  <w:style w:type="paragraph" w:customStyle="1" w:styleId="MarginEdition">
    <w:name w:val="Margin Edition"/>
    <w:basedOn w:val="MarginNote"/>
    <w:rsid w:val="00A25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4E5"/>
    <w:rPr>
      <w:sz w:val="2"/>
      <w:szCs w:val="2"/>
    </w:rPr>
  </w:style>
  <w:style w:type="character" w:customStyle="1" w:styleId="Small">
    <w:name w:val="Small"/>
    <w:basedOn w:val="DefaultParagraphFont"/>
    <w:rsid w:val="00A254E5"/>
    <w:rPr>
      <w:sz w:val="16"/>
    </w:rPr>
  </w:style>
  <w:style w:type="paragraph" w:customStyle="1" w:styleId="WideTable">
    <w:name w:val="Wide Table"/>
    <w:basedOn w:val="Normal"/>
    <w:rsid w:val="00A25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4E5"/>
  </w:style>
  <w:style w:type="paragraph" w:styleId="Quote">
    <w:name w:val="Quote"/>
    <w:basedOn w:val="Heading1"/>
    <w:link w:val="QuoteChar"/>
    <w:qFormat/>
    <w:rsid w:val="00A25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4E5"/>
    <w:pPr>
      <w:pageBreakBefore/>
    </w:pPr>
  </w:style>
  <w:style w:type="paragraph" w:customStyle="1" w:styleId="Border">
    <w:name w:val="Border"/>
    <w:basedOn w:val="Normal"/>
    <w:qFormat/>
    <w:rsid w:val="00A25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4E5"/>
    <w:rPr>
      <w:u w:val="single"/>
    </w:rPr>
  </w:style>
  <w:style w:type="character" w:customStyle="1" w:styleId="BoldandItalics">
    <w:name w:val="Bold and Italics"/>
    <w:qFormat/>
    <w:rsid w:val="00A254E5"/>
    <w:rPr>
      <w:b/>
      <w:i/>
      <w:u w:val="none"/>
    </w:rPr>
  </w:style>
  <w:style w:type="paragraph" w:styleId="BalloonText">
    <w:name w:val="Balloon Text"/>
    <w:basedOn w:val="Normal"/>
    <w:link w:val="BalloonTextChar"/>
    <w:rsid w:val="00A25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4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4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1617</Words>
  <Characters>9255</Characters>
  <Application>Microsoft Office Word</Application>
  <DocSecurity>0</DocSecurity>
  <Lines>597</Lines>
  <Paragraphs>268</Paragraphs>
  <ScaleCrop>false</ScaleCrop>
  <Company>Author-it Software Corporation Ltd.</Company>
  <LinksUpToDate>false</LinksUpToDate>
  <CharactersWithSpaces>10624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TDMMR1807B OPERATE DECK MACHINERY INSTALLED ON A SMALL VESSEL OF LESS THAN 750 KW PROPULSION POWER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2012-10-11T19:27:00Z</dcterms:created>
  <dcterms:modified xsi:type="dcterms:W3CDTF">2012-10-11T19:27:00Z</dcterms:modified>
</cp:coreProperties>
</file>