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19D" w:rsidP="0034519D">
      <w:pPr>
        <w:pStyle w:val="Title"/>
      </w:pPr>
      <w:bookmarkStart w:id="0" w:name="_GoBack"/>
      <w:bookmarkEnd w:id="0"/>
      <w:r>
        <w:fldChar w:fldCharType="begin"/>
      </w:r>
      <w:r>
        <w:instrText xml:space="preserve"> TITLE   \* MERGEFORMAT </w:instrText>
      </w:r>
      <w:r>
        <w:fldChar w:fldCharType="separate"/>
      </w:r>
      <w:r>
        <w:t>TDMMR1107B OPERATE MAIN AND AUXILIARY MACHINERY AND ASSOCIATED CONTROL SYSTEMS</w:t>
      </w:r>
      <w:r>
        <w:fldChar w:fldCharType="end"/>
      </w:r>
    </w:p>
    <w:p w:rsidR="0034519D" w:rsidP="0034519D">
      <w:pPr>
        <w:pStyle w:val="Version"/>
        <w:sectPr w:rsidSect="007F41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41AA" w:rsidP="007F41AA">
      <w:pPr>
        <w:pStyle w:val="SuperHeading"/>
      </w:pPr>
      <w:r w:rsidRPr="007F41AA">
        <w:t>TDMMR1107B OPERATE MAIN AND AUXILIARY MACHINERY AND ASSOCIATED CONTROL SYSTEMS</w:t>
      </w:r>
    </w:p>
    <w:p w:rsidR="00000000" w:rsidRPr="007F41AA" w:rsidP="007F41AA">
      <w:pPr>
        <w:pStyle w:val="SuperHeading"/>
      </w:pPr>
    </w:p>
    <w:p w:rsidR="00000000" w:rsidRPr="007F41AA" w:rsidP="007F41AA">
      <w:pPr>
        <w:pStyle w:val="Heading1"/>
      </w:pPr>
      <w:bookmarkStart w:id="1" w:name="O_151779"/>
      <w:bookmarkEnd w:id="1"/>
      <w:r w:rsidRPr="007F41AA">
        <w:t>Modification History</w:t>
      </w:r>
    </w:p>
    <w:p w:rsidR="00000000" w:rsidRPr="007F41AA" w:rsidP="007F41AA">
      <w:pPr>
        <w:pStyle w:val="BodyText"/>
      </w:pPr>
      <w:r w:rsidRPr="007F41AA">
        <w:t>Not applicable.</w:t>
      </w:r>
    </w:p>
    <w:p w:rsidR="00000000" w:rsidRPr="007F41AA" w:rsidP="007F41AA">
      <w:pPr>
        <w:pStyle w:val="AllowPageBreak"/>
      </w:pPr>
    </w:p>
    <w:p w:rsidR="00000000" w:rsidRPr="007F41AA" w:rsidP="007F41AA">
      <w:pPr>
        <w:pStyle w:val="Heading1"/>
      </w:pPr>
      <w:bookmarkStart w:id="2" w:name="O_151780"/>
      <w:bookmarkEnd w:id="2"/>
      <w:r w:rsidRPr="007F41AA">
        <w:t>Unit Descriptor</w:t>
      </w:r>
    </w:p>
    <w:tbl>
      <w:tblPr>
        <w:tblW w:w="0" w:type="auto"/>
        <w:tblLayout w:type="fixed"/>
        <w:tblCellMar>
          <w:left w:w="62" w:type="dxa"/>
          <w:right w:w="62" w:type="dxa"/>
        </w:tblCellMar>
        <w:tblLook w:val="0000"/>
      </w:tblPr>
      <w:tblGrid>
        <w:gridCol w:w="1974"/>
        <w:gridCol w:w="6481"/>
      </w:tblGrid>
      <w:tr w:rsidTr="0034519D">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AA" w:rsidP="007F41AA">
            <w:pPr>
              <w:pStyle w:val="BodyText"/>
            </w:pPr>
            <w:r w:rsidRPr="007F41AA">
              <w:t>UNIT DESCRIPTOR:</w:t>
            </w:r>
          </w:p>
          <w:p w:rsidR="00000000" w:rsidP="007F41AA">
            <w:pPr>
              <w:pStyle w:val="BodyText"/>
              <w:rPr>
                <w:lang w:val="en-NZ"/>
              </w:rPr>
            </w:pPr>
            <w:r w:rsidRPr="007F41AA">
              <w:rPr>
                <w:rStyle w:val="SpecialBold"/>
              </w:rPr>
              <w:t>This unit involves the skills and knowledge required to operate main and auxiliary machinery and associated systems on board a commercial vessel</w:t>
            </w:r>
            <w:r w:rsidRPr="007F41AA">
              <w:t xml:space="preserve">, </w:t>
            </w:r>
            <w:r w:rsidRPr="007F41AA">
              <w:rPr>
                <w:rStyle w:val="SpecialBold"/>
              </w:rPr>
              <w:t xml:space="preserve">including start up and shut down of main and auxiliary machinery and associated systems on a </w:t>
            </w:r>
            <w:r w:rsidRPr="007F41AA">
              <w:rPr>
                <w:rStyle w:val="SpecialBold"/>
              </w:rPr>
              <w:t>vessel powered by main propulsion machinery of unlimited propulsion power</w:t>
            </w:r>
            <w:r w:rsidRPr="007F41AA">
              <w:t xml:space="preserve">., </w:t>
            </w:r>
            <w:r w:rsidRPr="007F41AA">
              <w:rPr>
                <w:rStyle w:val="SpecialBold"/>
              </w:rPr>
              <w:t>identifying malfunctions and taking appropriate action</w:t>
            </w:r>
            <w:r w:rsidRPr="007F41AA">
              <w:t xml:space="preserve">, </w:t>
            </w:r>
            <w:r w:rsidRPr="007F41AA">
              <w:rPr>
                <w:rStyle w:val="SpecialBold"/>
              </w:rPr>
              <w:t>exercising all required safety and pollution control measures</w:t>
            </w:r>
            <w:r w:rsidRPr="007F41AA">
              <w:t xml:space="preserve">, </w:t>
            </w:r>
            <w:r w:rsidRPr="007F41AA">
              <w:rPr>
                <w:rStyle w:val="SpecialBold"/>
              </w:rPr>
              <w:t>and keeping all required operational records</w:t>
            </w:r>
            <w:r w:rsidRPr="007F41AA">
              <w:t>.</w:t>
            </w:r>
          </w:p>
        </w:tc>
      </w:tr>
      <w:tr w:rsidTr="0034519D">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F41AA" w:rsidP="007F41AA">
            <w:pPr>
              <w:pStyle w:val="BodyText"/>
            </w:pP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3" w:name="O_151781"/>
      <w:bookmarkEnd w:id="3"/>
      <w:r w:rsidRPr="007F41AA">
        <w:t>Application of the Unit</w:t>
      </w:r>
    </w:p>
    <w:tbl>
      <w:tblPr>
        <w:tblW w:w="0" w:type="auto"/>
        <w:tblLayout w:type="fixed"/>
        <w:tblCellMar>
          <w:left w:w="62" w:type="dxa"/>
          <w:right w:w="62" w:type="dxa"/>
        </w:tblCellMar>
        <w:tblLook w:val="0000"/>
      </w:tblPr>
      <w:tblGrid>
        <w:gridCol w:w="1974"/>
        <w:gridCol w:w="6481"/>
      </w:tblGrid>
      <w:tr w:rsidTr="0034519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AA" w:rsidP="007F41AA">
            <w:pPr>
              <w:pStyle w:val="BodyText"/>
            </w:pPr>
            <w:r w:rsidRPr="007F41AA">
              <w:t>The unit has application in the qualifications for an Engineer Watchkeeper on a vessel greater than 750 kW, i.e. Diploma of Transport&amp;Distribution(Marine Engineering - Engineer Watchkeeper).</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4" w:name="O_151782"/>
      <w:bookmarkEnd w:id="4"/>
      <w:r w:rsidRPr="007F41AA">
        <w:t>Licensing/Regulatory Information</w:t>
      </w:r>
    </w:p>
    <w:tbl>
      <w:tblPr>
        <w:tblW w:w="0" w:type="auto"/>
        <w:tblLayout w:type="fixed"/>
        <w:tblCellMar>
          <w:left w:w="62" w:type="dxa"/>
          <w:right w:w="62" w:type="dxa"/>
        </w:tblCellMar>
        <w:tblLook w:val="0000"/>
      </w:tblPr>
      <w:tblGrid>
        <w:gridCol w:w="1974"/>
        <w:gridCol w:w="6481"/>
      </w:tblGrid>
      <w:tr w:rsidTr="0034519D">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Licensing</w:t>
            </w:r>
            <w:r w:rsidRPr="007F41AA">
              <w:t>/</w:t>
            </w:r>
            <w:r w:rsidRPr="007F41AA">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AA" w:rsidP="007F41AA">
            <w:pPr>
              <w:pStyle w:val="BodyText"/>
            </w:pPr>
            <w:r w:rsidRPr="007F41AA">
              <w:t>The unit is consistent with the relevant sections of STCW 95 and Marine Orders under the Australian Navigation Act 1912, describing the role and responsibilities of an Engi</w:t>
            </w:r>
            <w:r w:rsidRPr="007F41AA">
              <w:t>neer Watchkeeper.</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5" w:name="O_151783"/>
      <w:bookmarkEnd w:id="5"/>
      <w:r w:rsidRPr="007F41AA">
        <w:t>Pre-Requisites</w:t>
      </w:r>
    </w:p>
    <w:p w:rsidR="00000000" w:rsidRPr="007F41AA" w:rsidP="007F41AA">
      <w:pPr>
        <w:pStyle w:val="BodyText"/>
      </w:pPr>
      <w:r w:rsidRPr="007F41AA">
        <w:t>Not applicable.</w:t>
      </w:r>
    </w:p>
    <w:p w:rsidR="00000000" w:rsidRPr="007F41AA" w:rsidP="007F41AA">
      <w:pPr>
        <w:pStyle w:val="AllowPageBreak"/>
      </w:pPr>
    </w:p>
    <w:p w:rsidR="00000000" w:rsidRPr="007F41AA" w:rsidP="007F41AA">
      <w:pPr>
        <w:pStyle w:val="Heading1"/>
      </w:pPr>
      <w:bookmarkStart w:id="6" w:name="O_151784"/>
      <w:bookmarkEnd w:id="6"/>
      <w:r w:rsidRPr="007F41AA">
        <w:t>Employability Skills Information</w:t>
      </w:r>
    </w:p>
    <w:p w:rsidR="00000000" w:rsidRPr="007F41AA" w:rsidP="007F41AA">
      <w:pPr>
        <w:pStyle w:val="BodyText"/>
      </w:pPr>
      <w:r w:rsidRPr="007F41AA">
        <w:t>Not applicable.</w:t>
      </w:r>
    </w:p>
    <w:p w:rsidR="00000000" w:rsidRPr="007F41AA" w:rsidP="007F41AA">
      <w:pPr>
        <w:pStyle w:val="AllowPageBreak"/>
      </w:pPr>
    </w:p>
    <w:p w:rsidR="00000000" w:rsidRPr="007F41AA" w:rsidP="007F41AA">
      <w:pPr>
        <w:pStyle w:val="Heading1"/>
      </w:pPr>
      <w:bookmarkStart w:id="7" w:name="O_151785"/>
      <w:bookmarkEnd w:id="7"/>
      <w:r w:rsidRPr="007F41AA">
        <w:t>Elements and Performance Criteria Pre-Content</w:t>
      </w:r>
    </w:p>
    <w:tbl>
      <w:tblPr>
        <w:tblW w:w="0" w:type="auto"/>
        <w:tblLayout w:type="fixed"/>
        <w:tblCellMar>
          <w:left w:w="62" w:type="dxa"/>
          <w:right w:w="62" w:type="dxa"/>
        </w:tblCellMar>
        <w:tblLook w:val="0000"/>
      </w:tblPr>
      <w:tblGrid>
        <w:gridCol w:w="1946"/>
        <w:gridCol w:w="6494"/>
      </w:tblGrid>
      <w:tr w:rsidTr="0034519D">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Emphasis"/>
              </w:rPr>
              <w:t>Elements describe the essential outcomes of a unit of competency</w:t>
            </w:r>
            <w:r w:rsidRPr="007F41AA">
              <w:t>.</w:t>
            </w:r>
          </w:p>
        </w:tc>
        <w:tc>
          <w:tcPr>
            <w:tcW w:w="6494" w:type="dxa"/>
            <w:tcBorders>
              <w:top w:val="single" w:sz="6" w:space="0" w:color="auto"/>
              <w:left w:val="single" w:sz="6" w:space="0" w:color="auto"/>
              <w:bottom w:val="nil"/>
              <w:right w:val="nil"/>
            </w:tcBorders>
            <w:tcMar>
              <w:top w:w="0" w:type="dxa"/>
              <w:left w:w="62" w:type="dxa"/>
              <w:bottom w:w="0" w:type="dxa"/>
              <w:right w:w="62" w:type="dxa"/>
            </w:tcMar>
          </w:tcPr>
          <w:p w:rsidR="00000000" w:rsidRPr="007F41AA" w:rsidP="007F41AA">
            <w:pPr>
              <w:pStyle w:val="BodyText"/>
            </w:pPr>
            <w:r w:rsidRPr="007F41AA">
              <w:rPr>
                <w:rStyle w:val="Emphasis"/>
              </w:rPr>
              <w:t>Performance Criteria describe the required performance needed to demonstrate achievement of the element</w:t>
            </w:r>
            <w:r w:rsidRPr="007F41AA">
              <w:t xml:space="preserve">. </w:t>
            </w:r>
            <w:r w:rsidRPr="007F41AA">
              <w:rPr>
                <w:rStyle w:val="Emphasis"/>
              </w:rPr>
              <w:t>Assessment of performance is to be consistent with the Evidence Guide</w:t>
            </w:r>
            <w:r w:rsidRPr="007F41AA">
              <w:t>.</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8" w:name="O_151786"/>
      <w:bookmarkEnd w:id="8"/>
      <w:r w:rsidRPr="007F41AA">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34519D">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PERFORMANCE CRITERIA</w:t>
            </w:r>
          </w:p>
        </w:tc>
      </w:tr>
      <w:tr w:rsidTr="0034519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F41AA" w:rsidP="007F41AA">
            <w:pPr>
              <w:pStyle w:val="ListBullet"/>
            </w:pPr>
            <w:r w:rsidRPr="007F41AA">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ListBullet"/>
              <w:rPr>
                <w:lang w:val="en-NZ"/>
              </w:rPr>
            </w:pPr>
            <w:r w:rsidRPr="007F41AA">
              <w:rPr>
                <w:rStyle w:val="SpecialBold"/>
              </w:rPr>
              <w:t>Operate main and auxiliary machinery and associated systems</w:t>
            </w: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3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Work plans for the operation of main and auxiliary machinery and associated and auxiliary systems are as per watchkeeping procedures, operational instructions, vessel and company rules, and marine engineering practice</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3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 of preparing the start up of main and auxiliary machinery is as per manufacturer's specifications and instructions and established engineering practice and shipboard procedures</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603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Procedures for making available fuels, lubricants, cooling water, steam and air for the start up of main and auxiliary machinery are as per manufacturer's specifications and instructions and established engineering practice</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603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Required precautions are ta</w:t>
            </w:r>
            <w:r w:rsidRPr="007F41AA">
              <w:t>ken prior to start up of main propulsion and auxiliary machinery to minimise and control hazards and operational risks</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603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Main and auxiliary machinery and associated systems are operated within specified limits as per plans and procedures and manufacture</w:t>
            </w:r>
            <w:r w:rsidRPr="007F41AA">
              <w:t xml:space="preserve">r's instructions and specifications </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6030"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 xml:space="preserve">The performance of main and auxiliary machinery and associated systems is monitored as per vessel's survey requirements and manufacturer's </w:t>
            </w:r>
            <w:r w:rsidRPr="007F41AA">
              <w:t xml:space="preserve">instructions and </w:t>
            </w:r>
            <w:r w:rsidRPr="007F41AA">
              <w:t>performance is compared with specifications and recommended limits of performance</w:t>
            </w:r>
          </w:p>
        </w:tc>
      </w:tr>
    </w:tbl>
    <w:p w:rsidR="00000000" w:rsidRPr="007F41AA" w:rsidP="007F41AA">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34519D">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PERFORMANCE CRITERIA</w:t>
            </w:r>
          </w:p>
        </w:tc>
      </w:tr>
      <w:tr w:rsidTr="0034519D">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F41AA" w:rsidP="007F41AA">
            <w:pPr>
              <w:pStyle w:val="ListBullet"/>
            </w:pPr>
            <w:r w:rsidRPr="007F41AA">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ListBullet"/>
            </w:pPr>
            <w:r w:rsidRPr="007F41AA">
              <w:rPr>
                <w:rStyle w:val="SpecialBold"/>
              </w:rPr>
              <w:t>Operate main and auxiliary machinery and associated systems</w:t>
            </w:r>
          </w:p>
          <w:p w:rsidR="00000000" w:rsidRPr="007F41AA" w:rsidP="007F41AA">
            <w:pPr>
              <w:pStyle w:val="ListBullet"/>
            </w:pPr>
            <w:r w:rsidRPr="007F41AA">
              <w:t>(</w:t>
            </w:r>
            <w:r w:rsidRPr="007F41AA">
              <w:rPr>
                <w:rStyle w:val="SpecialBold"/>
              </w:rPr>
              <w:t>continued</w:t>
            </w:r>
            <w:r w:rsidRPr="007F41AA">
              <w:t>)</w:t>
            </w:r>
          </w:p>
          <w:p w:rsidR="00000000" w:rsidP="007F41AA">
            <w:pPr>
              <w:pStyle w:val="ListBullet"/>
              <w:rPr>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603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Malfunctions and deviations from performance norms are identified and appropriate action initiated to report or rectify the problem in accordance with marine engineering practice and vessel's procedures</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h</w:t>
            </w:r>
          </w:p>
        </w:tc>
        <w:tc>
          <w:tcPr>
            <w:tcW w:w="603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Records of performance are maintained on running sheets and operations logs in accordance with vessel's procedures</w:t>
            </w:r>
          </w:p>
        </w:tc>
      </w:tr>
      <w:tr w:rsidTr="0034519D">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F41AA" w:rsidP="007F41AA">
            <w:pPr>
              <w:pStyle w:val="ListBullet"/>
            </w:pPr>
            <w:r w:rsidRPr="007F41AA">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ListBullet"/>
              <w:rPr>
                <w:lang w:val="en-NZ"/>
              </w:rPr>
            </w:pPr>
            <w:r w:rsidRPr="007F41AA">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5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All required watchkeeping procedures, safety precautions and regulations are followed when operating main and auxiliary machinery and associated systems</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5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Operational hazards are identified and action is taken to minimise or eliminate risk to personnel, vessel and the environment</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605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Safety, hazard minimisation and pollution control procedures and national and international regulations are followed at all times during the operation of main and auxiliary machinery and associated systems</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605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Where relevant and in consultation with a sen</w:t>
            </w:r>
            <w:r w:rsidRPr="007F41AA">
              <w:t>ior engineer, procedures and precautions necessary for entry into confined spaces on a vessel are correctly followed</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605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Appropriate action is taken in the event of a failure or emergency associated with main and auxiliary machinery and associated systems</w:t>
            </w:r>
            <w:r w:rsidRPr="007F41AA">
              <w:t xml:space="preserve"> to isolate and secure the plant and equipment and the vessel and maintain the safety of the vessel and persons involved </w:t>
            </w:r>
          </w:p>
        </w:tc>
      </w:tr>
      <w:tr w:rsidTr="0034519D">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6053" w:type="dxa"/>
            <w:gridSpan w:val="3"/>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Shipboard emergency and contingency plans are followed in the event of a failure or emergency associat</w:t>
            </w:r>
            <w:r w:rsidRPr="007F41AA">
              <w:t xml:space="preserve">ed with main and </w:t>
            </w:r>
            <w:r w:rsidRPr="007F41AA">
              <w:t>auxiliary machinery and associated systems</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9" w:name="O_151787"/>
      <w:bookmarkEnd w:id="9"/>
      <w:r w:rsidRPr="007F41AA">
        <w:t>Required Skills and Knowledge</w:t>
      </w:r>
    </w:p>
    <w:tbl>
      <w:tblPr>
        <w:tblW w:w="0" w:type="auto"/>
        <w:tblLayout w:type="fixed"/>
        <w:tblCellMar>
          <w:left w:w="62" w:type="dxa"/>
          <w:right w:w="62" w:type="dxa"/>
        </w:tblCellMar>
        <w:tblLook w:val="0000"/>
      </w:tblPr>
      <w:tblGrid>
        <w:gridCol w:w="423"/>
        <w:gridCol w:w="353"/>
        <w:gridCol w:w="7563"/>
      </w:tblGrid>
      <w:tr w:rsidTr="0034519D">
        <w:tblPrEx>
          <w:tblW w:w="0" w:type="auto"/>
          <w:tblLayout w:type="fixed"/>
          <w:tblCellMar>
            <w:left w:w="62" w:type="dxa"/>
            <w:right w:w="62" w:type="dxa"/>
          </w:tblCellMar>
          <w:tblLook w:val="0000"/>
        </w:tblPrEx>
        <w:trPr>
          <w:tblHeader/>
        </w:trPr>
        <w:tc>
          <w:tcPr>
            <w:tcW w:w="8339"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rPr>
                <w:rStyle w:val="SpecialBold"/>
              </w:rPr>
              <w:t>REQUIRED KNOWLEDGE</w:t>
            </w:r>
          </w:p>
        </w:tc>
      </w:tr>
      <w:tr w:rsidTr="0034519D">
        <w:tblPrEx>
          <w:tblW w:w="0" w:type="auto"/>
          <w:tblLayout w:type="fixed"/>
          <w:tblCellMar>
            <w:left w:w="62" w:type="dxa"/>
            <w:right w:w="62" w:type="dxa"/>
          </w:tblCellMar>
          <w:tblLook w:val="0000"/>
        </w:tblPrEx>
        <w:tc>
          <w:tcPr>
            <w:tcW w:w="8339"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rPr>
                <w:rStyle w:val="Emphasis"/>
              </w:rPr>
              <w:t>This describes the knowledge required for this unit</w:t>
            </w:r>
            <w:r w:rsidRPr="007F41AA">
              <w:t>.</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National and international regulations, IMO Conventions and Codes, including AMSA Marine Orders applicable to the operation of main and auxiliary machinery and associated control systems on vessels of unlimited propulsion power</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Established engineering </w:t>
            </w:r>
            <w:r w:rsidRPr="007F41AA">
              <w:t>practice and procedures for the operation of shipboard main and auxiliary machinery and associated control systems in warm through, manoeuvring, start up, normal running, emergency and shut down situations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Operational characteristics and performance specifications for the different types of marine main and auxiliary machinery and associated control systems typically on a vessel of unlimited propulsion power</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Elementary principles of internal combustion en</w:t>
            </w:r>
            <w:r w:rsidRPr="007F41AA">
              <w:t>gine cycles, including: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operating principles of two stroke and four stroke internal combustion engines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Otto, diesel and dual combustion cycles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Methods for calculating mean effective pressure using an indicator diagram</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indicated power formula</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specific fuel consumption and thermal efficiency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ideal cycle and air standard efficiency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effects of insufficient, minimum and excess air on combustion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 5</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operating cycle of refrigeration and related problems on refrigeration plant performance, including: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principles of refrigeration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refrigeration cycle as a pressure/enthalpy diagram</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properties of refrigerants used in refrigeratio</w:t>
            </w:r>
            <w:r w:rsidRPr="007F41AA">
              <w:t>n plants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refrigeration effect and plant capacity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The psychrometric chart and the cycle of operation and working principles of air-conditioning plants, including the meaning of psychrometric </w:t>
            </w:r>
            <w:r w:rsidRPr="007F41AA">
              <w:t>terms such as relative humidity, and dry and wet bulb temperatures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types, properties, tests, applications and treatment of fuels, lubricants, solvents and chemicals used on board vessel, including a basic understanding of the working principles, co</w:t>
            </w:r>
            <w:r w:rsidRPr="007F41AA">
              <w:t>nstruction, maintenance and safe operation of centrifuges, filters, and other treatment devices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791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principles of operation of boilers and steam systems, including: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understanding of how combustion occurs in a boiler, and related safety procedures, including the importance of purging a boiler and other safety precautions taken when firing a boiler</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principles of boiler operation in normal and emergency situations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6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typical feed systems for marine boilers, including all components normally found in such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63"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a basic understanding of the various fittings mounted on auxiliary boilers, including:</w:t>
            </w:r>
          </w:p>
        </w:tc>
      </w:tr>
    </w:tbl>
    <w:p w:rsidR="00000000" w:rsidRPr="007F41AA" w:rsidP="007F41AA">
      <w:pPr>
        <w:pStyle w:val="BodyText"/>
      </w:pPr>
    </w:p>
    <w:tbl>
      <w:tblPr>
        <w:tblW w:w="0" w:type="auto"/>
        <w:tblLayout w:type="fixed"/>
        <w:tblCellMar>
          <w:left w:w="62" w:type="dxa"/>
          <w:right w:w="62" w:type="dxa"/>
        </w:tblCellMar>
        <w:tblLook w:val="0000"/>
      </w:tblPr>
      <w:tblGrid>
        <w:gridCol w:w="423"/>
        <w:gridCol w:w="353"/>
        <w:gridCol w:w="360"/>
        <w:gridCol w:w="7193"/>
        <w:gridCol w:w="10"/>
      </w:tblGrid>
      <w:tr w:rsidTr="0034519D">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720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common operating routines of local water level indicators, including methods of blowing a gauge glass, clearing blockages, and overhaul of these devices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720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effects of blockages in the water, steam and drain cocks of water level indicators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756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how a boiler is flashed up from cold and put in line</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756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purpose of all alarms and shut downs incorporated in a marine boiler</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756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typical configurations of, and operating principles applying to, the various steam distribution systems found aboard ves</w:t>
            </w:r>
            <w:r w:rsidRPr="007F41AA">
              <w:t>sel</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w:t>
            </w:r>
          </w:p>
        </w:tc>
        <w:tc>
          <w:tcPr>
            <w:tcW w:w="7563"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checks which should be made regularly during routine turbine operation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7916"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The nature and causes of typical malfunctions and/or poor performance main and auxiliary machinery and associated control systems and the available </w:t>
            </w:r>
            <w:r w:rsidRPr="007F41AA">
              <w:t>methods for their detection and rectification</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10</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principles of operation of turbine systems and auxiliary steam plant, including: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methods of turbine control, including safety devices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symptoms, causes, effects, and actions to be taken of defects of auxiliary steam turbines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construction and operation of auxiliary steam turbines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methods of lubricating the principal components of a marine steam turbine and its associated gearing, and evaluate common faults, including common lubrication faults, symptoms, causes, and actions to be taken with such faults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11</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Types of operational and </w:t>
            </w:r>
            <w:r w:rsidRPr="007F41AA">
              <w:t>performance evaluation records that must be maintained on a vessel to meet the requirements of the company, survey requirements and regulatory authorities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12</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Maritime communication techniques needed during the operation of main and auxiliary machinery a</w:t>
            </w:r>
            <w:r w:rsidRPr="007F41AA">
              <w:t>nd associated systems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13</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Procedures for the reading and interpretation of readings and indications of the performance of main and auxiliary machinery and associated systems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14</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Typical vessel and machinery specifications, machinery design drawings, operational manuals, specifications and electrical and control circuit diagrams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15</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Purpose and content of material safety data sheets </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16</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principles of diesel engine to a l</w:t>
            </w:r>
            <w:r w:rsidRPr="007F41AA">
              <w:t>evel suitable for a Watchkeeper Engineer, including: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typical starting air and manoeuvring systems of diesel engines, including all components normally found therein:</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starting methods of marine diesel engines and how propulsion manoeuvring is achieved</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requirements for diesel engines for propulsion, power generation, and emergency use</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iii</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methods of reversing direct reversing engines with their interlocks and other safety arrangements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iv</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common faults and appropriate action to be taken with starting/manoeuvring systems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typical diesel engine lubrication systems, including: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7193"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all components normally found therein</w:t>
            </w:r>
          </w:p>
        </w:tc>
      </w:tr>
    </w:tbl>
    <w:p w:rsidR="00000000" w:rsidRPr="007F41AA" w:rsidP="007F41AA">
      <w:pPr>
        <w:pStyle w:val="BodyText"/>
      </w:pPr>
    </w:p>
    <w:tbl>
      <w:tblPr>
        <w:tblW w:w="0" w:type="auto"/>
        <w:tblLayout w:type="fixed"/>
        <w:tblCellMar>
          <w:left w:w="62" w:type="dxa"/>
          <w:right w:w="62" w:type="dxa"/>
        </w:tblCellMar>
        <w:tblLook w:val="0000"/>
      </w:tblPr>
      <w:tblGrid>
        <w:gridCol w:w="423"/>
        <w:gridCol w:w="353"/>
        <w:gridCol w:w="360"/>
        <w:gridCol w:w="7193"/>
        <w:gridCol w:w="10"/>
      </w:tblGrid>
      <w:tr w:rsidTr="0034519D">
        <w:tblPrEx>
          <w:tblW w:w="0" w:type="auto"/>
          <w:tblLayout w:type="fixed"/>
          <w:tblCellMar>
            <w:left w:w="62" w:type="dxa"/>
            <w:right w:w="62" w:type="dxa"/>
          </w:tblCellMar>
          <w:tblLook w:val="0000"/>
        </w:tblPrEx>
        <w:trPr>
          <w:gridAfter w:val="1"/>
          <w:wAfter w:w="10"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normal operational pressures and temperatures which should be expected</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iii</w:t>
            </w:r>
          </w:p>
        </w:tc>
        <w:tc>
          <w:tcPr>
            <w:tcW w:w="719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methods of lubricating the principal components of a marine diesel engine, with its associated gearing and/or chain drives, including</w:t>
            </w:r>
            <w:r w:rsidRPr="007F41AA">
              <w:t xml:space="preserve"> common lubrication faults, symptoms, causes, and actions to be taken with such faults.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the operating principles and adjustments of diesel engine fuel injection equipment, including common service faults, symptoms, and causes of </w:t>
            </w:r>
            <w:r w:rsidRPr="007F41AA">
              <w:t>diesel fuel injection problems, and appropriate actions to be taken.</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means of pressure charging diesel engines, including common service faults and give appropriate actions to these faults and emergency operation and isolation procedures.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differe</w:t>
            </w:r>
            <w:r w:rsidRPr="007F41AA">
              <w:t>nt methods of cooling marine diesel engines, including common requirements of cooling.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common faults and appropriate action to be taken with cooling of diesel engines.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causes of crankcase and air-line explosions, scavenge and uptake fires.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17</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causes, symptoms, means of preventing, detecting, and extinguishing fires and the correct procedures to be taken upon their detection, including: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scavenge fires.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crankcase explosions in both diesel and dual fuel engines.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starting air-line explosions.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risks of continued service with an isolated waste heat unit.</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18</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Relevant safety, environmental and hazard control legislation, precautions and procedures relevant to the operation of main and auxiliary machinery and</w:t>
            </w:r>
            <w:r w:rsidRPr="007F41AA">
              <w:t xml:space="preserve"> associated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19</w:t>
            </w:r>
          </w:p>
        </w:tc>
        <w:tc>
          <w:tcPr>
            <w:tcW w:w="7916"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Typical operating precautions for main and auxiliary machinery and associated control systems to ensure operational performance is in compliance </w:t>
            </w:r>
            <w:r w:rsidRPr="007F41AA">
              <w:t>with the bridge orders, technical specifications, survey requirements and established safety and anti-pollution rules and regulations. Main and auxiliary machinery monitoring and protection devices.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20</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Hazards and problems that can occur during the oper</w:t>
            </w:r>
            <w:r w:rsidRPr="007F41AA">
              <w:t>ation of main and auxiliary machinery and associated control systems and appropriate preventative and remedial action and solutions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21</w:t>
            </w:r>
          </w:p>
        </w:tc>
        <w:tc>
          <w:tcPr>
            <w:tcW w:w="7906"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thermodynamics as it relates to the responsibilities of an officer on the engineering watch, including:</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thermodynamic properties of common working fluids.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methods of heat transfer and related problems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principles of heat transfer by conduction, convection and radiation and their application to marine systems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elementary principles of steam</w:t>
            </w:r>
            <w:r w:rsidRPr="007F41AA">
              <w:t xml:space="preserve"> plants</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saturated dry and wet steam, dryness fraction, superheated steam, enthalpy, steam tables. Evaporation.</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755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steam plant cycles and the function of each component</w:t>
            </w:r>
          </w:p>
        </w:tc>
      </w:tr>
      <w:tr w:rsidTr="0034519D">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7553"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the combustion process and the calorific value of fuels</w:t>
            </w:r>
          </w:p>
        </w:tc>
      </w:tr>
    </w:tbl>
    <w:p w:rsidR="00000000" w:rsidRPr="007F41AA" w:rsidP="007F41AA">
      <w:pPr>
        <w:pStyle w:val="BodyText"/>
      </w:pPr>
    </w:p>
    <w:tbl>
      <w:tblPr>
        <w:tblW w:w="0" w:type="auto"/>
        <w:tblLayout w:type="fixed"/>
        <w:tblCellMar>
          <w:left w:w="62" w:type="dxa"/>
          <w:right w:w="62" w:type="dxa"/>
        </w:tblCellMar>
        <w:tblLook w:val="0000"/>
      </w:tblPr>
      <w:tblGrid>
        <w:gridCol w:w="423"/>
        <w:gridCol w:w="353"/>
        <w:gridCol w:w="7553"/>
      </w:tblGrid>
      <w:tr w:rsidTr="0034519D">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the operating cycle of single stage reciprocating air-conditioners, including methods for calculating the mass of air delivered</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clearance volume, its effect on volumetric efficiency and methods of calculating the volumetric efficiency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j</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advantages of multi-staging and intercooling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k</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meaning of gauge and absolute pressure</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temperature and temperature scales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SI units and common thermodynamic terms and principles.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22</w:t>
            </w:r>
          </w:p>
        </w:tc>
        <w:tc>
          <w:tcPr>
            <w:tcW w:w="790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Compression and expansion of gases, including gas laws, Boyle's Law, Charles Law, characteristic gas equation, gas constant, isothermal, adiabatic and polytropic processes, and specific heat capacity.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23</w:t>
            </w:r>
          </w:p>
        </w:tc>
        <w:tc>
          <w:tcPr>
            <w:tcW w:w="790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Basic principles of mechanics as they relate to ma</w:t>
            </w:r>
            <w:r w:rsidRPr="007F41AA">
              <w:t>chine operation, including: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statics, force as a vector, triangle and polygon of forces, the principle of moments, application to simply supported beams and cranked levers, moments of force, couples, centroids and centres of gravity limited to geometri</w:t>
            </w:r>
            <w:r w:rsidRPr="007F41AA">
              <w:t>cal shapes, resultant and equilibrant of a system of concurrent coplanar forces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laws of friction for dry surfaces, coefficient of friction (horizontal plane only), lubrication of bearings and plain surfaces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linear displacement, time speed, velocity and acceleration, angular motion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problems with constant force or force with linear variation, torque, work, energy, power, conservation of energy, potential and kinematic energy, Newton's laws of motion, moment</w:t>
            </w:r>
            <w:r w:rsidRPr="007F41AA">
              <w:t>um, rate of change of momentum, centrifugal force</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simple lifting machines, graphs of load-effort and load-efficiency, linear law, velocity ratio, mechanical advantage and efficiency of the following machines: wheel and axle, differential pulley blocks,</w:t>
            </w:r>
            <w:r w:rsidRPr="007F41AA">
              <w:t xml:space="preserve"> screw jack, Warwick screw, hydraulic jack, worm driven chain blocks and single and double purchase crab winches, reduction gearing</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direct stress and strain, Hooke's law, modulus of elasticity, elastic limit, ultimate tensile strength, yield stress, li</w:t>
            </w:r>
            <w:r w:rsidRPr="007F41AA">
              <w:t>mit of proportionality, safety factor, shear stress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circumferential and longitudinal stress in thin cylindrical and spherical shells subject to internal pressure</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24</w:t>
            </w:r>
          </w:p>
        </w:tc>
        <w:tc>
          <w:tcPr>
            <w:tcW w:w="7906"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Basic principles of naval architecture </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transverse stability, elementary treatment of transverse stability, shift of centre of gravity due to addition, removal, or transfer of masses, qualitative treatment of free surface effect, water accumulation, and their effect on stability</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structural s</w:t>
            </w:r>
            <w:r w:rsidRPr="007F41AA">
              <w:t>trength, variation of fluid pressure with depth, loading due to head of liquid</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755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vessel construction, common terms used in the measurement of steel vessels, </w:t>
            </w:r>
            <w:r w:rsidRPr="007F41AA">
              <w:t>definitions of shipbuilding terms in general use and types of vessels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25</w:t>
            </w:r>
          </w:p>
        </w:tc>
        <w:tc>
          <w:tcPr>
            <w:tcW w:w="7906"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Precautions necessary before entering empty oil fuel or ballast tanks</w:t>
            </w:r>
          </w:p>
        </w:tc>
      </w:tr>
    </w:tbl>
    <w:p w:rsidR="00000000" w:rsidRPr="007F41AA" w:rsidP="007F41AA">
      <w:pPr>
        <w:pStyle w:val="BodyText"/>
      </w:pPr>
    </w:p>
    <w:tbl>
      <w:tblPr>
        <w:tblW w:w="0" w:type="auto"/>
        <w:tblLayout w:type="fixed"/>
        <w:tblCellMar>
          <w:left w:w="62" w:type="dxa"/>
          <w:right w:w="62" w:type="dxa"/>
        </w:tblCellMar>
        <w:tblLook w:val="0000"/>
      </w:tblPr>
      <w:tblGrid>
        <w:gridCol w:w="423"/>
        <w:gridCol w:w="7906"/>
        <w:gridCol w:w="126"/>
        <w:gridCol w:w="15"/>
      </w:tblGrid>
      <w:tr w:rsidTr="0034519D">
        <w:tblPrEx>
          <w:tblW w:w="0" w:type="auto"/>
          <w:tblLayout w:type="fixed"/>
          <w:tblCellMar>
            <w:left w:w="62" w:type="dxa"/>
            <w:right w:w="62" w:type="dxa"/>
          </w:tblCellMar>
          <w:tblLook w:val="0000"/>
        </w:tblPrEx>
        <w:trPr>
          <w:gridAfter w:val="2"/>
          <w:wAfter w:w="141" w:type="dxa"/>
          <w:tblHeader/>
        </w:trPr>
        <w:tc>
          <w:tcPr>
            <w:tcW w:w="8329"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SpecialBold"/>
              </w:rPr>
              <w:t>REQUIRED SKILLS</w:t>
            </w:r>
          </w:p>
        </w:tc>
      </w:tr>
      <w:tr w:rsidTr="0034519D">
        <w:tblPrEx>
          <w:tblW w:w="0" w:type="auto"/>
          <w:tblLayout w:type="fixed"/>
          <w:tblCellMar>
            <w:left w:w="62" w:type="dxa"/>
            <w:right w:w="62" w:type="dxa"/>
          </w:tblCellMar>
          <w:tblLook w:val="0000"/>
        </w:tblPrEx>
        <w:trPr>
          <w:gridAfter w:val="2"/>
          <w:wAfter w:w="141" w:type="dxa"/>
        </w:trPr>
        <w:tc>
          <w:tcPr>
            <w:tcW w:w="8329"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rPr>
                <w:rStyle w:val="Emphasis"/>
              </w:rPr>
              <w:t>This describes the basic skills required for this unit</w:t>
            </w:r>
            <w:r w:rsidRPr="007F41AA">
              <w:t>.</w:t>
            </w:r>
          </w:p>
        </w:tc>
      </w:tr>
      <w:tr w:rsidTr="0034519D">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7906"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Communicate effectively with other personnel when operating main and auxiliary machinery and associated control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Communicate with multilingual crew where applicable using established techniques</w:t>
            </w:r>
          </w:p>
        </w:tc>
      </w:tr>
      <w:tr w:rsidTr="0034519D">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7906"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Interpret and follow procedures for the operation of main and auxiliary machinery and associated control systems</w:t>
            </w:r>
          </w:p>
        </w:tc>
      </w:tr>
      <w:tr w:rsidTr="0034519D">
        <w:tblPrEx>
          <w:tblW w:w="0" w:type="auto"/>
          <w:tblLayout w:type="fixed"/>
          <w:tblCellMar>
            <w:left w:w="62" w:type="dxa"/>
            <w:right w:w="62" w:type="dxa"/>
          </w:tblCellMar>
          <w:tblLook w:val="0000"/>
        </w:tblPrEx>
        <w:trPr>
          <w:gridAfter w:val="2"/>
          <w:wAfter w:w="141"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7906"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Read and interpret equipment performance readings and instrumentation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Interpret and follow all safety management procedures and precautio</w:t>
            </w:r>
            <w:r w:rsidRPr="007F41AA">
              <w:t>ns when operating main and auxiliary machinery and associated control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Read and interpret material safety data sheets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Read and interpret vessel and machinery specifications, machinery design drawings, machine drawings, operational manuals, spe</w:t>
            </w:r>
            <w:r w:rsidRPr="007F41AA">
              <w:t>cifications and electrical and control circuit diagrams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Work collaboratively with other shipboard personnel when operating main and auxiliary machinery and associated control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Identify problems that can occur during the operation of main and auxiliary machinery and associated control systems and take appropriate action</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10</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Carry out calculations required when operating main and auxiliary machinery and associated control systems</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11</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Adapt to differing types of main and auxiliary machinery from different manufacturers and associated control systems from one vessel to another and when equipment and systems are changed</w:t>
            </w:r>
          </w:p>
        </w:tc>
      </w:tr>
      <w:tr w:rsidTr="0034519D">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12</w:t>
            </w:r>
          </w:p>
        </w:tc>
        <w:tc>
          <w:tcPr>
            <w:tcW w:w="804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Take appropriate precautions to prevent pollution of the mari</w:t>
            </w:r>
            <w:r w:rsidRPr="007F41AA">
              <w:t>ne environment</w:t>
            </w:r>
          </w:p>
        </w:tc>
      </w:tr>
      <w:tr w:rsidTr="0034519D">
        <w:tblPrEx>
          <w:tblW w:w="0" w:type="auto"/>
          <w:tblLayout w:type="fixed"/>
          <w:tblCellMar>
            <w:left w:w="62" w:type="dxa"/>
            <w:right w:w="62" w:type="dxa"/>
          </w:tblCellMar>
          <w:tblLook w:val="0000"/>
        </w:tblPrEx>
        <w:trPr>
          <w:gridAfter w:val="1"/>
          <w:wAfter w:w="15" w:type="dxa"/>
        </w:trPr>
        <w:tc>
          <w:tcPr>
            <w:tcW w:w="423"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13</w:t>
            </w:r>
          </w:p>
        </w:tc>
        <w:tc>
          <w:tcPr>
            <w:tcW w:w="8032"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 xml:space="preserve">Select and use tools and equipment required for the operation of main and </w:t>
            </w:r>
            <w:r w:rsidRPr="007F41AA">
              <w:t>auxiliary machinery and associated control systems</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10" w:name="O_151788"/>
      <w:bookmarkEnd w:id="10"/>
      <w:r w:rsidRPr="007F41AA">
        <w:t>Evidence Guide</w:t>
      </w:r>
    </w:p>
    <w:tbl>
      <w:tblPr>
        <w:tblW w:w="0" w:type="auto"/>
        <w:tblLayout w:type="fixed"/>
        <w:tblCellMar>
          <w:left w:w="62" w:type="dxa"/>
          <w:right w:w="62" w:type="dxa"/>
        </w:tblCellMar>
        <w:tblLook w:val="0000"/>
      </w:tblPr>
      <w:tblGrid>
        <w:gridCol w:w="303"/>
        <w:gridCol w:w="1788"/>
        <w:gridCol w:w="360"/>
        <w:gridCol w:w="357"/>
        <w:gridCol w:w="5400"/>
        <w:gridCol w:w="270"/>
        <w:gridCol w:w="15"/>
      </w:tblGrid>
      <w:tr w:rsidTr="0034519D">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Evidence Guide</w:t>
            </w:r>
          </w:p>
          <w:p w:rsidR="00000000" w:rsidP="007F41AA">
            <w:pPr>
              <w:pStyle w:val="BodyText"/>
              <w:rPr>
                <w:lang w:val="en-NZ"/>
              </w:rPr>
            </w:pPr>
            <w:r w:rsidRPr="007F41AA">
              <w:rPr>
                <w:rStyle w:val="SpecialBold"/>
              </w:rPr>
              <w:t>TDMMR1107B OPERA</w:t>
            </w:r>
            <w:r w:rsidRPr="007F41AA">
              <w:rPr>
                <w:rStyle w:val="SpecialBold"/>
              </w:rPr>
              <w:t>TE MAIN AND AUXILIARY MACHINERY AND ASSOCIATED CONTROL SYSTEMS</w:t>
            </w:r>
          </w:p>
        </w:tc>
      </w:tr>
      <w:tr w:rsidTr="0034519D">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Emphasis"/>
              </w:rPr>
              <w:t>The Evidence Guide provides advice on assessment and must be read in conjunction with the Performance Criteria</w:t>
            </w:r>
            <w:r w:rsidRPr="007F41AA">
              <w:t xml:space="preserve">, </w:t>
            </w:r>
            <w:r w:rsidRPr="007F41AA">
              <w:rPr>
                <w:rStyle w:val="Emphasis"/>
              </w:rPr>
              <w:t>Required Skills and Knowledge</w:t>
            </w:r>
            <w:r w:rsidRPr="007F41AA">
              <w:t xml:space="preserve">, </w:t>
            </w:r>
            <w:r w:rsidRPr="007F41AA">
              <w:rPr>
                <w:rStyle w:val="Emphasis"/>
              </w:rPr>
              <w:t>the Range Statement and the Assessment Guide</w:t>
            </w:r>
            <w:r w:rsidRPr="007F41AA">
              <w:rPr>
                <w:rStyle w:val="Emphasis"/>
              </w:rPr>
              <w:t>lines for this Training Package</w:t>
            </w:r>
            <w:r w:rsidRPr="007F41AA">
              <w:t>.</w:t>
            </w:r>
          </w:p>
        </w:tc>
      </w:tr>
      <w:tr w:rsidTr="0034519D">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Assessment must confirm appropriate knowledge and skills to:</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Ensure a safe engineering watch during the ope</w:t>
            </w:r>
            <w:r w:rsidRPr="007F41AA">
              <w:t>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Operate shipboard main and auxiliary machinery and associated control systems within specifications </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Identify malfunctioning main and auxiliary machinery and associated control systems and, in consultation with a senior engineer, initiate appropriate action for repair or replacement</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d</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Exercise all required safety, environmental and hazard control precautions and procedures when overseeing the operation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Identify typical operational problems and hazards when operating main and a</w:t>
            </w:r>
            <w:r w:rsidRPr="007F41AA">
              <w:t>uxiliary machinery and associated control systems and take appropriate action</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Communicate effectively with others during operation of main and auxiliary machinery </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g</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Ensure adherence to applicable maritime regulations</w:t>
            </w:r>
          </w:p>
        </w:tc>
      </w:tr>
      <w:tr w:rsidTr="0034519D">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Performance is demonstrated consistently over a period of time and in a suitable range of contexts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27"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Consistently applies underpinning knowledge and skills when:</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maintaining a safe engineering watch involving the operation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assessing operational performance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assisting in the identification of operational problems with main and auxiliary machinery and associated system and taking remedial action</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taking action, in consultation with a senior engineer, to minimise any damage and safety risk that could be caused by malfunctions in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identifying and implementing improvements to procedures for the </w:t>
            </w:r>
            <w:r w:rsidRPr="007F41AA">
              <w:t>operation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applying safety precautions relevant to the operation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5670"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completing operations documentation and records </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c</w:t>
            </w:r>
          </w:p>
        </w:tc>
        <w:tc>
          <w:tcPr>
            <w:tcW w:w="6027" w:type="dxa"/>
            <w:gridSpan w:val="3"/>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Shows evidence of application of relevant workplace procedures, including:</w:t>
            </w:r>
          </w:p>
        </w:tc>
      </w:tr>
    </w:tbl>
    <w:p w:rsidR="00000000" w:rsidRPr="007F41AA" w:rsidP="007F41AA">
      <w:pPr>
        <w:pStyle w:val="BodyText"/>
      </w:pPr>
    </w:p>
    <w:tbl>
      <w:tblPr>
        <w:tblW w:w="0" w:type="auto"/>
        <w:tblLayout w:type="fixed"/>
        <w:tblCellMar>
          <w:left w:w="62" w:type="dxa"/>
          <w:right w:w="62" w:type="dxa"/>
        </w:tblCellMar>
        <w:tblLook w:val="0000"/>
      </w:tblPr>
      <w:tblGrid>
        <w:gridCol w:w="303"/>
        <w:gridCol w:w="1788"/>
        <w:gridCol w:w="360"/>
        <w:gridCol w:w="357"/>
        <w:gridCol w:w="357"/>
        <w:gridCol w:w="5043"/>
        <w:gridCol w:w="270"/>
        <w:gridCol w:w="15"/>
      </w:tblGrid>
      <w:tr w:rsidTr="0034519D">
        <w:tblPrEx>
          <w:tblW w:w="0" w:type="auto"/>
          <w:tblLayout w:type="fixed"/>
          <w:tblCellMar>
            <w:left w:w="62" w:type="dxa"/>
            <w:right w:w="62" w:type="dxa"/>
          </w:tblCellMar>
          <w:tblLook w:val="0000"/>
        </w:tblPrEx>
        <w:trPr>
          <w:gridAfter w:val="2"/>
          <w:wAfter w:w="285"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Evidence Guide</w:t>
            </w:r>
            <w:r w:rsidRPr="007F41AA">
              <w:t xml:space="preserve"> (</w:t>
            </w:r>
            <w:r w:rsidRPr="007F41AA">
              <w:rPr>
                <w:rStyle w:val="SpecialBold"/>
              </w:rPr>
              <w:t>continued</w:t>
            </w:r>
            <w:r w:rsidRPr="007F41AA">
              <w:t xml:space="preserve">) </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 xml:space="preserve">Evidence required for demonstration of consistent </w:t>
            </w:r>
            <w:r w:rsidRPr="007F41AA">
              <w:rPr>
                <w:rStyle w:val="SpecialBold"/>
              </w:rPr>
              <w:t>performance</w:t>
            </w:r>
          </w:p>
          <w:p w:rsidR="00000000" w:rsidP="007F41AA">
            <w:pPr>
              <w:pStyle w:val="BodyText"/>
              <w:rPr>
                <w:lang w:val="en-NZ"/>
              </w:rPr>
            </w:pPr>
            <w:r w:rsidRPr="007F41AA">
              <w:t>(</w:t>
            </w:r>
            <w:r w:rsidRPr="007F41AA">
              <w:rPr>
                <w:rStyle w:val="SpecialBold"/>
              </w:rPr>
              <w:t>continued</w:t>
            </w:r>
            <w:r w:rsidRPr="007F41AA">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relevant sections of applicable maritime regulations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OH&amp;S regulations and hazard prevention policies and procedures </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ISM Code safety management system procedures, quality procedures and work instructions on the operation of main and auxiliary machinery and associated systems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following on-board housekeeping processes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d</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Action is taken promptly to report and assist in the rectification of malfunctions in main and auxiliary machinery and associated systems, non-conformities, accidents, hazardous occurrences and safety incidents in accordance with statutory requirements, co</w:t>
            </w:r>
            <w:r w:rsidRPr="007F41AA">
              <w:t>mpany procedures and the ISM Code</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e</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Work is managed, controlled and completed systematically with required attention to detail</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f</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Recognises and adapts appropriately to cultural differences in the wo</w:t>
            </w:r>
            <w:r w:rsidRPr="007F41AA">
              <w:t>rkplace, including modes of behaviour and interactions between crew and others</w:t>
            </w:r>
          </w:p>
        </w:tc>
      </w:tr>
      <w:tr w:rsidTr="0034519D">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Assessment of competency must comply with the assessment requirements of the relevant maritime regulations</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Assessment of this unit must be undertaken within relevant marine authority approved and audited arrangements by a registered training organisation:</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As a minimum, assessment of knowledge must be conducted through appropriate written/oral examinations, and</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567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Appropriate practical assessment must occur:</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531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at the registered training organisation; and/or </w:t>
            </w:r>
          </w:p>
        </w:tc>
      </w:tr>
      <w:tr w:rsidTr="0034519D">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531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on an appropriate working or training vessel</w:t>
            </w:r>
          </w:p>
        </w:tc>
      </w:tr>
      <w:tr w:rsidTr="0034519D">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4</w:t>
            </w:r>
            <w:r w:rsidRPr="007F41AA">
              <w:tab/>
            </w:r>
            <w:r w:rsidRPr="007F41AA">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Access is required to opportunities to:</w:t>
            </w:r>
          </w:p>
        </w:tc>
      </w:tr>
      <w:tr w:rsidTr="0034519D">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a</w:t>
            </w:r>
          </w:p>
        </w:tc>
        <w:tc>
          <w:tcPr>
            <w:tcW w:w="6027"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participate in a range of practical and theoretical assignments, exercises, case studies and other assessments </w:t>
            </w:r>
            <w:r w:rsidRPr="007F41AA">
              <w:t>that demonstrate the skills and knowledge to operate main and auxiliary machinery and associated control systems typically found on a vessel of u</w:t>
            </w:r>
            <w:r w:rsidRPr="007F41AA">
              <w:t>nlimited propulsion power; and/or</w:t>
            </w:r>
          </w:p>
        </w:tc>
      </w:tr>
      <w:tr w:rsidTr="0034519D">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b</w:t>
            </w:r>
          </w:p>
        </w:tc>
        <w:tc>
          <w:tcPr>
            <w:tcW w:w="6027" w:type="dxa"/>
            <w:gridSpan w:val="4"/>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operate the main and auxiliary machinery and associated control systems in a range of operational situations while keeping a safe engineering watch on a commercial or training vessel of unlimited propulsion power</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11" w:name="O_151789"/>
      <w:bookmarkEnd w:id="11"/>
      <w:r w:rsidRPr="007F41AA">
        <w:t>Range Statement</w:t>
      </w:r>
    </w:p>
    <w:tbl>
      <w:tblPr>
        <w:tblW w:w="0" w:type="auto"/>
        <w:tblLayout w:type="fixed"/>
        <w:tblCellMar>
          <w:left w:w="62" w:type="dxa"/>
          <w:right w:w="62" w:type="dxa"/>
        </w:tblCellMar>
        <w:tblLook w:val="0000"/>
      </w:tblPr>
      <w:tblGrid>
        <w:gridCol w:w="340"/>
        <w:gridCol w:w="6"/>
        <w:gridCol w:w="1744"/>
        <w:gridCol w:w="357"/>
        <w:gridCol w:w="11"/>
        <w:gridCol w:w="5750"/>
        <w:gridCol w:w="267"/>
        <w:gridCol w:w="18"/>
        <w:gridCol w:w="28"/>
      </w:tblGrid>
      <w:tr w:rsidTr="0034519D">
        <w:tblPrEx>
          <w:tblW w:w="0" w:type="auto"/>
          <w:tblLayout w:type="fixed"/>
          <w:tblCellMar>
            <w:left w:w="62" w:type="dxa"/>
            <w:right w:w="62" w:type="dxa"/>
          </w:tblCellMar>
          <w:tblLook w:val="0000"/>
        </w:tblPrEx>
        <w:trPr>
          <w:gridAfter w:val="3"/>
          <w:wAfter w:w="313" w:type="dxa"/>
          <w:tblHeader/>
        </w:trPr>
        <w:tc>
          <w:tcPr>
            <w:tcW w:w="820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Range Statement</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Emphasis"/>
              </w:rPr>
              <w:t>The Range Statement relates to the unit of competency as a whole</w:t>
            </w:r>
            <w:r w:rsidRPr="007F41AA">
              <w:t xml:space="preserve">. </w:t>
            </w:r>
            <w:r w:rsidRPr="007F41AA">
              <w:rPr>
                <w:rStyle w:val="Emphasis"/>
              </w:rPr>
              <w:t>It allows for different work environments and situations that may affect performance</w:t>
            </w:r>
            <w:r w:rsidRPr="007F41AA">
              <w:t>.</w:t>
            </w:r>
          </w:p>
        </w:tc>
      </w:tr>
      <w:tr w:rsidTr="0034519D">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rPr>
                <w:rStyle w:val="SpecialBold"/>
              </w:rPr>
              <w:t>SCOPE</w:t>
            </w:r>
          </w:p>
        </w:tc>
      </w:tr>
      <w:tr w:rsidTr="0034519D">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1</w:t>
            </w:r>
            <w:r w:rsidRPr="007F41AA">
              <w:t>.</w:t>
            </w:r>
            <w:r w:rsidRPr="007F41AA">
              <w:tab/>
            </w:r>
            <w:r w:rsidRPr="007F41AA">
              <w:rPr>
                <w:rStyle w:val="SpecialBold"/>
              </w:rPr>
              <w:t>GENERAL CONTEXT</w:t>
            </w:r>
          </w:p>
        </w:tc>
      </w:tr>
      <w:tr w:rsidTr="0034519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a</w:t>
            </w:r>
            <w:r w:rsidRPr="007F41A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Work must be carried out</w:t>
            </w:r>
            <w:r w:rsidRPr="007F41A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1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in compliance with mandatory rules and regulations a</w:t>
            </w:r>
            <w:r w:rsidRPr="007F41AA">
              <w:t>nd IMO Conventions and Codes, including the relevant sections of the AMSA Marine Orders and ensuring that applicable codes, guidelines and standards recommended by IMO, the classification societies and maritime industry organisations are taken into account</w:t>
            </w:r>
          </w:p>
        </w:tc>
      </w:tr>
      <w:tr w:rsidTr="0034519D">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b</w:t>
            </w:r>
            <w:r w:rsidRPr="007F41A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Work is performed</w:t>
            </w:r>
            <w:r w:rsidRPr="007F41A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1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relatively independently in consultation with a senior engineer, within broad operational requirements, with limited accountability and responsibility for self and others in achieving the prescribed outcomes</w:t>
            </w:r>
          </w:p>
        </w:tc>
      </w:tr>
      <w:tr w:rsidTr="0034519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F41AA" w:rsidP="007F41AA">
            <w:pPr>
              <w:pStyle w:val="BodyText"/>
            </w:pPr>
            <w:r w:rsidRPr="007F41AA">
              <w:rPr>
                <w:rStyle w:val="SpecialBold"/>
              </w:rPr>
              <w:t>c</w:t>
            </w:r>
            <w:r w:rsidRPr="007F41A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Work involves</w:t>
            </w:r>
            <w:r w:rsidRPr="007F41A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t xml:space="preserve">the application of marine engineering practice to the operation of main and auxiliary machinery and associated systems across a wide and often unpredictable variety of operational contexts. Monitoring and supervising the implementation of </w:t>
            </w:r>
            <w:r w:rsidRPr="007F41AA">
              <w:t>a broad plan or strategy for the operation of main and auxiliary machinery and associated systems is required. Defined accountability and responsibility for self and others in achieving the outcomes is involved</w:t>
            </w:r>
          </w:p>
        </w:tc>
      </w:tr>
      <w:tr w:rsidTr="0034519D">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d</w:t>
            </w:r>
            <w:r w:rsidRPr="007F41AA">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Work requires</w:t>
            </w:r>
            <w:r w:rsidRPr="007F41A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1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some responsibility for overseeing the operation of operation of shipboard main and auxiliary machinery and associated systems. This includes supervision and control of personnel, hazard minimisation, analysis of performance and operational situations, and</w:t>
            </w:r>
            <w:r w:rsidRPr="007F41AA">
              <w:t xml:space="preserve"> related decision making</w:t>
            </w:r>
          </w:p>
        </w:tc>
      </w:tr>
      <w:tr w:rsidTr="0034519D">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2</w:t>
            </w:r>
            <w:r w:rsidRPr="007F41AA">
              <w:t>.</w:t>
            </w:r>
            <w:r w:rsidRPr="007F41AA">
              <w:tab/>
            </w:r>
            <w:r w:rsidRPr="007F41AA">
              <w:rPr>
                <w:rStyle w:val="SpecialBold"/>
              </w:rPr>
              <w:t>WORKSITE ENVIRONMENT</w:t>
            </w:r>
          </w:p>
        </w:tc>
      </w:tr>
      <w:tr w:rsidTr="0034519D">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F41AA" w:rsidP="007F41AA">
            <w:pPr>
              <w:pStyle w:val="BodyText"/>
            </w:pPr>
            <w:r w:rsidRPr="007F41AA">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The operation of shipboard main and auxiliary machinery and associated systems may be undertaken</w:t>
            </w:r>
            <w:r w:rsidRPr="007F41AA">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RPr="007F41AA" w:rsidP="007F41AA">
            <w:pPr>
              <w:pStyle w:val="BodyText"/>
            </w:pPr>
            <w:r w:rsidRPr="007F41AA">
              <w:t>on an Australian or international commercial vessel of unlimited propulsion power</w:t>
            </w:r>
          </w:p>
        </w:tc>
      </w:tr>
    </w:tbl>
    <w:p w:rsidR="00000000" w:rsidRPr="007F41AA" w:rsidP="007F41AA">
      <w:pPr>
        <w:pStyle w:val="BodyText"/>
      </w:pPr>
    </w:p>
    <w:tbl>
      <w:tblPr>
        <w:tblW w:w="0" w:type="auto"/>
        <w:tblLayout w:type="fixed"/>
        <w:tblCellMar>
          <w:left w:w="62" w:type="dxa"/>
          <w:right w:w="62" w:type="dxa"/>
        </w:tblCellMar>
        <w:tblLook w:val="0000"/>
      </w:tblPr>
      <w:tblGrid>
        <w:gridCol w:w="345"/>
        <w:gridCol w:w="1745"/>
        <w:gridCol w:w="357"/>
        <w:gridCol w:w="419"/>
        <w:gridCol w:w="5342"/>
        <w:gridCol w:w="281"/>
        <w:gridCol w:w="28"/>
      </w:tblGrid>
      <w:tr w:rsidTr="0034519D">
        <w:tblPrEx>
          <w:tblW w:w="0" w:type="auto"/>
          <w:tblLayout w:type="fixed"/>
          <w:tblCellMar>
            <w:left w:w="62" w:type="dxa"/>
            <w:right w:w="62" w:type="dxa"/>
          </w:tblCellMar>
          <w:tblLook w:val="0000"/>
        </w:tblPrEx>
        <w:trPr>
          <w:gridAfter w:val="2"/>
          <w:wAfter w:w="309" w:type="dxa"/>
          <w:tblHeader/>
        </w:trPr>
        <w:tc>
          <w:tcPr>
            <w:tcW w:w="820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Range Statement</w:t>
            </w:r>
            <w:r w:rsidRPr="007F41AA">
              <w:t xml:space="preserve"> (</w:t>
            </w:r>
            <w:r w:rsidRPr="007F41AA">
              <w:rPr>
                <w:rStyle w:val="SpecialBold"/>
              </w:rPr>
              <w:t>continued</w:t>
            </w:r>
            <w:r w:rsidRPr="007F41AA">
              <w:t xml:space="preserve">) </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VARIABLE</w:t>
            </w:r>
          </w:p>
        </w:tc>
        <w:tc>
          <w:tcPr>
            <w:tcW w:w="6427" w:type="dxa"/>
            <w:gridSpan w:val="5"/>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rPr>
                <w:rStyle w:val="SpecialBold"/>
              </w:rPr>
              <w:t>SCOPE</w:t>
            </w:r>
          </w:p>
        </w:tc>
      </w:tr>
      <w:tr w:rsidTr="0034519D">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8"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7F41AA" w:rsidP="007F41AA">
            <w:pPr>
              <w:pStyle w:val="BodyText"/>
            </w:pPr>
            <w:r w:rsidRPr="007F41AA">
              <w:rPr>
                <w:rStyle w:val="SpecialBold"/>
              </w:rPr>
              <w:t>b</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 xml:space="preserve">Safe watchkeeping procedures and </w:t>
            </w:r>
            <w:r w:rsidRPr="007F41AA">
              <w:rPr>
                <w:rStyle w:val="SpecialBold"/>
              </w:rPr>
              <w:t>the operation of shipboard main and auxiliary machinery and associated systems may be carried out</w:t>
            </w:r>
            <w:r w:rsidRPr="007F41AA">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by day or night in both normal and emergency situations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under any permissible conditions of weather </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while underway</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during berthing and unberthing operations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while anchored or moored</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while in dry dock</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when bunkering</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t>8</w:t>
            </w:r>
          </w:p>
        </w:tc>
        <w:tc>
          <w:tcPr>
            <w:tcW w:w="6042" w:type="dxa"/>
            <w:gridSpan w:val="3"/>
            <w:tcBorders>
              <w:top w:val="nil"/>
              <w:left w:val="nil"/>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t>during cargo operations</w:t>
            </w:r>
          </w:p>
        </w:tc>
      </w:tr>
      <w:tr w:rsidTr="0034519D">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8" w:type="dxa"/>
        </w:trPr>
        <w:tc>
          <w:tcPr>
            <w:tcW w:w="345" w:type="dxa"/>
            <w:vMerge w:val="restart"/>
            <w:tcBorders>
              <w:top w:val="nil"/>
              <w:left w:val="nil"/>
              <w:bottom w:val="single" w:sz="6" w:space="0" w:color="auto"/>
              <w:right w:val="nil"/>
            </w:tcBorders>
            <w:tcMar>
              <w:top w:w="0" w:type="dxa"/>
              <w:left w:w="62" w:type="dxa"/>
              <w:bottom w:w="0" w:type="dxa"/>
              <w:right w:w="62" w:type="dxa"/>
            </w:tcMar>
          </w:tcPr>
          <w:p w:rsidR="00000000" w:rsidRPr="007F41AA" w:rsidP="007F41AA">
            <w:pPr>
              <w:pStyle w:val="BodyText"/>
            </w:pPr>
            <w:r w:rsidRPr="007F41AA">
              <w:rPr>
                <w:rStyle w:val="SpecialBold"/>
              </w:rPr>
              <w:t>c</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Propulsion plant configurations may include</w:t>
            </w:r>
            <w:r w:rsidRPr="007F41A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low speed, medium and high speed diesel propulsion</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stern tube bearing</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fixed pitch and CPP</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direct drive shaft</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diesel electric</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steam plant</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gas turbine</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reduction gears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thrust blocks, detuners and shaft bearings</w:t>
            </w:r>
          </w:p>
        </w:tc>
      </w:tr>
      <w:tr w:rsidTr="0034519D">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8"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Main and auxiliary machinery and associated systems may include</w:t>
            </w:r>
            <w:r w:rsidRPr="007F41A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steam turbine, diesel, diesel electric and gas turbine propulsion systems and controls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steam boilers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steering gear, stabilisers, bow thrusters, rudders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fluid power systems and controls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pumps and pumping systems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6042"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auxiliary systems and controls, including</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fresh and salt water cooling systems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lubricating oil cooling systems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iii</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fuel, oil, gas, coal systems and centrifuges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iv</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air compressor and air starting systems</w:t>
            </w:r>
          </w:p>
        </w:tc>
      </w:tr>
      <w:tr w:rsidTr="0034519D">
        <w:tblPrEx>
          <w:tblW w:w="0" w:type="auto"/>
          <w:tblLayout w:type="fixed"/>
          <w:tblCellMar>
            <w:left w:w="62" w:type="dxa"/>
            <w:right w:w="62" w:type="dxa"/>
          </w:tblCellMar>
          <w:tblLook w:val="0000"/>
        </w:tblPrEx>
        <w:trPr>
          <w:gridAfter w:val="1"/>
          <w:wAfter w:w="2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v</w:t>
            </w:r>
          </w:p>
        </w:tc>
        <w:tc>
          <w:tcPr>
            <w:tcW w:w="5623"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lubrication</w:t>
            </w:r>
          </w:p>
        </w:tc>
      </w:tr>
    </w:tbl>
    <w:p w:rsidR="00000000" w:rsidRPr="007F41AA" w:rsidP="007F41AA">
      <w:pPr>
        <w:pStyle w:val="BodyText"/>
      </w:pPr>
    </w:p>
    <w:tbl>
      <w:tblPr>
        <w:tblW w:w="0" w:type="auto"/>
        <w:tblLayout w:type="fixed"/>
        <w:tblCellMar>
          <w:left w:w="62" w:type="dxa"/>
          <w:right w:w="62" w:type="dxa"/>
        </w:tblCellMar>
        <w:tblLook w:val="0000"/>
      </w:tblPr>
      <w:tblGrid>
        <w:gridCol w:w="345"/>
        <w:gridCol w:w="1745"/>
        <w:gridCol w:w="357"/>
        <w:gridCol w:w="54"/>
        <w:gridCol w:w="28"/>
        <w:gridCol w:w="337"/>
        <w:gridCol w:w="5342"/>
        <w:gridCol w:w="281"/>
        <w:gridCol w:w="28"/>
        <w:gridCol w:w="12"/>
        <w:gridCol w:w="20"/>
      </w:tblGrid>
      <w:tr w:rsidTr="0034519D">
        <w:tblPrEx>
          <w:tblW w:w="0" w:type="auto"/>
          <w:tblLayout w:type="fixed"/>
          <w:tblCellMar>
            <w:left w:w="62" w:type="dxa"/>
            <w:right w:w="62" w:type="dxa"/>
          </w:tblCellMar>
          <w:tblLook w:val="0000"/>
        </w:tblPrEx>
        <w:trPr>
          <w:gridAfter w:val="4"/>
          <w:wAfter w:w="341" w:type="dxa"/>
          <w:tblHeader/>
        </w:trPr>
        <w:tc>
          <w:tcPr>
            <w:tcW w:w="820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Range Statement</w:t>
            </w:r>
            <w:r w:rsidRPr="007F41AA">
              <w:t xml:space="preserve"> (</w:t>
            </w:r>
            <w:r w:rsidRPr="007F41AA">
              <w:rPr>
                <w:rStyle w:val="SpecialBold"/>
              </w:rPr>
              <w:t>continued</w:t>
            </w:r>
            <w:r w:rsidRPr="007F41AA">
              <w:t xml:space="preserve">) </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VARIABLE</w:t>
            </w:r>
          </w:p>
        </w:tc>
        <w:tc>
          <w:tcPr>
            <w:tcW w:w="6427" w:type="dxa"/>
            <w:gridSpan w:val="7"/>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SCOPE</w:t>
            </w:r>
          </w:p>
        </w:tc>
      </w:tr>
      <w:tr w:rsidTr="0034519D">
        <w:tblPrEx>
          <w:tblW w:w="0" w:type="auto"/>
          <w:tblLayout w:type="fixed"/>
          <w:tblCellMar>
            <w:left w:w="62" w:type="dxa"/>
            <w:right w:w="62" w:type="dxa"/>
          </w:tblCellMar>
          <w:tblLook w:val="0000"/>
        </w:tblPrEx>
        <w:trPr>
          <w:gridAfter w:val="3"/>
          <w:wAfter w:w="60" w:type="dxa"/>
        </w:trPr>
        <w:tc>
          <w:tcPr>
            <w:tcW w:w="345" w:type="dxa"/>
            <w:vMerge w:val="restart"/>
            <w:tcBorders>
              <w:top w:val="single" w:sz="6" w:space="0" w:color="auto"/>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SpecialBold"/>
              </w:rPr>
              <w:t>d</w:t>
            </w:r>
          </w:p>
        </w:tc>
        <w:tc>
          <w:tcPr>
            <w:tcW w:w="1745"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Main and auxiliary machinery and associated systems may include</w:t>
            </w:r>
            <w:r w:rsidRPr="007F41AA">
              <w:t>:</w:t>
            </w:r>
          </w:p>
          <w:p w:rsidR="00000000" w:rsidP="007F41AA">
            <w:pPr>
              <w:pStyle w:val="BodyText"/>
              <w:rPr>
                <w:lang w:val="en-NZ"/>
              </w:rPr>
            </w:pPr>
            <w:r w:rsidRPr="007F41AA">
              <w:t>(</w:t>
            </w:r>
            <w:r w:rsidRPr="007F41AA">
              <w:rPr>
                <w:rStyle w:val="SpecialBold"/>
              </w:rPr>
              <w:t>continued</w:t>
            </w:r>
            <w:r w:rsidRPr="007F41AA">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gridSpan w:val="3"/>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vi</w:t>
            </w:r>
          </w:p>
        </w:tc>
        <w:tc>
          <w:tcPr>
            <w:tcW w:w="5623"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on-board air compressors and compressed air and control air systems</w:t>
            </w:r>
          </w:p>
        </w:tc>
      </w:tr>
      <w:tr w:rsidTr="0034519D">
        <w:tblPrEx>
          <w:tblW w:w="0" w:type="auto"/>
          <w:tblLayout w:type="fixed"/>
          <w:tblCellMar>
            <w:left w:w="62" w:type="dxa"/>
            <w:right w:w="62" w:type="dxa"/>
          </w:tblCellMar>
          <w:tblLook w:val="0000"/>
        </w:tblPrEx>
        <w:trPr>
          <w:gridAfter w:val="3"/>
          <w:wAfter w:w="6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vii</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waste management and pollution control systems </w:t>
            </w:r>
          </w:p>
        </w:tc>
      </w:tr>
      <w:tr w:rsidTr="0034519D">
        <w:tblPrEx>
          <w:tblW w:w="0" w:type="auto"/>
          <w:tblLayout w:type="fixed"/>
          <w:tblCellMar>
            <w:left w:w="62" w:type="dxa"/>
            <w:right w:w="62" w:type="dxa"/>
          </w:tblCellMar>
          <w:tblLook w:val="0000"/>
        </w:tblPrEx>
        <w:trPr>
          <w:gridAfter w:val="3"/>
          <w:wAfter w:w="6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9"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viii</w:t>
            </w:r>
          </w:p>
        </w:tc>
        <w:tc>
          <w:tcPr>
            <w:tcW w:w="5623"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sewage plant</w:t>
            </w:r>
          </w:p>
        </w:tc>
      </w:tr>
      <w:tr w:rsidTr="0034519D">
        <w:tblPrEx>
          <w:tblW w:w="0" w:type="auto"/>
          <w:tblLayout w:type="fixed"/>
          <w:tblCellMar>
            <w:left w:w="62" w:type="dxa"/>
            <w:right w:w="62" w:type="dxa"/>
          </w:tblCellMar>
          <w:tblLook w:val="0000"/>
        </w:tblPrEx>
        <w:trPr>
          <w:gridAfter w:val="3"/>
          <w:wAfter w:w="60" w:type="dxa"/>
        </w:trPr>
        <w:tc>
          <w:tcPr>
            <w:tcW w:w="345"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42"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portable and fixed firefighting installations and fire control systems</w:t>
            </w:r>
          </w:p>
        </w:tc>
      </w:tr>
      <w:tr w:rsidTr="0034519D">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e</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 xml:space="preserve">Potential hazards during operation of main and auxiliary machinery and associated systems may </w:t>
            </w:r>
            <w:r w:rsidRPr="007F41AA">
              <w:rPr>
                <w:rStyle w:val="SpecialBold"/>
              </w:rPr>
              <w:t>include</w:t>
            </w:r>
            <w:r w:rsidRPr="007F41AA">
              <w:t>:</w:t>
            </w: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cold pipes and valves (refrigeration and liquefied gas cargoes)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dangerous atmosphere</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electrical wiring and systems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faulty machinery equipment handling equipment and lifting gear</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flammable liquids, vapours and fuel</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hot pipes and valves (water, steam, gas, fuel oil, lubricating oil)</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machinery overload</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moving and rotating machinery</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moving heavy loads using unsafe lifting procedures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10</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non-compliance with safe working procedures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11</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noxious and dangerous cargoes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12</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operating equipment beyond safe working limits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13</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overspeeding of machinery (electrical generation and main propulsion) </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14</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emergency trips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15</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poor housekeeping procedures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16</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power tools and other sharp tools and implements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17</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slippery deck</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18</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unsecured machinery, components or equipment</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19</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using equipment beyond safe working limits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20</w:t>
            </w:r>
          </w:p>
        </w:tc>
        <w:tc>
          <w:tcPr>
            <w:tcW w:w="6000"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working at heights and in confined spaces</w:t>
            </w:r>
          </w:p>
        </w:tc>
      </w:tr>
      <w:tr w:rsidTr="0034519D">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9"/>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Emergencies may include</w:t>
            </w:r>
            <w:r w:rsidRPr="007F41AA">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28" w:type="dxa"/>
            <w:gridSpan w:val="6"/>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loss of propulsion or steering</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28" w:type="dxa"/>
            <w:gridSpan w:val="6"/>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flooding of engine room</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28" w:type="dxa"/>
            <w:gridSpan w:val="6"/>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fire or explosion in engine room</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28" w:type="dxa"/>
            <w:gridSpan w:val="6"/>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loss of refrigeration </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28" w:type="dxa"/>
            <w:gridSpan w:val="6"/>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loss of water making ability</w:t>
            </w:r>
          </w:p>
        </w:tc>
      </w:tr>
    </w:tbl>
    <w:p w:rsidR="00000000" w:rsidRPr="007F41AA" w:rsidP="007F41AA">
      <w:pPr>
        <w:pStyle w:val="BodyText"/>
      </w:pPr>
    </w:p>
    <w:tbl>
      <w:tblPr>
        <w:tblW w:w="0" w:type="auto"/>
        <w:tblLayout w:type="fixed"/>
        <w:tblCellMar>
          <w:left w:w="62" w:type="dxa"/>
          <w:right w:w="62" w:type="dxa"/>
        </w:tblCellMar>
        <w:tblLook w:val="0000"/>
      </w:tblPr>
      <w:tblGrid>
        <w:gridCol w:w="345"/>
        <w:gridCol w:w="1748"/>
        <w:gridCol w:w="349"/>
        <w:gridCol w:w="59"/>
        <w:gridCol w:w="43"/>
        <w:gridCol w:w="445"/>
        <w:gridCol w:w="5219"/>
        <w:gridCol w:w="321"/>
        <w:gridCol w:w="20"/>
      </w:tblGrid>
      <w:tr w:rsidTr="0034519D">
        <w:tblPrEx>
          <w:tblW w:w="0" w:type="auto"/>
          <w:tblLayout w:type="fixed"/>
          <w:tblCellMar>
            <w:left w:w="62" w:type="dxa"/>
            <w:right w:w="62" w:type="dxa"/>
          </w:tblCellMar>
          <w:tblLook w:val="0000"/>
        </w:tblPrEx>
        <w:trPr>
          <w:gridAfter w:val="2"/>
          <w:wAfter w:w="341" w:type="dxa"/>
          <w:tblHeader/>
        </w:trPr>
        <w:tc>
          <w:tcPr>
            <w:tcW w:w="820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Range Statement</w:t>
            </w:r>
            <w:r w:rsidRPr="007F41AA">
              <w:t xml:space="preserve"> (</w:t>
            </w:r>
            <w:r w:rsidRPr="007F41AA">
              <w:rPr>
                <w:rStyle w:val="SpecialBold"/>
              </w:rPr>
              <w:t>continued</w:t>
            </w:r>
            <w:r w:rsidRPr="007F41AA">
              <w:t xml:space="preserve">) </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VARIABLE</w:t>
            </w:r>
          </w:p>
        </w:tc>
        <w:tc>
          <w:tcPr>
            <w:tcW w:w="6456" w:type="dxa"/>
            <w:gridSpan w:val="7"/>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SCOPE</w:t>
            </w: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SpecialBold"/>
              </w:rPr>
              <w:t>f</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Emergencies may include</w:t>
            </w:r>
            <w:r w:rsidRPr="007F41AA">
              <w:t>:</w:t>
            </w:r>
          </w:p>
          <w:p w:rsidR="00000000" w:rsidP="007F41AA">
            <w:pPr>
              <w:pStyle w:val="BodyText"/>
              <w:rPr>
                <w:lang w:val="en-NZ"/>
              </w:rPr>
            </w:pPr>
            <w:r w:rsidRPr="007F41AA">
              <w:t>(</w:t>
            </w:r>
            <w:r w:rsidRPr="007F41AA">
              <w:rPr>
                <w:rStyle w:val="SpecialBold"/>
              </w:rPr>
              <w:t>continued</w:t>
            </w:r>
            <w:r w:rsidRPr="007F41AA">
              <w:t xml:space="preserve">) </w:t>
            </w: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6</w:t>
            </w:r>
          </w:p>
        </w:tc>
        <w:tc>
          <w:tcPr>
            <w:tcW w:w="6028" w:type="dxa"/>
            <w:gridSpan w:val="4"/>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fuel oil, lubrication oil, steam and gas leaks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28"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loss of electrical power</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6028"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pump failure</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6028"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overheating and overspeed of machinery, governors, emergency trips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10</w:t>
            </w:r>
          </w:p>
        </w:tc>
        <w:tc>
          <w:tcPr>
            <w:tcW w:w="6028"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electric shock</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8" w:type="dxa"/>
            <w:gridSpan w:val="2"/>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11</w:t>
            </w:r>
          </w:p>
        </w:tc>
        <w:tc>
          <w:tcPr>
            <w:tcW w:w="6028" w:type="dxa"/>
            <w:gridSpan w:val="4"/>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machinery failure (main or auxiliary)</w:t>
            </w:r>
          </w:p>
          <w:p w:rsidR="00000000" w:rsidP="007F41AA">
            <w:pPr>
              <w:pStyle w:val="BodyText"/>
              <w:rPr>
                <w:lang w:val="en-NZ"/>
              </w:rPr>
            </w:pPr>
          </w:p>
        </w:tc>
      </w:tr>
      <w:tr w:rsidTr="0034519D">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g</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Testing and repair equipment may include</w:t>
            </w:r>
            <w:r w:rsidRPr="007F41AA">
              <w:t>:</w:t>
            </w: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meters and gauges (including micrometers, vernier callipers, rules)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computer displays of performance parameters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hand tools, such as spanners, wrenches, screwdrivers, hacksaws, etc.</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greasing and lubrication tools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electric power tools, such as grinders, lathes, drills, etc.</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6</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pneumatic power tools, such as grinders, sanders, drills, etc.</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welding equipment</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block and tackle</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9</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portable and manual lifting equipment and hydraulic jacks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10</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material safety data sheets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11</w:t>
            </w:r>
          </w:p>
        </w:tc>
        <w:tc>
          <w:tcPr>
            <w:tcW w:w="6005" w:type="dxa"/>
            <w:gridSpan w:val="4"/>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protective clothing and equipment such as: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w:t>
            </w:r>
          </w:p>
        </w:tc>
        <w:tc>
          <w:tcPr>
            <w:tcW w:w="556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eye and ear protection and safety boots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w:t>
            </w:r>
          </w:p>
        </w:tc>
        <w:tc>
          <w:tcPr>
            <w:tcW w:w="556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dust and fume masks</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iii</w:t>
            </w:r>
          </w:p>
        </w:tc>
        <w:tc>
          <w:tcPr>
            <w:tcW w:w="556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safety helmet</w:t>
            </w:r>
          </w:p>
        </w:tc>
      </w:tr>
      <w:tr w:rsidTr="0034519D">
        <w:tblPrEx>
          <w:tblW w:w="0" w:type="auto"/>
          <w:tblLayout w:type="fixed"/>
          <w:tblCellMar>
            <w:left w:w="62" w:type="dxa"/>
            <w:right w:w="62" w:type="dxa"/>
          </w:tblCellMar>
          <w:tblLook w:val="0000"/>
        </w:tblPrEx>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 w:type="dxa"/>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iv</w:t>
            </w:r>
          </w:p>
        </w:tc>
        <w:tc>
          <w:tcPr>
            <w:tcW w:w="5560" w:type="dxa"/>
            <w:gridSpan w:val="3"/>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boilersuit/overalls</w:t>
            </w:r>
          </w:p>
        </w:tc>
      </w:tr>
      <w:tr w:rsidTr="0034519D">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h</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Documentation and records</w:t>
            </w:r>
            <w:r w:rsidRPr="007F41AA">
              <w:t xml:space="preserve"> </w:t>
            </w:r>
            <w:r w:rsidRPr="007F41AA">
              <w:rPr>
                <w:rStyle w:val="SpecialBold"/>
              </w:rPr>
              <w:t>may include</w:t>
            </w:r>
            <w:r w:rsidRPr="007F41AA">
              <w:t xml:space="preserve"> </w:t>
            </w: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87"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ISM Code safety management system plans, procedures, checklists and instructions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87"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vessel and company's planned pumping systems, operational procedures and instructions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87"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pumping equipment and vessel manufacturer's specifications, instructions and recommended procedures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4</w:t>
            </w:r>
          </w:p>
        </w:tc>
        <w:tc>
          <w:tcPr>
            <w:tcW w:w="6087" w:type="dxa"/>
            <w:gridSpan w:val="5"/>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pumping systems running sheets, o</w:t>
            </w:r>
            <w:r w:rsidRPr="007F41AA">
              <w:t>perations logs and other operational records, including computer database of running information, where relevant</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5</w:t>
            </w:r>
          </w:p>
        </w:tc>
        <w:tc>
          <w:tcPr>
            <w:tcW w:w="6087" w:type="dxa"/>
            <w:gridSpan w:val="5"/>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vessel's survey (class and statutory) procedures and instructions as they relate to shipboard main and auxiliary machinery and associated systems</w:t>
            </w:r>
          </w:p>
        </w:tc>
      </w:tr>
    </w:tbl>
    <w:p w:rsidR="00000000" w:rsidRPr="007F41AA" w:rsidP="007F41AA">
      <w:pPr>
        <w:pStyle w:val="BodyText"/>
      </w:pPr>
    </w:p>
    <w:tbl>
      <w:tblPr>
        <w:tblW w:w="0" w:type="auto"/>
        <w:tblLayout w:type="fixed"/>
        <w:tblCellMar>
          <w:left w:w="62" w:type="dxa"/>
          <w:right w:w="62" w:type="dxa"/>
        </w:tblCellMar>
        <w:tblLook w:val="0000"/>
      </w:tblPr>
      <w:tblGrid>
        <w:gridCol w:w="345"/>
        <w:gridCol w:w="1748"/>
        <w:gridCol w:w="349"/>
        <w:gridCol w:w="5766"/>
        <w:gridCol w:w="321"/>
        <w:gridCol w:w="20"/>
      </w:tblGrid>
      <w:tr w:rsidTr="0034519D">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1AA" w:rsidP="007F41AA">
            <w:pPr>
              <w:pStyle w:val="BodyText"/>
            </w:pPr>
            <w:r w:rsidRPr="007F41AA">
              <w:rPr>
                <w:rStyle w:val="SpecialBold"/>
              </w:rPr>
              <w:t>Range Statement</w:t>
            </w:r>
            <w:r w:rsidRPr="007F41AA">
              <w:t xml:space="preserve"> (</w:t>
            </w:r>
            <w:r w:rsidRPr="007F41AA">
              <w:rPr>
                <w:rStyle w:val="SpecialBold"/>
              </w:rPr>
              <w:t>continued</w:t>
            </w:r>
            <w:r w:rsidRPr="007F41AA">
              <w:t xml:space="preserve">) </w:t>
            </w:r>
          </w:p>
          <w:p w:rsidR="00000000" w:rsidP="007F41AA">
            <w:pPr>
              <w:pStyle w:val="BodyText"/>
              <w:rPr>
                <w:lang w:val="en-NZ"/>
              </w:rPr>
            </w:pPr>
            <w:r w:rsidRPr="007F41AA">
              <w:rPr>
                <w:rStyle w:val="SpecialBold"/>
              </w:rPr>
              <w:t>TDMMR1107B OPERATE MAIN AND AUXILIARY MACHINERY AND ASSOCIATED CONTROL SYSTEMS</w:t>
            </w:r>
          </w:p>
        </w:tc>
      </w:tr>
      <w:tr w:rsidTr="0034519D">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F41AA">
            <w:pPr>
              <w:pStyle w:val="BodyText"/>
              <w:rPr>
                <w:lang w:val="en-NZ"/>
              </w:rPr>
            </w:pPr>
            <w:r w:rsidRPr="007F41AA">
              <w:rPr>
                <w:rStyle w:val="SpecialBold"/>
              </w:rPr>
              <w:t>SCOPE</w:t>
            </w: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rPr>
                <w:rStyle w:val="SpecialBold"/>
              </w:rPr>
              <w:t>h</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RPr="007F41AA" w:rsidP="007F41AA">
            <w:pPr>
              <w:pStyle w:val="BodyText"/>
            </w:pPr>
          </w:p>
          <w:p w:rsidR="00000000" w:rsidRPr="007F41AA" w:rsidP="007F41AA">
            <w:pPr>
              <w:pStyle w:val="BodyText"/>
            </w:pPr>
            <w:r w:rsidRPr="007F41AA">
              <w:rPr>
                <w:rStyle w:val="SpecialBold"/>
              </w:rPr>
              <w:t>Documentation and records</w:t>
            </w:r>
            <w:r w:rsidRPr="007F41AA">
              <w:t xml:space="preserve"> </w:t>
            </w:r>
            <w:r w:rsidRPr="007F41AA">
              <w:rPr>
                <w:rStyle w:val="SpecialBold"/>
              </w:rPr>
              <w:t>may include</w:t>
            </w:r>
          </w:p>
          <w:p w:rsidR="00000000" w:rsidP="007F41AA">
            <w:pPr>
              <w:pStyle w:val="BodyText"/>
              <w:rPr>
                <w:lang w:val="en-NZ"/>
              </w:rPr>
            </w:pPr>
            <w:r w:rsidRPr="007F41AA">
              <w:t>(</w:t>
            </w:r>
            <w:r w:rsidRPr="007F41AA">
              <w:rPr>
                <w:rStyle w:val="SpecialBold"/>
              </w:rPr>
              <w:t>continued</w:t>
            </w:r>
            <w:r w:rsidRPr="007F41AA">
              <w:t xml:space="preserve">)  </w:t>
            </w:r>
          </w:p>
        </w:tc>
        <w:tc>
          <w:tcPr>
            <w:tcW w:w="349" w:type="dxa"/>
            <w:tcBorders>
              <w:top w:val="nil"/>
              <w:left w:val="single" w:sz="6" w:space="0" w:color="auto"/>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6</w:t>
            </w:r>
          </w:p>
        </w:tc>
        <w:tc>
          <w:tcPr>
            <w:tcW w:w="6087"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p>
          <w:p w:rsidR="00000000" w:rsidP="007F41AA">
            <w:pPr>
              <w:pStyle w:val="BodyText"/>
              <w:rPr>
                <w:lang w:val="en-NZ"/>
              </w:rPr>
            </w:pPr>
            <w:r w:rsidRPr="007F41AA">
              <w:t>vessel's safety and emergency contingency plans and procedures</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7</w:t>
            </w:r>
          </w:p>
        </w:tc>
        <w:tc>
          <w:tcPr>
            <w:tcW w:w="608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 xml:space="preserve">relevant sections of national and international maritime regulations, </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8</w:t>
            </w:r>
          </w:p>
        </w:tc>
        <w:tc>
          <w:tcPr>
            <w:tcW w:w="608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instructions of relevant maritime authorities and class societies concerning shipboard main and auxiliary machinery and associated systems operation</w:t>
            </w:r>
          </w:p>
        </w:tc>
      </w:tr>
      <w:tr w:rsidTr="0034519D">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F41AA">
            <w:pPr>
              <w:pStyle w:val="BodyText"/>
              <w:rPr>
                <w:lang w:val="en-NZ"/>
              </w:rPr>
            </w:pPr>
          </w:p>
        </w:tc>
      </w:tr>
      <w:tr w:rsidTr="0034519D">
        <w:tblPrEx>
          <w:tblW w:w="0" w:type="auto"/>
          <w:tblLayout w:type="fixed"/>
          <w:tblCellMar>
            <w:left w:w="62" w:type="dxa"/>
            <w:right w:w="62" w:type="dxa"/>
          </w:tblCellMar>
          <w:tblLook w:val="0000"/>
        </w:tblPrEx>
        <w:trPr>
          <w:gridAfter w:val="1"/>
          <w:wAfter w:w="20" w:type="dxa"/>
        </w:trPr>
        <w:tc>
          <w:tcPr>
            <w:tcW w:w="345" w:type="dxa"/>
            <w:vMerge w:val="restart"/>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rPr>
                <w:rStyle w:val="SpecialBold"/>
              </w:rPr>
              <w:t>i</w:t>
            </w:r>
          </w:p>
        </w:tc>
        <w:tc>
          <w:tcPr>
            <w:tcW w:w="1748" w:type="dxa"/>
            <w:vMerge w:val="restart"/>
            <w:tcBorders>
              <w:top w:val="nil"/>
              <w:left w:val="nil"/>
              <w:bottom w:val="nil"/>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Applicable regulations and legislation may include</w:t>
            </w:r>
            <w:r w:rsidRPr="007F41AA">
              <w:t xml:space="preserve"> </w:t>
            </w: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1</w:t>
            </w:r>
          </w:p>
        </w:tc>
        <w:tc>
          <w:tcPr>
            <w:tcW w:w="608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sections of national and international regulations, IMO Conventions and Codes, including AMSA Marine Orders and class society rules related to the operation of main and auxiliary machinery and associated systems on vessels of unlimited propulsion power</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2</w:t>
            </w:r>
          </w:p>
        </w:tc>
        <w:tc>
          <w:tcPr>
            <w:tcW w:w="6087" w:type="dxa"/>
            <w:gridSpan w:val="2"/>
            <w:tcBorders>
              <w:top w:val="nil"/>
              <w:left w:val="nil"/>
              <w:bottom w:val="nil"/>
              <w:right w:val="nil"/>
            </w:tcBorders>
            <w:tcMar>
              <w:top w:w="0" w:type="dxa"/>
              <w:left w:w="62" w:type="dxa"/>
              <w:bottom w:w="0" w:type="dxa"/>
              <w:right w:w="62" w:type="dxa"/>
            </w:tcMar>
          </w:tcPr>
          <w:p w:rsidR="00000000" w:rsidP="007F41AA">
            <w:pPr>
              <w:pStyle w:val="BodyText"/>
              <w:rPr>
                <w:lang w:val="en-NZ"/>
              </w:rPr>
            </w:pPr>
            <w:r w:rsidRPr="007F41AA">
              <w:t>relevant international, Commonwealth, State and Territory OH&amp;S legislation</w:t>
            </w:r>
          </w:p>
        </w:tc>
      </w:tr>
      <w:tr w:rsidTr="0034519D">
        <w:tblPrEx>
          <w:tblW w:w="0" w:type="auto"/>
          <w:tblLayout w:type="fixed"/>
          <w:tblCellMar>
            <w:left w:w="62" w:type="dxa"/>
            <w:right w:w="62" w:type="dxa"/>
          </w:tblCellMar>
          <w:tblLook w:val="0000"/>
        </w:tblPrEx>
        <w:trPr>
          <w:gridAfter w:val="1"/>
          <w:wAfter w:w="20"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single" w:sz="6" w:space="0" w:color="auto"/>
              <w:bottom w:val="nil"/>
              <w:right w:val="nil"/>
            </w:tcBorders>
            <w:tcMar>
              <w:top w:w="0" w:type="dxa"/>
              <w:left w:w="62" w:type="dxa"/>
              <w:bottom w:w="0" w:type="dxa"/>
              <w:right w:w="62" w:type="dxa"/>
            </w:tcMar>
          </w:tcPr>
          <w:p w:rsidR="00000000" w:rsidP="007F41AA">
            <w:pPr>
              <w:pStyle w:val="BodyText"/>
              <w:rPr>
                <w:lang w:val="en-NZ"/>
              </w:rPr>
            </w:pPr>
            <w:r w:rsidRPr="007F41AA">
              <w:t>3</w:t>
            </w:r>
          </w:p>
        </w:tc>
        <w:tc>
          <w:tcPr>
            <w:tcW w:w="6087" w:type="dxa"/>
            <w:gridSpan w:val="2"/>
            <w:tcBorders>
              <w:top w:val="nil"/>
              <w:left w:val="nil"/>
              <w:bottom w:val="nil"/>
              <w:right w:val="nil"/>
            </w:tcBorders>
            <w:tcMar>
              <w:top w:w="0" w:type="dxa"/>
              <w:left w:w="62" w:type="dxa"/>
              <w:bottom w:w="0" w:type="dxa"/>
              <w:right w:w="62" w:type="dxa"/>
            </w:tcMar>
          </w:tcPr>
          <w:p w:rsidR="00000000" w:rsidRPr="007F41AA" w:rsidP="007F41AA">
            <w:pPr>
              <w:pStyle w:val="BodyText"/>
            </w:pPr>
            <w:r w:rsidRPr="007F41AA">
              <w:t>relevant international, Commonwealth, State and Territory engineering practice standards</w:t>
            </w:r>
          </w:p>
        </w:tc>
      </w:tr>
    </w:tbl>
    <w:p w:rsidR="00000000" w:rsidRPr="007F41AA" w:rsidP="007F41AA">
      <w:pPr>
        <w:pStyle w:val="BodyText"/>
      </w:pPr>
    </w:p>
    <w:p w:rsidR="00000000" w:rsidRPr="007F41AA" w:rsidP="007F41AA">
      <w:pPr>
        <w:pStyle w:val="AllowPageBreak"/>
      </w:pPr>
    </w:p>
    <w:p w:rsidR="00000000" w:rsidRPr="007F41AA" w:rsidP="007F41AA">
      <w:pPr>
        <w:pStyle w:val="Heading1"/>
      </w:pPr>
      <w:bookmarkStart w:id="12" w:name="O_151790"/>
      <w:bookmarkEnd w:id="12"/>
      <w:r w:rsidRPr="007F41AA">
        <w:t>Unit Sector(s)</w:t>
      </w:r>
    </w:p>
    <w:p w:rsidR="00000000" w:rsidRPr="007F41AA" w:rsidP="007F41AA">
      <w:pPr>
        <w:pStyle w:val="BodyText"/>
      </w:pPr>
      <w:r w:rsidRPr="007F41AA">
        <w:t>Not applicable.</w:t>
      </w:r>
    </w:p>
    <w:p w:rsidR="00000000" w:rsidRPr="007F41AA" w:rsidP="007F41AA">
      <w:pPr>
        <w:pStyle w:val="AllowPageBreak"/>
      </w:pPr>
    </w:p>
    <w:p w:rsidR="00000000" w:rsidRPr="007F41AA" w:rsidP="007F41AA">
      <w:pPr>
        <w:pStyle w:val="Heading1"/>
      </w:pPr>
      <w:bookmarkStart w:id="13" w:name="O_163862"/>
      <w:bookmarkEnd w:id="13"/>
      <w:r w:rsidRPr="007F41AA">
        <w:t>Field</w:t>
      </w:r>
    </w:p>
    <w:p w:rsidR="0034519D" w:rsidP="007F41AA">
      <w:pPr>
        <w:pStyle w:val="BodyText"/>
      </w:pPr>
      <w:r w:rsidRPr="007F41AA">
        <w:t>Field</w:t>
      </w:r>
      <w:r w:rsidRPr="007F41AA">
        <w:tab/>
        <w:t>R</w:t>
      </w:r>
      <w:r w:rsidRPr="007F41AA">
        <w:tab/>
      </w:r>
      <w:r w:rsidRPr="007F41AA">
        <w:t>Carry Out Operations on Equipment and Systems</w:t>
      </w:r>
    </w:p>
    <w:p w:rsidR="0034519D" w:rsidP="007F41AA">
      <w:pPr>
        <w:pStyle w:val="BodyText"/>
      </w:pPr>
    </w:p>
    <w:p w:rsidR="00000000" w:rsidRPr="007F41AA" w:rsidP="007F41AA">
      <w:pPr>
        <w:pStyle w:val="Heading1"/>
      </w:pPr>
      <w:bookmarkStart w:id="14" w:name="O_163863"/>
      <w:bookmarkEnd w:id="14"/>
      <w:r w:rsidRPr="007F41AA">
        <w:t>Relationship to other units</w:t>
      </w:r>
    </w:p>
    <w:tbl>
      <w:tblPr>
        <w:tblW w:w="0" w:type="auto"/>
        <w:tblLayout w:type="fixed"/>
        <w:tblCellMar>
          <w:left w:w="62" w:type="dxa"/>
          <w:right w:w="62" w:type="dxa"/>
        </w:tblCellMar>
        <w:tblLook w:val="0000"/>
      </w:tblPr>
      <w:tblGrid>
        <w:gridCol w:w="1974"/>
        <w:gridCol w:w="6481"/>
      </w:tblGrid>
      <w:tr w:rsidTr="0034519D">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1AA">
            <w:pPr>
              <w:pStyle w:val="BodyText"/>
              <w:rPr>
                <w:lang w:val="en-NZ"/>
              </w:rPr>
            </w:pPr>
            <w:r w:rsidRPr="007F41AA">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1AA" w:rsidP="007F41AA">
            <w:pPr>
              <w:pStyle w:val="BodyText"/>
            </w:pPr>
            <w:r w:rsidRPr="007F41AA">
              <w:t>The unit must be assessed in conjunction with other units that relate to the functions of the occupation(s) concerned.</w:t>
            </w:r>
          </w:p>
        </w:tc>
      </w:tr>
    </w:tbl>
    <w:p w:rsidR="00000000" w:rsidRPr="007F41AA" w:rsidP="007F41AA">
      <w:pPr>
        <w:pStyle w:val="BodyText"/>
      </w:pPr>
    </w:p>
    <w:p w:rsidR="00000000" w:rsidRPr="007F41AA" w:rsidP="007F41AA"/>
    <w:sectPr w:rsidSect="007F41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19D" w:rsidP="003451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9D" w:rsidP="007F41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22</w:t>
    </w:r>
    <w:r>
      <w:rPr>
        <w:noProof/>
      </w:rPr>
      <w:fldChar w:fldCharType="end"/>
    </w:r>
  </w:p>
  <w:p w:rsidR="0034519D" w:rsidP="007F41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4519D" w:rsidP="007F41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AA" w:rsidRPr="0034519D" w:rsidP="003451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19D" w:rsidRPr="002D2AF8" w:rsidP="007F41AA">
    <w:pPr>
      <w:pStyle w:val="Header"/>
      <w:framePr w:wrap="around"/>
    </w:pPr>
    <w:r>
      <w:fldChar w:fldCharType="begin"/>
    </w:r>
    <w:r>
      <w:instrText xml:space="preserve"> TITLE   \* MERGEFORMAT </w:instrText>
    </w:r>
    <w:r>
      <w:fldChar w:fldCharType="separate"/>
    </w:r>
    <w:r>
      <w:t>TDMMR1107B OPERATE MAIN AND AUXILIARY MACHINERY AND ASSOCIATED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4519D" w:rsidP="007F41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329A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1AA"/>
    <w:pPr>
      <w:spacing w:before="360" w:after="60"/>
      <w:outlineLvl w:val="0"/>
    </w:pPr>
    <w:rPr>
      <w:sz w:val="32"/>
    </w:rPr>
  </w:style>
  <w:style w:type="paragraph" w:styleId="Heading2">
    <w:name w:val="heading 2"/>
    <w:basedOn w:val="HeadingBase"/>
    <w:next w:val="BodyText"/>
    <w:link w:val="Heading2Char"/>
    <w:qFormat/>
    <w:rsid w:val="007F41AA"/>
    <w:pPr>
      <w:keepLines/>
      <w:spacing w:before="240" w:after="120"/>
      <w:outlineLvl w:val="1"/>
    </w:pPr>
    <w:rPr>
      <w:sz w:val="28"/>
      <w:szCs w:val="40"/>
    </w:rPr>
  </w:style>
  <w:style w:type="paragraph" w:styleId="Heading3">
    <w:name w:val="heading 3"/>
    <w:basedOn w:val="HeadingBase"/>
    <w:next w:val="BodyText"/>
    <w:link w:val="Heading3Char"/>
    <w:qFormat/>
    <w:rsid w:val="007F41AA"/>
    <w:pPr>
      <w:spacing w:before="180" w:after="120"/>
      <w:outlineLvl w:val="2"/>
    </w:pPr>
    <w:rPr>
      <w:spacing w:val="-10"/>
      <w:kern w:val="32"/>
    </w:rPr>
  </w:style>
  <w:style w:type="paragraph" w:styleId="Heading4">
    <w:name w:val="heading 4"/>
    <w:basedOn w:val="HeadingBase"/>
    <w:next w:val="BodyText"/>
    <w:link w:val="Heading4Char"/>
    <w:qFormat/>
    <w:rsid w:val="007F41AA"/>
    <w:pPr>
      <w:spacing w:before="160" w:after="120"/>
      <w:outlineLvl w:val="3"/>
    </w:pPr>
    <w:rPr>
      <w:sz w:val="22"/>
    </w:rPr>
  </w:style>
  <w:style w:type="paragraph" w:styleId="Heading5">
    <w:name w:val="heading 5"/>
    <w:basedOn w:val="HeadingBase"/>
    <w:next w:val="Normal"/>
    <w:link w:val="Heading5Char"/>
    <w:qFormat/>
    <w:rsid w:val="007F41AA"/>
    <w:pPr>
      <w:spacing w:before="80"/>
      <w:outlineLvl w:val="4"/>
    </w:pPr>
    <w:rPr>
      <w:color w:val="918585"/>
      <w:sz w:val="20"/>
    </w:rPr>
  </w:style>
  <w:style w:type="paragraph" w:styleId="Heading6">
    <w:name w:val="heading 6"/>
    <w:basedOn w:val="HeadingBase"/>
    <w:next w:val="Normal"/>
    <w:link w:val="Heading6Char"/>
    <w:qFormat/>
    <w:rsid w:val="007F41AA"/>
    <w:pPr>
      <w:spacing w:before="60"/>
      <w:outlineLvl w:val="5"/>
    </w:pPr>
    <w:rPr>
      <w:color w:val="918585"/>
      <w:sz w:val="20"/>
    </w:rPr>
  </w:style>
  <w:style w:type="paragraph" w:styleId="Heading7">
    <w:name w:val="heading 7"/>
    <w:basedOn w:val="Normal"/>
    <w:next w:val="Normal"/>
    <w:link w:val="Heading7Char"/>
    <w:qFormat/>
    <w:rsid w:val="007F41AA"/>
    <w:pPr>
      <w:ind w:left="720"/>
      <w:outlineLvl w:val="6"/>
    </w:pPr>
    <w:rPr>
      <w:i/>
    </w:rPr>
  </w:style>
  <w:style w:type="paragraph" w:styleId="Heading8">
    <w:name w:val="heading 8"/>
    <w:basedOn w:val="Normal"/>
    <w:next w:val="Normal"/>
    <w:link w:val="Heading8Char"/>
    <w:qFormat/>
    <w:rsid w:val="007F41AA"/>
    <w:pPr>
      <w:ind w:left="720"/>
      <w:outlineLvl w:val="7"/>
    </w:pPr>
    <w:rPr>
      <w:i/>
    </w:rPr>
  </w:style>
  <w:style w:type="paragraph" w:styleId="Heading9">
    <w:name w:val="heading 9"/>
    <w:basedOn w:val="Normal"/>
    <w:next w:val="Normal"/>
    <w:link w:val="Heading9Char"/>
    <w:qFormat/>
    <w:rsid w:val="007F41AA"/>
    <w:pPr>
      <w:ind w:left="720"/>
      <w:outlineLvl w:val="8"/>
    </w:pPr>
    <w:rPr>
      <w:i/>
    </w:rPr>
  </w:style>
  <w:style w:type="character" w:default="1" w:styleId="DefaultParagraphFont">
    <w:name w:val="Default Paragraph Font"/>
    <w:uiPriority w:val="1"/>
    <w:unhideWhenUsed/>
    <w:rsid w:val="007F4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1AA"/>
  </w:style>
  <w:style w:type="character" w:customStyle="1" w:styleId="Heading1Char">
    <w:name w:val="Heading 1 Char"/>
    <w:basedOn w:val="DefaultParagraphFont"/>
    <w:link w:val="Heading1"/>
    <w:rsid w:val="007F41AA"/>
    <w:rPr>
      <w:rFonts w:ascii="Times New Roman" w:eastAsia="Times New Roman" w:hAnsi="Times New Roman" w:cs="Times New Roman"/>
      <w:b/>
      <w:sz w:val="32"/>
      <w:szCs w:val="20"/>
      <w:lang w:eastAsia="en-US"/>
    </w:rPr>
  </w:style>
  <w:style w:type="paragraph" w:styleId="BodyText">
    <w:name w:val="Body Text"/>
    <w:basedOn w:val="Normal"/>
    <w:link w:val="BodyTextChar"/>
    <w:rsid w:val="007F41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1AA"/>
    <w:rPr>
      <w:rFonts w:ascii="Times New Roman" w:eastAsia="Times New Roman" w:hAnsi="Times New Roman" w:cs="Times New Roman"/>
      <w:sz w:val="24"/>
      <w:lang w:eastAsia="en-US"/>
    </w:rPr>
  </w:style>
  <w:style w:type="paragraph" w:styleId="Footer">
    <w:name w:val="footer"/>
    <w:basedOn w:val="Normal"/>
    <w:link w:val="FooterChar"/>
    <w:rsid w:val="007F4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1AA"/>
    <w:rPr>
      <w:rFonts w:ascii="Times New Roman" w:eastAsia="Times New Roman" w:hAnsi="Times New Roman" w:cs="Times New Roman"/>
      <w:sz w:val="16"/>
      <w:lang w:eastAsia="en-US"/>
    </w:rPr>
  </w:style>
  <w:style w:type="paragraph" w:styleId="ListBullet">
    <w:name w:val="List Bullet"/>
    <w:basedOn w:val="List"/>
    <w:rsid w:val="007F41AA"/>
    <w:pPr>
      <w:numPr>
        <w:numId w:val="12"/>
      </w:numPr>
      <w:tabs>
        <w:tab w:val="clear" w:pos="340"/>
      </w:tabs>
      <w:spacing w:before="40" w:after="40"/>
    </w:pPr>
  </w:style>
  <w:style w:type="character" w:customStyle="1" w:styleId="SpecialBold">
    <w:name w:val="Special Bold"/>
    <w:basedOn w:val="DefaultParagraphFont"/>
    <w:rsid w:val="007F41AA"/>
    <w:rPr>
      <w:b/>
      <w:spacing w:val="0"/>
    </w:rPr>
  </w:style>
  <w:style w:type="character" w:styleId="Emphasis">
    <w:name w:val="Emphasis"/>
    <w:basedOn w:val="DefaultParagraphFont"/>
    <w:qFormat/>
    <w:rsid w:val="007F41AA"/>
    <w:rPr>
      <w:i/>
    </w:rPr>
  </w:style>
  <w:style w:type="paragraph" w:customStyle="1" w:styleId="SuperHeading">
    <w:name w:val="SuperHeading"/>
    <w:basedOn w:val="Normal"/>
    <w:rsid w:val="007F41AA"/>
    <w:pPr>
      <w:spacing w:before="240" w:after="120"/>
      <w:outlineLvl w:val="0"/>
    </w:pPr>
    <w:rPr>
      <w:rFonts w:ascii="Times New Roman" w:hAnsi="Times New Roman"/>
      <w:b/>
      <w:sz w:val="28"/>
    </w:rPr>
  </w:style>
  <w:style w:type="paragraph" w:customStyle="1" w:styleId="AllowPageBreak">
    <w:name w:val="AllowPageBreak"/>
    <w:rsid w:val="007F41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1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1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1AA"/>
    <w:rPr>
      <w:rFonts w:ascii="Courier New" w:eastAsia="Times New Roman" w:hAnsi="Courier New" w:cs="Times New Roman"/>
      <w:i/>
      <w:szCs w:val="20"/>
      <w:lang w:eastAsia="en-US"/>
    </w:rPr>
  </w:style>
  <w:style w:type="paragraph" w:customStyle="1" w:styleId="HeadingBase">
    <w:name w:val="Heading Base"/>
    <w:rsid w:val="007F4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1AA"/>
    <w:pPr>
      <w:tabs>
        <w:tab w:val="right" w:leader="dot" w:pos="9072"/>
      </w:tabs>
      <w:ind w:left="567"/>
    </w:pPr>
    <w:rPr>
      <w:szCs w:val="22"/>
    </w:rPr>
  </w:style>
  <w:style w:type="paragraph" w:customStyle="1" w:styleId="TOCBase">
    <w:name w:val="TOC Base"/>
    <w:rsid w:val="007F4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1AA"/>
    <w:pPr>
      <w:tabs>
        <w:tab w:val="right" w:leader="dot" w:pos="9072"/>
      </w:tabs>
      <w:spacing w:before="40" w:after="40"/>
      <w:ind w:left="284"/>
    </w:pPr>
    <w:rPr>
      <w:rFonts w:ascii="Times New Roman" w:hAnsi="Times New Roman"/>
    </w:rPr>
  </w:style>
  <w:style w:type="paragraph" w:styleId="TOC1">
    <w:name w:val="toc 1"/>
    <w:basedOn w:val="TOCBase"/>
    <w:next w:val="Normal"/>
    <w:rsid w:val="007F41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1AA"/>
    <w:pPr>
      <w:spacing w:before="5040"/>
      <w:jc w:val="center"/>
    </w:pPr>
    <w:rPr>
      <w:sz w:val="48"/>
      <w:szCs w:val="72"/>
      <w:lang w:val="en-US"/>
    </w:rPr>
  </w:style>
  <w:style w:type="character" w:customStyle="1" w:styleId="TitleChar">
    <w:name w:val="Title Char"/>
    <w:basedOn w:val="DefaultParagraphFont"/>
    <w:link w:val="Title"/>
    <w:rsid w:val="007F4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1AA"/>
    <w:pPr>
      <w:tabs>
        <w:tab w:val="left" w:pos="3600"/>
        <w:tab w:val="left" w:pos="3958"/>
      </w:tabs>
    </w:pPr>
  </w:style>
  <w:style w:type="paragraph" w:styleId="List">
    <w:name w:val="List"/>
    <w:basedOn w:val="BodyText"/>
    <w:next w:val="BodyText"/>
    <w:rsid w:val="007F41AA"/>
    <w:pPr>
      <w:tabs>
        <w:tab w:val="left" w:pos="340"/>
      </w:tabs>
      <w:spacing w:before="60" w:after="60"/>
      <w:ind w:left="340" w:hanging="340"/>
    </w:pPr>
  </w:style>
  <w:style w:type="paragraph" w:customStyle="1" w:styleId="Note">
    <w:name w:val="Note"/>
    <w:basedOn w:val="BodyText"/>
    <w:rsid w:val="007F4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1AA"/>
    <w:pPr>
      <w:framePr w:wrap="auto" w:hAnchor="text" w:y="6049"/>
    </w:pPr>
    <w:rPr>
      <w:color w:val="000000"/>
      <w:sz w:val="40"/>
    </w:rPr>
  </w:style>
  <w:style w:type="paragraph" w:customStyle="1" w:styleId="TOCTitle">
    <w:name w:val="TOCTitle"/>
    <w:basedOn w:val="Heading1"/>
    <w:rsid w:val="007F41AA"/>
    <w:pPr>
      <w:spacing w:after="240"/>
      <w:jc w:val="center"/>
      <w:outlineLvl w:val="9"/>
    </w:pPr>
    <w:rPr>
      <w:caps/>
    </w:rPr>
  </w:style>
  <w:style w:type="paragraph" w:customStyle="1" w:styleId="Version">
    <w:name w:val="Version"/>
    <w:rsid w:val="007F41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1AA"/>
    <w:pPr>
      <w:numPr>
        <w:numId w:val="13"/>
      </w:numPr>
      <w:tabs>
        <w:tab w:val="clear" w:pos="680"/>
      </w:tabs>
    </w:pPr>
  </w:style>
  <w:style w:type="paragraph" w:styleId="Index1">
    <w:name w:val="index 1"/>
    <w:basedOn w:val="Normal"/>
    <w:next w:val="Normal"/>
    <w:semiHidden/>
    <w:rsid w:val="007F41AA"/>
    <w:pPr>
      <w:keepNext w:val="0"/>
      <w:tabs>
        <w:tab w:val="right" w:pos="4176"/>
      </w:tabs>
      <w:ind w:left="198" w:hanging="198"/>
    </w:pPr>
    <w:rPr>
      <w:rFonts w:ascii="Garamond" w:hAnsi="Garamond"/>
    </w:rPr>
  </w:style>
  <w:style w:type="paragraph" w:styleId="IndexHeading">
    <w:name w:val="index heading"/>
    <w:basedOn w:val="Normal"/>
    <w:next w:val="Index1"/>
    <w:semiHidden/>
    <w:rsid w:val="007F41AA"/>
    <w:pPr>
      <w:spacing w:before="120" w:after="120"/>
    </w:pPr>
    <w:rPr>
      <w:rFonts w:ascii="Arial" w:hAnsi="Arial"/>
      <w:b/>
      <w:color w:val="918585"/>
      <w:sz w:val="24"/>
    </w:rPr>
  </w:style>
  <w:style w:type="paragraph" w:styleId="Header">
    <w:name w:val="header"/>
    <w:basedOn w:val="Normal"/>
    <w:link w:val="HeaderChar"/>
    <w:rsid w:val="007F4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1AA"/>
    <w:rPr>
      <w:rFonts w:ascii="Times New Roman" w:eastAsia="Times New Roman" w:hAnsi="Times New Roman" w:cs="Times New Roman"/>
      <w:sz w:val="16"/>
      <w:szCs w:val="20"/>
      <w:lang w:val="en-GB" w:eastAsia="en-US"/>
    </w:rPr>
  </w:style>
  <w:style w:type="paragraph" w:customStyle="1" w:styleId="Chapter">
    <w:name w:val="Chapter"/>
    <w:basedOn w:val="Normal"/>
    <w:rsid w:val="007F41AA"/>
    <w:pPr>
      <w:spacing w:before="240"/>
    </w:pPr>
    <w:rPr>
      <w:rFonts w:ascii="Times New Roman" w:hAnsi="Times New Roman"/>
      <w:smallCaps/>
      <w:spacing w:val="80"/>
      <w:sz w:val="28"/>
    </w:rPr>
  </w:style>
  <w:style w:type="paragraph" w:customStyle="1" w:styleId="InChapter">
    <w:name w:val="InChapter"/>
    <w:basedOn w:val="Heading3"/>
    <w:rsid w:val="007F41AA"/>
    <w:pPr>
      <w:spacing w:after="240"/>
      <w:outlineLvl w:val="9"/>
    </w:pPr>
    <w:rPr>
      <w:noProof/>
    </w:rPr>
  </w:style>
  <w:style w:type="paragraph" w:styleId="Index2">
    <w:name w:val="index 2"/>
    <w:basedOn w:val="Normal"/>
    <w:next w:val="Normal"/>
    <w:semiHidden/>
    <w:rsid w:val="007F41AA"/>
    <w:pPr>
      <w:tabs>
        <w:tab w:val="right" w:pos="4176"/>
      </w:tabs>
      <w:ind w:left="568" w:hanging="284"/>
    </w:pPr>
    <w:rPr>
      <w:rFonts w:ascii="Garamond" w:hAnsi="Garamond"/>
    </w:rPr>
  </w:style>
  <w:style w:type="paragraph" w:customStyle="1" w:styleId="Byline">
    <w:name w:val="Byline"/>
    <w:rsid w:val="007F4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1AA"/>
    <w:pPr>
      <w:tabs>
        <w:tab w:val="clear" w:pos="3600"/>
        <w:tab w:val="clear" w:pos="3958"/>
      </w:tabs>
      <w:jc w:val="right"/>
    </w:pPr>
  </w:style>
  <w:style w:type="paragraph" w:styleId="Caption">
    <w:name w:val="caption"/>
    <w:basedOn w:val="BodyText"/>
    <w:next w:val="Normal"/>
    <w:qFormat/>
    <w:rsid w:val="007F41AA"/>
    <w:pPr>
      <w:framePr w:w="2268" w:hSpace="181" w:vSpace="181" w:wrap="around" w:vAnchor="text" w:hAnchor="page" w:x="1135" w:y="285" w:anchorLock="1"/>
    </w:pPr>
    <w:rPr>
      <w:i/>
    </w:rPr>
  </w:style>
  <w:style w:type="paragraph" w:customStyle="1" w:styleId="MiniTOCTitle">
    <w:name w:val="MiniTOCTitle"/>
    <w:basedOn w:val="Heading4"/>
    <w:rsid w:val="007F41AA"/>
    <w:pPr>
      <w:spacing w:before="240"/>
      <w:outlineLvl w:val="9"/>
    </w:pPr>
    <w:rPr>
      <w:noProof/>
      <w:sz w:val="24"/>
    </w:rPr>
  </w:style>
  <w:style w:type="paragraph" w:customStyle="1" w:styleId="MiniTOCItem">
    <w:name w:val="MiniTOCItem"/>
    <w:basedOn w:val="ListBullet"/>
    <w:rsid w:val="007F41AA"/>
    <w:pPr>
      <w:numPr>
        <w:numId w:val="0"/>
      </w:numPr>
      <w:tabs>
        <w:tab w:val="right" w:leader="dot" w:pos="6521"/>
      </w:tabs>
      <w:spacing w:before="0" w:after="0"/>
    </w:pPr>
  </w:style>
  <w:style w:type="paragraph" w:customStyle="1" w:styleId="TOFTitle">
    <w:name w:val="TOFTitle"/>
    <w:basedOn w:val="TOCTitle"/>
    <w:rsid w:val="007F41AA"/>
  </w:style>
  <w:style w:type="paragraph" w:styleId="TableofFigures">
    <w:name w:val="table of figures"/>
    <w:basedOn w:val="Normal"/>
    <w:next w:val="Normal"/>
    <w:semiHidden/>
    <w:rsid w:val="007F41AA"/>
    <w:pPr>
      <w:tabs>
        <w:tab w:val="right" w:leader="dot" w:pos="9072"/>
      </w:tabs>
      <w:ind w:left="970" w:hanging="403"/>
    </w:pPr>
    <w:rPr>
      <w:rFonts w:ascii="Times New Roman" w:hAnsi="Times New Roman"/>
      <w:b/>
    </w:rPr>
  </w:style>
  <w:style w:type="paragraph" w:styleId="ListNumber">
    <w:name w:val="List Number"/>
    <w:basedOn w:val="List"/>
    <w:rsid w:val="007F41AA"/>
    <w:pPr>
      <w:numPr>
        <w:numId w:val="10"/>
      </w:numPr>
    </w:pPr>
  </w:style>
  <w:style w:type="character" w:customStyle="1" w:styleId="WingdingSymbols">
    <w:name w:val="Wingding Symbols"/>
    <w:rsid w:val="007F41AA"/>
    <w:rPr>
      <w:rFonts w:ascii="Wingdings" w:hAnsi="Wingdings"/>
    </w:rPr>
  </w:style>
  <w:style w:type="paragraph" w:customStyle="1" w:styleId="TableHeading">
    <w:name w:val="Table Heading"/>
    <w:basedOn w:val="HeadingBase"/>
    <w:rsid w:val="007F41AA"/>
    <w:pPr>
      <w:keepLines/>
      <w:pBdr>
        <w:bottom w:val="single" w:sz="6" w:space="1" w:color="918585"/>
      </w:pBdr>
      <w:spacing w:before="240"/>
    </w:pPr>
  </w:style>
  <w:style w:type="character" w:customStyle="1" w:styleId="HotSpot">
    <w:name w:val="HotSpot"/>
    <w:rsid w:val="007F41AA"/>
    <w:rPr>
      <w:color w:val="0033CC"/>
      <w:u w:val="none"/>
    </w:rPr>
  </w:style>
  <w:style w:type="paragraph" w:customStyle="1" w:styleId="BodyTextRight">
    <w:name w:val="Body Text Right"/>
    <w:basedOn w:val="BodyText"/>
    <w:rsid w:val="007F41AA"/>
    <w:pPr>
      <w:spacing w:before="0" w:after="0"/>
      <w:jc w:val="right"/>
    </w:pPr>
  </w:style>
  <w:style w:type="paragraph" w:styleId="Index3">
    <w:name w:val="index 3"/>
    <w:basedOn w:val="ListNumber2"/>
    <w:next w:val="Normal"/>
    <w:semiHidden/>
    <w:rsid w:val="007F41AA"/>
    <w:pPr>
      <w:numPr>
        <w:numId w:val="0"/>
      </w:numPr>
      <w:tabs>
        <w:tab w:val="right" w:leader="dot" w:pos="4176"/>
      </w:tabs>
    </w:pPr>
  </w:style>
  <w:style w:type="paragraph" w:styleId="ListNumber2">
    <w:name w:val="List Number 2"/>
    <w:basedOn w:val="List2"/>
    <w:rsid w:val="007F41AA"/>
    <w:pPr>
      <w:numPr>
        <w:numId w:val="9"/>
      </w:numPr>
      <w:tabs>
        <w:tab w:val="clear" w:pos="1060"/>
      </w:tabs>
    </w:pPr>
  </w:style>
  <w:style w:type="paragraph" w:customStyle="1" w:styleId="MarginNote">
    <w:name w:val="Margin Note"/>
    <w:basedOn w:val="BodyText"/>
    <w:rsid w:val="007F4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1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1AA"/>
    <w:rPr>
      <w:sz w:val="32"/>
    </w:rPr>
  </w:style>
  <w:style w:type="paragraph" w:customStyle="1" w:styleId="HeadingProcedure">
    <w:name w:val="Heading Procedure"/>
    <w:basedOn w:val="HeadingBase"/>
    <w:next w:val="Normal"/>
    <w:rsid w:val="007F41AA"/>
    <w:pPr>
      <w:tabs>
        <w:tab w:val="left" w:pos="0"/>
      </w:tabs>
      <w:spacing w:before="120" w:after="60"/>
    </w:pPr>
    <w:rPr>
      <w:i/>
      <w:color w:val="918585"/>
      <w:sz w:val="22"/>
    </w:rPr>
  </w:style>
  <w:style w:type="paragraph" w:customStyle="1" w:styleId="TableBodyText">
    <w:name w:val="Table Body Text"/>
    <w:basedOn w:val="BodyText"/>
    <w:rsid w:val="007F41AA"/>
    <w:pPr>
      <w:spacing w:before="60" w:after="60"/>
    </w:pPr>
  </w:style>
  <w:style w:type="paragraph" w:styleId="ListContinue">
    <w:name w:val="List Continue"/>
    <w:basedOn w:val="List"/>
    <w:rsid w:val="007F41AA"/>
    <w:pPr>
      <w:ind w:firstLine="0"/>
    </w:pPr>
  </w:style>
  <w:style w:type="paragraph" w:customStyle="1" w:styleId="ListNote">
    <w:name w:val="List Note"/>
    <w:basedOn w:val="List"/>
    <w:rsid w:val="007F41AA"/>
    <w:pPr>
      <w:pBdr>
        <w:top w:val="single" w:sz="6" w:space="2" w:color="918585"/>
        <w:bottom w:val="single" w:sz="6" w:space="2" w:color="918585"/>
      </w:pBdr>
      <w:tabs>
        <w:tab w:val="left" w:pos="1021"/>
      </w:tabs>
      <w:ind w:firstLine="0"/>
    </w:pPr>
  </w:style>
  <w:style w:type="paragraph" w:customStyle="1" w:styleId="Warning">
    <w:name w:val="Warning"/>
    <w:basedOn w:val="BodyText"/>
    <w:rsid w:val="007F41AA"/>
    <w:pPr>
      <w:shd w:val="clear" w:color="auto" w:fill="D9D9D9"/>
      <w:tabs>
        <w:tab w:val="left" w:pos="992"/>
      </w:tabs>
      <w:ind w:left="119" w:right="119"/>
    </w:pPr>
    <w:rPr>
      <w:sz w:val="20"/>
    </w:rPr>
  </w:style>
  <w:style w:type="paragraph" w:customStyle="1" w:styleId="MarginIcons">
    <w:name w:val="Margin Icons"/>
    <w:basedOn w:val="BodyText"/>
    <w:rsid w:val="007F4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1AA"/>
    <w:rPr>
      <w:rFonts w:ascii="Courier New" w:hAnsi="Courier New"/>
    </w:rPr>
  </w:style>
  <w:style w:type="paragraph" w:customStyle="1" w:styleId="NoteBullet">
    <w:name w:val="Note Bullet"/>
    <w:basedOn w:val="Note"/>
    <w:rsid w:val="007F41AA"/>
    <w:pPr>
      <w:tabs>
        <w:tab w:val="clear" w:pos="680"/>
      </w:tabs>
      <w:spacing w:before="60" w:after="60"/>
    </w:pPr>
  </w:style>
  <w:style w:type="paragraph" w:customStyle="1" w:styleId="SubHeading2">
    <w:name w:val="SubHeading2"/>
    <w:basedOn w:val="HeadingBase"/>
    <w:rsid w:val="007F41AA"/>
    <w:pPr>
      <w:spacing w:before="240" w:after="60"/>
    </w:pPr>
    <w:rPr>
      <w:sz w:val="20"/>
    </w:rPr>
  </w:style>
  <w:style w:type="paragraph" w:customStyle="1" w:styleId="SubHeading1">
    <w:name w:val="SubHeading1"/>
    <w:basedOn w:val="HeadingBase"/>
    <w:rsid w:val="007F41AA"/>
    <w:pPr>
      <w:spacing w:before="240" w:after="60"/>
    </w:pPr>
    <w:rPr>
      <w:color w:val="918585"/>
      <w:sz w:val="22"/>
    </w:rPr>
  </w:style>
  <w:style w:type="paragraph" w:customStyle="1" w:styleId="SideHeading">
    <w:name w:val="Side Heading"/>
    <w:basedOn w:val="HeadingBase"/>
    <w:rsid w:val="007F4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1AA"/>
    <w:pPr>
      <w:tabs>
        <w:tab w:val="num" w:pos="360"/>
      </w:tabs>
    </w:pPr>
  </w:style>
  <w:style w:type="paragraph" w:styleId="PlainText">
    <w:name w:val="Plain Text"/>
    <w:basedOn w:val="Normal"/>
    <w:link w:val="PlainTextChar"/>
    <w:rsid w:val="007F41AA"/>
    <w:rPr>
      <w:sz w:val="20"/>
    </w:rPr>
  </w:style>
  <w:style w:type="character" w:customStyle="1" w:styleId="PlainTextChar">
    <w:name w:val="Plain Text Char"/>
    <w:basedOn w:val="DefaultParagraphFont"/>
    <w:link w:val="PlainText"/>
    <w:rsid w:val="007F41AA"/>
    <w:rPr>
      <w:rFonts w:ascii="Courier New" w:eastAsia="Times New Roman" w:hAnsi="Courier New" w:cs="Times New Roman"/>
      <w:sz w:val="20"/>
      <w:szCs w:val="20"/>
      <w:lang w:eastAsia="en-US"/>
    </w:rPr>
  </w:style>
  <w:style w:type="character" w:customStyle="1" w:styleId="MenuOption">
    <w:name w:val="Menu Option"/>
    <w:basedOn w:val="DefaultParagraphFont"/>
    <w:rsid w:val="007F41AA"/>
    <w:rPr>
      <w:b/>
      <w:smallCaps/>
    </w:rPr>
  </w:style>
  <w:style w:type="paragraph" w:customStyle="1" w:styleId="TableListNumber">
    <w:name w:val="Table List Number"/>
    <w:basedOn w:val="ListNumber"/>
    <w:rsid w:val="007F41AA"/>
    <w:pPr>
      <w:numPr>
        <w:numId w:val="0"/>
      </w:numPr>
    </w:pPr>
  </w:style>
  <w:style w:type="paragraph" w:styleId="TOC4">
    <w:name w:val="toc 4"/>
    <w:basedOn w:val="TOCBase"/>
    <w:next w:val="Normal"/>
    <w:semiHidden/>
    <w:rsid w:val="007F41AA"/>
    <w:pPr>
      <w:tabs>
        <w:tab w:val="right" w:leader="dot" w:pos="9071"/>
      </w:tabs>
      <w:ind w:left="1701"/>
    </w:pPr>
  </w:style>
  <w:style w:type="paragraph" w:customStyle="1" w:styleId="ListAlpha">
    <w:name w:val="List Alpha"/>
    <w:basedOn w:val="List"/>
    <w:rsid w:val="007F41AA"/>
    <w:pPr>
      <w:numPr>
        <w:numId w:val="8"/>
      </w:numPr>
    </w:pPr>
  </w:style>
  <w:style w:type="paragraph" w:customStyle="1" w:styleId="ListAlpha2">
    <w:name w:val="List Alpha 2"/>
    <w:basedOn w:val="List2"/>
    <w:rsid w:val="007F41AA"/>
    <w:pPr>
      <w:numPr>
        <w:numId w:val="7"/>
      </w:numPr>
    </w:pPr>
  </w:style>
  <w:style w:type="paragraph" w:styleId="List2">
    <w:name w:val="List 2"/>
    <w:basedOn w:val="BodyText"/>
    <w:rsid w:val="007F41AA"/>
    <w:pPr>
      <w:tabs>
        <w:tab w:val="left" w:pos="680"/>
      </w:tabs>
      <w:spacing w:before="60" w:after="60"/>
      <w:ind w:left="680" w:hanging="340"/>
    </w:pPr>
  </w:style>
  <w:style w:type="paragraph" w:styleId="List3">
    <w:name w:val="List 3"/>
    <w:basedOn w:val="BodyText"/>
    <w:rsid w:val="007F41AA"/>
    <w:pPr>
      <w:tabs>
        <w:tab w:val="left" w:pos="1021"/>
      </w:tabs>
      <w:spacing w:before="60" w:after="60"/>
      <w:ind w:left="1020" w:hanging="340"/>
    </w:pPr>
  </w:style>
  <w:style w:type="paragraph" w:styleId="List4">
    <w:name w:val="List 4"/>
    <w:basedOn w:val="BodyText"/>
    <w:rsid w:val="007F41AA"/>
    <w:pPr>
      <w:tabs>
        <w:tab w:val="left" w:pos="1361"/>
      </w:tabs>
      <w:spacing w:before="60" w:after="60"/>
      <w:ind w:left="1361" w:hanging="340"/>
    </w:pPr>
  </w:style>
  <w:style w:type="paragraph" w:styleId="List5">
    <w:name w:val="List 5"/>
    <w:basedOn w:val="BodyText"/>
    <w:rsid w:val="007F41AA"/>
    <w:pPr>
      <w:tabs>
        <w:tab w:val="left" w:pos="1701"/>
      </w:tabs>
      <w:spacing w:before="60" w:after="60"/>
      <w:ind w:left="1701" w:hanging="340"/>
    </w:pPr>
  </w:style>
  <w:style w:type="paragraph" w:styleId="ListBullet3">
    <w:name w:val="List Bullet 3"/>
    <w:basedOn w:val="List3"/>
    <w:rsid w:val="007F41AA"/>
    <w:pPr>
      <w:numPr>
        <w:numId w:val="14"/>
      </w:numPr>
      <w:tabs>
        <w:tab w:val="clear" w:pos="1021"/>
      </w:tabs>
      <w:ind w:left="1037" w:hanging="357"/>
    </w:pPr>
  </w:style>
  <w:style w:type="paragraph" w:styleId="ListBullet4">
    <w:name w:val="List Bullet 4"/>
    <w:basedOn w:val="List4"/>
    <w:rsid w:val="007F41AA"/>
    <w:pPr>
      <w:numPr>
        <w:numId w:val="2"/>
      </w:numPr>
    </w:pPr>
  </w:style>
  <w:style w:type="paragraph" w:styleId="ListBullet5">
    <w:name w:val="List Bullet 5"/>
    <w:basedOn w:val="List5"/>
    <w:rsid w:val="007F41AA"/>
    <w:pPr>
      <w:numPr>
        <w:numId w:val="3"/>
      </w:numPr>
    </w:pPr>
  </w:style>
  <w:style w:type="paragraph" w:styleId="ListContinue2">
    <w:name w:val="List Continue 2"/>
    <w:basedOn w:val="List2"/>
    <w:rsid w:val="007F41AA"/>
    <w:pPr>
      <w:ind w:firstLine="0"/>
    </w:pPr>
  </w:style>
  <w:style w:type="paragraph" w:styleId="ListContinue3">
    <w:name w:val="List Continue 3"/>
    <w:basedOn w:val="List3"/>
    <w:rsid w:val="007F41AA"/>
    <w:pPr>
      <w:ind w:left="1021" w:firstLine="0"/>
    </w:pPr>
  </w:style>
  <w:style w:type="paragraph" w:styleId="ListContinue4">
    <w:name w:val="List Continue 4"/>
    <w:basedOn w:val="List4"/>
    <w:rsid w:val="007F41AA"/>
    <w:pPr>
      <w:ind w:firstLine="0"/>
    </w:pPr>
  </w:style>
  <w:style w:type="paragraph" w:styleId="ListContinue5">
    <w:name w:val="List Continue 5"/>
    <w:basedOn w:val="List5"/>
    <w:rsid w:val="007F41AA"/>
    <w:pPr>
      <w:ind w:firstLine="0"/>
    </w:pPr>
  </w:style>
  <w:style w:type="paragraph" w:styleId="ListNumber3">
    <w:name w:val="List Number 3"/>
    <w:basedOn w:val="List3"/>
    <w:rsid w:val="007F41AA"/>
    <w:pPr>
      <w:numPr>
        <w:numId w:val="4"/>
      </w:numPr>
    </w:pPr>
  </w:style>
  <w:style w:type="paragraph" w:styleId="ListNumber4">
    <w:name w:val="List Number 4"/>
    <w:basedOn w:val="List4"/>
    <w:rsid w:val="007F41AA"/>
    <w:pPr>
      <w:numPr>
        <w:numId w:val="5"/>
      </w:numPr>
    </w:pPr>
  </w:style>
  <w:style w:type="paragraph" w:styleId="ListNumber5">
    <w:name w:val="List Number 5"/>
    <w:basedOn w:val="List5"/>
    <w:rsid w:val="007F41AA"/>
    <w:pPr>
      <w:numPr>
        <w:numId w:val="6"/>
      </w:numPr>
    </w:pPr>
  </w:style>
  <w:style w:type="paragraph" w:styleId="BlockText">
    <w:name w:val="Block Text"/>
    <w:basedOn w:val="Normal"/>
    <w:rsid w:val="007F41AA"/>
    <w:pPr>
      <w:spacing w:after="120"/>
      <w:ind w:left="1440" w:right="1440"/>
    </w:pPr>
  </w:style>
  <w:style w:type="character" w:customStyle="1" w:styleId="Subscript">
    <w:name w:val="Subscript"/>
    <w:basedOn w:val="DefaultParagraphFont"/>
    <w:rsid w:val="007F41AA"/>
    <w:rPr>
      <w:sz w:val="16"/>
      <w:vertAlign w:val="subscript"/>
    </w:rPr>
  </w:style>
  <w:style w:type="character" w:customStyle="1" w:styleId="Superscript">
    <w:name w:val="Superscript"/>
    <w:basedOn w:val="DefaultParagraphFont"/>
    <w:rsid w:val="007F41AA"/>
    <w:rPr>
      <w:sz w:val="16"/>
      <w:vertAlign w:val="superscript"/>
    </w:rPr>
  </w:style>
  <w:style w:type="character" w:customStyle="1" w:styleId="Symbols">
    <w:name w:val="Symbols"/>
    <w:basedOn w:val="DefaultParagraphFont"/>
    <w:rsid w:val="007F41AA"/>
    <w:rPr>
      <w:rFonts w:ascii="Symbol" w:hAnsi="Symbol"/>
    </w:rPr>
  </w:style>
  <w:style w:type="character" w:customStyle="1" w:styleId="MenuOptions">
    <w:name w:val="Menu Options"/>
    <w:basedOn w:val="DefaultParagraphFont"/>
    <w:rsid w:val="007F41AA"/>
    <w:rPr>
      <w:rFonts w:ascii="Arial Narrow" w:hAnsi="Arial Narrow"/>
      <w:smallCaps/>
    </w:rPr>
  </w:style>
  <w:style w:type="character" w:customStyle="1" w:styleId="Buttons">
    <w:name w:val="Buttons"/>
    <w:basedOn w:val="DefaultParagraphFont"/>
    <w:rsid w:val="007F41AA"/>
    <w:rPr>
      <w:b/>
    </w:rPr>
  </w:style>
  <w:style w:type="character" w:customStyle="1" w:styleId="Underlined">
    <w:name w:val="Underlined"/>
    <w:basedOn w:val="DefaultParagraphFont"/>
    <w:rsid w:val="007F41AA"/>
    <w:rPr>
      <w:u w:val="single"/>
    </w:rPr>
  </w:style>
  <w:style w:type="paragraph" w:customStyle="1" w:styleId="TableBodyTextRight">
    <w:name w:val="Table Body Text Right"/>
    <w:basedOn w:val="TableBodyText"/>
    <w:rsid w:val="007F41AA"/>
    <w:pPr>
      <w:widowControl w:val="0"/>
      <w:autoSpaceDE w:val="0"/>
      <w:autoSpaceDN w:val="0"/>
      <w:adjustRightInd w:val="0"/>
      <w:jc w:val="right"/>
    </w:pPr>
    <w:rPr>
      <w:rFonts w:cs="Arial"/>
      <w:szCs w:val="18"/>
    </w:rPr>
  </w:style>
  <w:style w:type="paragraph" w:customStyle="1" w:styleId="CopyrightText">
    <w:name w:val="Copyright Text"/>
    <w:basedOn w:val="BodyText"/>
    <w:rsid w:val="007F41AA"/>
    <w:rPr>
      <w:sz w:val="18"/>
    </w:rPr>
  </w:style>
  <w:style w:type="paragraph" w:customStyle="1" w:styleId="BodySmallRight">
    <w:name w:val="Body Small Right"/>
    <w:basedOn w:val="BodyTextRight"/>
    <w:rsid w:val="007F41AA"/>
    <w:rPr>
      <w:sz w:val="18"/>
      <w:szCs w:val="18"/>
    </w:rPr>
  </w:style>
  <w:style w:type="paragraph" w:customStyle="1" w:styleId="MarginEdition">
    <w:name w:val="Margin Edition"/>
    <w:basedOn w:val="MarginNote"/>
    <w:rsid w:val="007F41AA"/>
    <w:pPr>
      <w:spacing w:before="0" w:after="0"/>
    </w:pPr>
    <w:rPr>
      <w:rFonts w:ascii="Times New Roman" w:hAnsi="Times New Roman"/>
      <w:color w:val="999999"/>
    </w:rPr>
  </w:style>
  <w:style w:type="paragraph" w:customStyle="1" w:styleId="Spacer">
    <w:name w:val="Spacer"/>
    <w:basedOn w:val="Normal"/>
    <w:rsid w:val="007F41AA"/>
    <w:rPr>
      <w:sz w:val="2"/>
      <w:szCs w:val="2"/>
    </w:rPr>
  </w:style>
  <w:style w:type="character" w:customStyle="1" w:styleId="Small">
    <w:name w:val="Small"/>
    <w:basedOn w:val="DefaultParagraphFont"/>
    <w:rsid w:val="007F41AA"/>
    <w:rPr>
      <w:sz w:val="16"/>
    </w:rPr>
  </w:style>
  <w:style w:type="paragraph" w:customStyle="1" w:styleId="WideTable">
    <w:name w:val="Wide Table"/>
    <w:basedOn w:val="Normal"/>
    <w:rsid w:val="007F41AA"/>
    <w:pPr>
      <w:ind w:left="-1418"/>
    </w:pPr>
    <w:rPr>
      <w:sz w:val="2"/>
      <w:szCs w:val="2"/>
    </w:rPr>
  </w:style>
  <w:style w:type="character" w:styleId="PageNumber">
    <w:name w:val="page number"/>
    <w:basedOn w:val="DefaultParagraphFont"/>
    <w:rsid w:val="007F41AA"/>
  </w:style>
  <w:style w:type="paragraph" w:styleId="Quote">
    <w:name w:val="Quote"/>
    <w:basedOn w:val="Heading1"/>
    <w:link w:val="QuoteChar"/>
    <w:qFormat/>
    <w:rsid w:val="007F41AA"/>
    <w:rPr>
      <w:b w:val="0"/>
      <w:sz w:val="72"/>
      <w:szCs w:val="72"/>
      <w:lang w:val="en-NZ"/>
    </w:rPr>
  </w:style>
  <w:style w:type="character" w:customStyle="1" w:styleId="QuoteChar">
    <w:name w:val="Quote Char"/>
    <w:basedOn w:val="DefaultParagraphFont"/>
    <w:link w:val="Quote"/>
    <w:rsid w:val="007F4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1AA"/>
    <w:pPr>
      <w:pageBreakBefore/>
    </w:pPr>
  </w:style>
  <w:style w:type="paragraph" w:customStyle="1" w:styleId="Border">
    <w:name w:val="Border"/>
    <w:basedOn w:val="Normal"/>
    <w:qFormat/>
    <w:rsid w:val="007F4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1AA"/>
    <w:rPr>
      <w:b/>
      <w:bCs/>
      <w:i/>
      <w:iCs/>
      <w:color w:val="auto"/>
    </w:rPr>
  </w:style>
  <w:style w:type="paragraph" w:styleId="IntenseQuote">
    <w:name w:val="Intense Quote"/>
    <w:basedOn w:val="Normal"/>
    <w:next w:val="Normal"/>
    <w:link w:val="IntenseQuoteChar"/>
    <w:uiPriority w:val="30"/>
    <w:qFormat/>
    <w:rsid w:val="007F4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1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1AA"/>
    <w:rPr>
      <w:smallCaps/>
      <w:color w:val="auto"/>
      <w:u w:val="single"/>
    </w:rPr>
  </w:style>
  <w:style w:type="character" w:styleId="IntenseReference">
    <w:name w:val="Intense Reference"/>
    <w:basedOn w:val="DefaultParagraphFont"/>
    <w:uiPriority w:val="32"/>
    <w:qFormat/>
    <w:rsid w:val="007F41AA"/>
    <w:rPr>
      <w:b/>
      <w:bCs/>
      <w:smallCaps/>
      <w:color w:val="auto"/>
      <w:spacing w:val="5"/>
      <w:u w:val="single"/>
    </w:rPr>
  </w:style>
  <w:style w:type="paragraph" w:customStyle="1" w:styleId="2ColumnHeading">
    <w:name w:val="2Column Heading"/>
    <w:basedOn w:val="BodyText"/>
    <w:qFormat/>
    <w:rsid w:val="007F41AA"/>
    <w:pPr>
      <w:spacing w:after="60"/>
      <w:ind w:left="-2268"/>
    </w:pPr>
    <w:rPr>
      <w:b/>
    </w:rPr>
  </w:style>
  <w:style w:type="paragraph" w:customStyle="1" w:styleId="Heading1TOC">
    <w:name w:val="Heading1 TOC"/>
    <w:basedOn w:val="Normal"/>
    <w:qFormat/>
    <w:rsid w:val="007F41AA"/>
    <w:pPr>
      <w:spacing w:before="240" w:after="120"/>
    </w:pPr>
    <w:rPr>
      <w:rFonts w:ascii="Times New Roman" w:hAnsi="Times New Roman"/>
      <w:b/>
      <w:sz w:val="32"/>
    </w:rPr>
  </w:style>
  <w:style w:type="paragraph" w:customStyle="1" w:styleId="Heading2TOC">
    <w:name w:val="Heading2 TOC"/>
    <w:basedOn w:val="Normal"/>
    <w:qFormat/>
    <w:rsid w:val="007F41AA"/>
    <w:pPr>
      <w:spacing w:before="240" w:after="60"/>
    </w:pPr>
    <w:rPr>
      <w:rFonts w:ascii="Times New Roman" w:hAnsi="Times New Roman"/>
      <w:b/>
      <w:sz w:val="28"/>
    </w:rPr>
  </w:style>
  <w:style w:type="character" w:customStyle="1" w:styleId="Underline">
    <w:name w:val="Underline"/>
    <w:basedOn w:val="DefaultParagraphFont"/>
    <w:qFormat/>
    <w:rsid w:val="007F41AA"/>
    <w:rPr>
      <w:u w:val="single"/>
    </w:rPr>
  </w:style>
  <w:style w:type="character" w:customStyle="1" w:styleId="BoldandItalics">
    <w:name w:val="Bold and Italics"/>
    <w:qFormat/>
    <w:rsid w:val="007F41AA"/>
    <w:rPr>
      <w:b/>
      <w:i/>
      <w:u w:val="none"/>
    </w:rPr>
  </w:style>
  <w:style w:type="paragraph" w:styleId="BalloonText">
    <w:name w:val="Balloon Text"/>
    <w:basedOn w:val="Normal"/>
    <w:link w:val="BalloonTextChar"/>
    <w:rsid w:val="007F41AA"/>
    <w:rPr>
      <w:rFonts w:ascii="Tahoma" w:hAnsi="Tahoma" w:cs="Tahoma"/>
      <w:sz w:val="16"/>
      <w:szCs w:val="16"/>
    </w:rPr>
  </w:style>
  <w:style w:type="character" w:customStyle="1" w:styleId="BalloonTextChar">
    <w:name w:val="Balloon Text Char"/>
    <w:basedOn w:val="DefaultParagraphFont"/>
    <w:link w:val="BalloonText"/>
    <w:rsid w:val="007F41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1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1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1AA"/>
    <w:rPr>
      <w:b/>
      <w:color w:val="660033"/>
      <w:spacing w:val="0"/>
    </w:rPr>
  </w:style>
  <w:style w:type="paragraph" w:customStyle="1" w:styleId="Nameditemlist">
    <w:name w:val="Named item list"/>
    <w:basedOn w:val="BodyText"/>
    <w:qFormat/>
    <w:rsid w:val="007F41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4111</Words>
  <Characters>25452</Characters>
  <Application>Microsoft Office Word</Application>
  <DocSecurity>0</DocSecurity>
  <Lines>1497</Lines>
  <Paragraphs>721</Paragraphs>
  <ScaleCrop>false</ScaleCrop>
  <Company>Author-it Software Corporation Ltd.</Company>
  <LinksUpToDate>false</LinksUpToDate>
  <CharactersWithSpaces>28842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TDMMR1107B OPERATE MAIN AND AUXILIARY MACHINERY AND ASSOCIATED CONTROL SYSTEMS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2012-10-10T08:06:00Z</dcterms:created>
  <dcterms:modified xsi:type="dcterms:W3CDTF">2012-10-10T08:06:00Z</dcterms:modified>
</cp:coreProperties>
</file>