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150" w:rsidP="00BF1150">
      <w:pPr>
        <w:pStyle w:val="Title"/>
      </w:pPr>
      <w:r>
        <w:fldChar w:fldCharType="begin"/>
      </w:r>
      <w:r>
        <w:instrText xml:space="preserve"> TITLE   \* MERGEFORMAT </w:instrText>
      </w:r>
      <w:r>
        <w:fldChar w:fldCharType="separate"/>
      </w:r>
      <w:r>
        <w:t>TDMMR1007B OPERATE PUMPING SYSTEMS AND ASSOCIATED CONTROL SYSTEMS</w:t>
      </w:r>
      <w:r>
        <w:fldChar w:fldCharType="end"/>
      </w:r>
    </w:p>
    <w:p w:rsidR="00BF1150" w:rsidP="00BF1150">
      <w:pPr>
        <w:pStyle w:val="Version"/>
        <w:sectPr w:rsidSect="004A4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4530" w:rsidP="004A4530">
      <w:pPr>
        <w:pStyle w:val="SuperHeading"/>
      </w:pPr>
      <w:r w:rsidRPr="004A4530">
        <w:t>TDMM</w:t>
      </w:r>
      <w:r w:rsidRPr="004A4530">
        <w:t>R1007B OPERATE PUMPING SYSTEMS AND ASSOCIATED CONTROL SYSTEMS</w:t>
      </w:r>
    </w:p>
    <w:p w:rsidR="00000000" w:rsidRPr="004A4530" w:rsidP="004A4530">
      <w:pPr>
        <w:pStyle w:val="SuperHeading"/>
      </w:pPr>
    </w:p>
    <w:p w:rsidR="00000000" w:rsidRPr="004A4530" w:rsidP="004A4530">
      <w:pPr>
        <w:pStyle w:val="Heading1"/>
      </w:pPr>
      <w:bookmarkStart w:id="1" w:name="O_151755"/>
      <w:bookmarkEnd w:id="1"/>
      <w:r w:rsidRPr="004A4530">
        <w:t>Modification History</w:t>
      </w:r>
    </w:p>
    <w:p w:rsidR="00000000" w:rsidRPr="004A4530" w:rsidP="004A4530">
      <w:pPr>
        <w:pStyle w:val="BodyText"/>
      </w:pPr>
      <w:r w:rsidRPr="004A4530">
        <w:t>Not applicable.</w:t>
      </w:r>
    </w:p>
    <w:p w:rsidR="00000000" w:rsidRPr="004A4530" w:rsidP="004A4530">
      <w:pPr>
        <w:pStyle w:val="AllowPageBreak"/>
      </w:pPr>
    </w:p>
    <w:p w:rsidR="00000000" w:rsidRPr="004A4530" w:rsidP="004A4530">
      <w:pPr>
        <w:pStyle w:val="Heading1"/>
      </w:pPr>
      <w:bookmarkStart w:id="2" w:name="O_151756"/>
      <w:bookmarkEnd w:id="2"/>
      <w:r w:rsidRPr="004A4530">
        <w:t>Unit Descriptor</w:t>
      </w:r>
    </w:p>
    <w:tbl>
      <w:tblPr>
        <w:tblW w:w="0" w:type="auto"/>
        <w:tblLayout w:type="fixed"/>
        <w:tblCellMar>
          <w:left w:w="62" w:type="dxa"/>
          <w:right w:w="62" w:type="dxa"/>
        </w:tblCellMar>
        <w:tblLook w:val="0000"/>
      </w:tblPr>
      <w:tblGrid>
        <w:gridCol w:w="1974"/>
        <w:gridCol w:w="6481"/>
      </w:tblGrid>
      <w:tr w:rsidTr="00BF1150">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530" w:rsidP="004A4530">
            <w:pPr>
              <w:pStyle w:val="BodyText"/>
            </w:pPr>
            <w:r w:rsidRPr="004A4530">
              <w:t>UNIT DESCRIPTOR:</w:t>
            </w:r>
          </w:p>
          <w:p w:rsidR="00000000" w:rsidP="004A4530">
            <w:pPr>
              <w:pStyle w:val="BodyText"/>
              <w:rPr>
                <w:lang w:val="en-NZ"/>
              </w:rPr>
            </w:pPr>
            <w:r w:rsidRPr="004A4530">
              <w:rPr>
                <w:rStyle w:val="SpecialBold"/>
              </w:rPr>
              <w:t>This unit involves the skills and knowledge required to operate pumping systems and associated control systems on board a commercial vessel</w:t>
            </w:r>
            <w:r w:rsidRPr="004A4530">
              <w:t xml:space="preserve">, </w:t>
            </w:r>
            <w:r w:rsidRPr="004A4530">
              <w:rPr>
                <w:rStyle w:val="SpecialBold"/>
              </w:rPr>
              <w:t>including planning pumping systems operations</w:t>
            </w:r>
            <w:r w:rsidRPr="004A4530">
              <w:t xml:space="preserve">, </w:t>
            </w:r>
            <w:r w:rsidRPr="004A4530">
              <w:rPr>
                <w:rStyle w:val="SpecialBold"/>
              </w:rPr>
              <w:t>operating the systems</w:t>
            </w:r>
            <w:r w:rsidRPr="004A4530">
              <w:t xml:space="preserve">, </w:t>
            </w:r>
            <w:r w:rsidRPr="004A4530">
              <w:rPr>
                <w:rStyle w:val="SpecialBold"/>
              </w:rPr>
              <w:t>identifying malfunctions and taking appropria</w:t>
            </w:r>
            <w:r w:rsidRPr="004A4530">
              <w:rPr>
                <w:rStyle w:val="SpecialBold"/>
              </w:rPr>
              <w:t>te action</w:t>
            </w:r>
            <w:r w:rsidRPr="004A4530">
              <w:t xml:space="preserve">, </w:t>
            </w:r>
            <w:r w:rsidRPr="004A4530">
              <w:rPr>
                <w:rStyle w:val="SpecialBold"/>
              </w:rPr>
              <w:t>exercising all required safety and pollution control measures</w:t>
            </w:r>
            <w:r w:rsidRPr="004A4530">
              <w:t xml:space="preserve">, </w:t>
            </w:r>
            <w:r w:rsidRPr="004A4530">
              <w:rPr>
                <w:rStyle w:val="SpecialBold"/>
              </w:rPr>
              <w:t>and keeping all required operational records</w:t>
            </w:r>
            <w:r w:rsidRPr="004A4530">
              <w:t>.</w:t>
            </w:r>
          </w:p>
        </w:tc>
      </w:tr>
      <w:tr w:rsidTr="00BF115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4A4530" w:rsidP="004A4530">
            <w:pPr>
              <w:pStyle w:val="BodyText"/>
            </w:pP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3" w:name="O_151757"/>
      <w:bookmarkEnd w:id="3"/>
      <w:r w:rsidRPr="004A4530">
        <w:t>Application of the Unit</w:t>
      </w:r>
    </w:p>
    <w:tbl>
      <w:tblPr>
        <w:tblW w:w="0" w:type="auto"/>
        <w:tblLayout w:type="fixed"/>
        <w:tblCellMar>
          <w:left w:w="62" w:type="dxa"/>
          <w:right w:w="62" w:type="dxa"/>
        </w:tblCellMar>
        <w:tblLook w:val="0000"/>
      </w:tblPr>
      <w:tblGrid>
        <w:gridCol w:w="1974"/>
        <w:gridCol w:w="6481"/>
      </w:tblGrid>
      <w:tr w:rsidTr="00BF115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530" w:rsidP="004A4530">
            <w:pPr>
              <w:pStyle w:val="BodyText"/>
            </w:pPr>
            <w:r w:rsidRPr="004A4530">
              <w:t>The unit has application in the qualifications for an Engineer Watchkeeper on a vessel greater than 750 kW, i.e. Diploma of Transport&amp;Distribution(Marine Engineering - Engineer Watchkeeper).</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4" w:name="O_151758"/>
      <w:bookmarkEnd w:id="4"/>
      <w:r w:rsidRPr="004A4530">
        <w:t>Licensing/Regulatory Information</w:t>
      </w:r>
    </w:p>
    <w:tbl>
      <w:tblPr>
        <w:tblW w:w="0" w:type="auto"/>
        <w:tblLayout w:type="fixed"/>
        <w:tblCellMar>
          <w:left w:w="62" w:type="dxa"/>
          <w:right w:w="62" w:type="dxa"/>
        </w:tblCellMar>
        <w:tblLook w:val="0000"/>
      </w:tblPr>
      <w:tblGrid>
        <w:gridCol w:w="1974"/>
        <w:gridCol w:w="6481"/>
      </w:tblGrid>
      <w:tr w:rsidTr="00BF115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Licensing</w:t>
            </w:r>
            <w:r w:rsidRPr="004A4530">
              <w:t>/</w:t>
            </w:r>
            <w:r w:rsidRPr="004A4530">
              <w:rPr>
                <w:rStyle w:val="SpecialBold"/>
              </w:rPr>
              <w:t>leg</w:t>
            </w:r>
            <w:r w:rsidRPr="004A4530">
              <w:rPr>
                <w:rStyle w:val="SpecialBold"/>
              </w:rPr>
              <w:t>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530" w:rsidP="004A4530">
            <w:pPr>
              <w:pStyle w:val="BodyText"/>
            </w:pPr>
            <w:r w:rsidRPr="004A4530">
              <w:t>The unit is consistent with the relevant sections of STCW 95 and Marine Orders under the Australian Navigation Act 1912, describing the role and responsibilities of an engineer watchkeeper.</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5" w:name="O_151759"/>
      <w:bookmarkEnd w:id="5"/>
      <w:r w:rsidRPr="004A4530">
        <w:t>Pre-Requisites</w:t>
      </w:r>
    </w:p>
    <w:p w:rsidR="00000000" w:rsidRPr="004A4530" w:rsidP="004A4530">
      <w:pPr>
        <w:pStyle w:val="BodyText"/>
      </w:pPr>
      <w:r w:rsidRPr="004A4530">
        <w:t>Not applic</w:t>
      </w:r>
      <w:r w:rsidRPr="004A4530">
        <w:t>able.</w:t>
      </w:r>
    </w:p>
    <w:p w:rsidR="00000000" w:rsidRPr="004A4530" w:rsidP="004A4530">
      <w:pPr>
        <w:pStyle w:val="AllowPageBreak"/>
      </w:pPr>
    </w:p>
    <w:p w:rsidR="00000000" w:rsidRPr="004A4530" w:rsidP="004A4530">
      <w:pPr>
        <w:pStyle w:val="Heading1"/>
      </w:pPr>
      <w:bookmarkStart w:id="6" w:name="O_151760"/>
      <w:bookmarkEnd w:id="6"/>
      <w:r w:rsidRPr="004A4530">
        <w:t>Employability Skills Information</w:t>
      </w:r>
    </w:p>
    <w:p w:rsidR="00000000" w:rsidRPr="004A4530" w:rsidP="004A4530">
      <w:pPr>
        <w:pStyle w:val="BodyText"/>
      </w:pPr>
      <w:r w:rsidRPr="004A4530">
        <w:t>Not applicable.</w:t>
      </w:r>
    </w:p>
    <w:p w:rsidR="00000000" w:rsidRPr="004A4530" w:rsidP="004A4530">
      <w:pPr>
        <w:pStyle w:val="AllowPageBreak"/>
      </w:pPr>
    </w:p>
    <w:p w:rsidR="00000000" w:rsidRPr="004A4530" w:rsidP="004A4530">
      <w:pPr>
        <w:pStyle w:val="Heading1"/>
      </w:pPr>
      <w:bookmarkStart w:id="7" w:name="O_151761"/>
      <w:bookmarkEnd w:id="7"/>
      <w:r w:rsidRPr="004A4530">
        <w:t>Elements and Performance Criteria Pre-Content</w:t>
      </w:r>
    </w:p>
    <w:tbl>
      <w:tblPr>
        <w:tblW w:w="0" w:type="auto"/>
        <w:tblLayout w:type="fixed"/>
        <w:tblCellMar>
          <w:left w:w="62" w:type="dxa"/>
          <w:right w:w="62" w:type="dxa"/>
        </w:tblCellMar>
        <w:tblLook w:val="0000"/>
      </w:tblPr>
      <w:tblGrid>
        <w:gridCol w:w="1946"/>
        <w:gridCol w:w="6494"/>
      </w:tblGrid>
      <w:tr w:rsidTr="00BF115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Emphasis"/>
              </w:rPr>
              <w:t>Elements describe the essential outcomes of a unit of competency</w:t>
            </w:r>
            <w:r w:rsidRPr="004A4530">
              <w:t>.</w:t>
            </w:r>
          </w:p>
        </w:tc>
        <w:tc>
          <w:tcPr>
            <w:tcW w:w="6494" w:type="dxa"/>
            <w:tcBorders>
              <w:top w:val="single" w:sz="6" w:space="0" w:color="auto"/>
              <w:left w:val="single" w:sz="6" w:space="0" w:color="auto"/>
              <w:bottom w:val="nil"/>
              <w:right w:val="nil"/>
            </w:tcBorders>
            <w:tcMar>
              <w:top w:w="0" w:type="dxa"/>
              <w:left w:w="62" w:type="dxa"/>
              <w:bottom w:w="0" w:type="dxa"/>
              <w:right w:w="62" w:type="dxa"/>
            </w:tcMar>
          </w:tcPr>
          <w:p w:rsidR="00000000" w:rsidRPr="004A4530" w:rsidP="004A4530">
            <w:pPr>
              <w:pStyle w:val="BodyText"/>
            </w:pPr>
            <w:r w:rsidRPr="004A4530">
              <w:rPr>
                <w:rStyle w:val="Emphasis"/>
              </w:rPr>
              <w:t xml:space="preserve">Performance Criteria describe the required performance </w:t>
            </w:r>
            <w:r w:rsidRPr="004A4530">
              <w:rPr>
                <w:rStyle w:val="Emphasis"/>
              </w:rPr>
              <w:t>needed to demonstrate achievement of the element</w:t>
            </w:r>
            <w:r w:rsidRPr="004A4530">
              <w:t xml:space="preserve">. </w:t>
            </w:r>
            <w:r w:rsidRPr="004A4530">
              <w:rPr>
                <w:rStyle w:val="Emphasis"/>
              </w:rPr>
              <w:t>Assessment of performance is to be consistent with the Evidence Guide</w:t>
            </w:r>
            <w:r w:rsidRPr="004A4530">
              <w:t>.</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8" w:name="O_151762"/>
      <w:bookmarkEnd w:id="8"/>
      <w:r w:rsidRPr="004A4530">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BF1150">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rPr>
                <w:rStyle w:val="SpecialBold"/>
              </w:rPr>
              <w:t>PERFORMANCE CRITERIA</w:t>
            </w:r>
          </w:p>
        </w:tc>
      </w:tr>
      <w:tr w:rsidTr="00BF115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Operate pumping systems and associated control systems</w:t>
            </w:r>
          </w:p>
        </w:tc>
        <w:tc>
          <w:tcPr>
            <w:tcW w:w="36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6030"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Work plans for the operation of pumping systems and associated control systems are made in accordance with established watchkeeping procedures, operational instructions, vessel and company rules, and</w:t>
            </w:r>
            <w:r w:rsidRPr="004A4530">
              <w:t xml:space="preserve"> established marine engineering practice</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6030"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Pumping systems and associated control systems are operated within specified limits in accordance with established plans and procedures and manufacturer's instructions and specifications </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c</w:t>
            </w:r>
          </w:p>
        </w:tc>
        <w:tc>
          <w:tcPr>
            <w:tcW w:w="6030"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The performance of shipboard pumping systems and associated control systems is monitored in accordance with vessel's survey requirements and manufacturer's instructions and performance is compared with specifications and recommended limits of performance</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d</w:t>
            </w:r>
          </w:p>
        </w:tc>
        <w:tc>
          <w:tcPr>
            <w:tcW w:w="6030"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Out-of-specification performance and faults are identified in consultation with a senior engineer and appropriate action initiated to report or rectify the problem in accordance with marine engineering practice and vessel's procedures</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e</w:t>
            </w:r>
          </w:p>
        </w:tc>
        <w:tc>
          <w:tcPr>
            <w:tcW w:w="6030" w:type="dxa"/>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Records of p</w:t>
            </w:r>
            <w:r w:rsidRPr="004A4530">
              <w:t>erformance are maintained on running sheets and operations logs in accordance with vessel's procedures</w:t>
            </w:r>
          </w:p>
        </w:tc>
      </w:tr>
    </w:tbl>
    <w:p w:rsidR="00000000" w:rsidRPr="004A4530" w:rsidP="004A4530">
      <w:pPr>
        <w:pStyle w:val="BodyText"/>
      </w:pPr>
    </w:p>
    <w:tbl>
      <w:tblPr>
        <w:tblW w:w="0" w:type="auto"/>
        <w:tblLayout w:type="fixed"/>
        <w:tblCellMar>
          <w:left w:w="62" w:type="dxa"/>
          <w:right w:w="62" w:type="dxa"/>
        </w:tblCellMar>
        <w:tblLook w:val="0000"/>
      </w:tblPr>
      <w:tblGrid>
        <w:gridCol w:w="340"/>
        <w:gridCol w:w="1606"/>
        <w:gridCol w:w="340"/>
        <w:gridCol w:w="6024"/>
        <w:gridCol w:w="29"/>
      </w:tblGrid>
      <w:tr w:rsidTr="00BF1150">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A4530" w:rsidP="004A4530">
            <w:pPr>
              <w:pStyle w:val="BodyText"/>
            </w:pPr>
          </w:p>
          <w:p w:rsidR="00000000" w:rsidRPr="004A4530" w:rsidP="004A4530">
            <w:pPr>
              <w:pStyle w:val="BodyText"/>
            </w:pPr>
            <w:r w:rsidRPr="004A4530">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rPr>
                <w:rStyle w:val="SpecialBold"/>
              </w:rPr>
              <w:t>PERFORMANCE CRITERIA</w:t>
            </w:r>
          </w:p>
        </w:tc>
      </w:tr>
      <w:tr w:rsidTr="00BF1150">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605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All required watchkeeping procedures, safety precautions and regulations are followed when operating pumping systems and associated control systems</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605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Operational hazards are identified a</w:t>
            </w:r>
            <w:r w:rsidRPr="004A4530">
              <w:t>nd action is taken to minimise or eliminate risk to personnel, vessel and the environment</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c</w:t>
            </w:r>
          </w:p>
        </w:tc>
        <w:tc>
          <w:tcPr>
            <w:tcW w:w="605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Safety, hazard minimisation and pollution control procedures and national and international regulations are followed at all times during the </w:t>
            </w:r>
            <w:r w:rsidRPr="004A4530">
              <w:t>operation of pumping systems and associated control systems</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d</w:t>
            </w:r>
          </w:p>
        </w:tc>
        <w:tc>
          <w:tcPr>
            <w:tcW w:w="605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Where relevant, and in consultation with a senior engineer, procedures and precautions necessary for entry into confined spaces on a vessel are correctly followed</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e</w:t>
            </w:r>
          </w:p>
        </w:tc>
        <w:tc>
          <w:tcPr>
            <w:tcW w:w="605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Appropriate action is t</w:t>
            </w:r>
            <w:r w:rsidRPr="004A4530">
              <w:t xml:space="preserve">aken in the event of a failure or emergency associated with pumping systems and associated control systems to isolate and secure the plant and equipment and the vessel and maintain the safety of the vessel and persons involved </w:t>
            </w:r>
          </w:p>
        </w:tc>
      </w:tr>
      <w:tr w:rsidTr="00BF115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f</w:t>
            </w:r>
          </w:p>
        </w:tc>
        <w:tc>
          <w:tcPr>
            <w:tcW w:w="6053" w:type="dxa"/>
            <w:gridSpan w:val="2"/>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Shipboard emergency and contingency plans are followed in the event of a failure or emergency associated with pumping systems and associated control systems</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9" w:name="O_151763"/>
      <w:bookmarkEnd w:id="9"/>
      <w:r w:rsidRPr="004A4530">
        <w:t>Required Skills and Knowledge</w:t>
      </w:r>
    </w:p>
    <w:tbl>
      <w:tblPr>
        <w:tblW w:w="0" w:type="auto"/>
        <w:tblLayout w:type="fixed"/>
        <w:tblCellMar>
          <w:left w:w="62" w:type="dxa"/>
          <w:right w:w="62" w:type="dxa"/>
        </w:tblCellMar>
        <w:tblLook w:val="0000"/>
      </w:tblPr>
      <w:tblGrid>
        <w:gridCol w:w="423"/>
        <w:gridCol w:w="353"/>
        <w:gridCol w:w="7553"/>
        <w:gridCol w:w="10"/>
      </w:tblGrid>
      <w:tr w:rsidTr="00BF1150">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rPr>
                <w:rStyle w:val="SpecialBold"/>
              </w:rPr>
              <w:t>REQUIRED KNOWLEDGE</w:t>
            </w:r>
          </w:p>
        </w:tc>
      </w:tr>
      <w:tr w:rsidTr="00BF1150">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rPr>
                <w:rStyle w:val="Emphasis"/>
              </w:rPr>
              <w:t xml:space="preserve">This </w:t>
            </w:r>
            <w:r w:rsidRPr="004A4530">
              <w:rPr>
                <w:rStyle w:val="Emphasis"/>
              </w:rPr>
              <w:t>describes the knowledge required for this unit</w:t>
            </w:r>
            <w:r w:rsidRPr="004A4530">
              <w:t>.</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National and international regulations, IMO Conventions and Codes, including AMSA Marine Orders applicable to the operation of pumping systems and associated control systems on vessels of unlimited propu</w:t>
            </w:r>
            <w:r w:rsidRPr="004A4530">
              <w:t>lsion power</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Established engineering practice and procedures for the operation of shipboard pumping systems and associated control systems in warm through, manoeuvring, start up, normal running, emergency and shut down situations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Relevant safety, environmental and hazard control legislation, precautions and procedures relevant to the operation of pumping systems and associated control systems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Operational characteristics and performance specifications for the different types of </w:t>
            </w:r>
            <w:r w:rsidRPr="004A4530">
              <w:t>marine pumping systems and associated control systems usually found on a vessel of unlimited propulsion power</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Operating precautions for pumping systems and associated control systems to ensure operational performance is in compliance with the bridge or</w:t>
            </w:r>
            <w:r w:rsidRPr="004A4530">
              <w:t xml:space="preserve">ders, technical specifications, survey requirements and established safety and anti-pollution rules and regulations </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The nature and causes of typical malfunctions and/or poor performance pumping systems and associated control systems and the available </w:t>
            </w:r>
            <w:r w:rsidRPr="004A4530">
              <w:t>methods for their detection and rectification</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Hazards and problems that can occur during the operation of pumping systems and associated control systems and appropriate preventative and remedial action and solutions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8</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Principles and functions of marine pumping systems, including</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756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typical pumping arrangements on a vessel</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756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different types of marine pumps, filters, purifiers, clarifiers and heat exchangers and their applications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w:t>
            </w:r>
          </w:p>
        </w:tc>
        <w:tc>
          <w:tcPr>
            <w:tcW w:w="7563"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different types and locations of </w:t>
            </w:r>
            <w:r w:rsidRPr="004A4530">
              <w:t>valves and safety fittings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9</w:t>
            </w:r>
          </w:p>
        </w:tc>
        <w:tc>
          <w:tcPr>
            <w:tcW w:w="7916"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Elementary knowledge of marine control systems, including</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75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common sensors and their associated transmitters</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75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temperature and pressure control systems used on board vessel</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w:t>
            </w:r>
          </w:p>
        </w:tc>
        <w:tc>
          <w:tcPr>
            <w:tcW w:w="755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typical level control systems used on board vessel</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10</w:t>
            </w:r>
          </w:p>
        </w:tc>
        <w:tc>
          <w:tcPr>
            <w:tcW w:w="790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Operational and performance evaluation records that must be maintained on a vessel to meet the requirements of the company, survey requirements and regulatory authorities</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11</w:t>
            </w:r>
          </w:p>
        </w:tc>
        <w:tc>
          <w:tcPr>
            <w:tcW w:w="790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Maritime communication te</w:t>
            </w:r>
            <w:r w:rsidRPr="004A4530">
              <w:t>chniques needed during the operation of pumping systems and associated control systems</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12</w:t>
            </w:r>
          </w:p>
        </w:tc>
        <w:tc>
          <w:tcPr>
            <w:tcW w:w="790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Procedures for the reading and interpretation of readings and indications of the performance of pumping systems and associated control systems</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13</w:t>
            </w:r>
          </w:p>
        </w:tc>
        <w:tc>
          <w:tcPr>
            <w:tcW w:w="790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Typical vessel and machinery specifications, machinery design drawings, operational manuals, specifications and electrical and control circuit diagrams</w:t>
            </w:r>
          </w:p>
        </w:tc>
      </w:tr>
      <w:tr w:rsidTr="00BF1150">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14</w:t>
            </w:r>
          </w:p>
        </w:tc>
        <w:tc>
          <w:tcPr>
            <w:tcW w:w="7906" w:type="dxa"/>
            <w:gridSpan w:val="2"/>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Purpose and content of material safety data sheets</w:t>
            </w:r>
          </w:p>
        </w:tc>
      </w:tr>
    </w:tbl>
    <w:p w:rsidR="00000000" w:rsidRPr="004A4530" w:rsidP="004A4530">
      <w:pPr>
        <w:pStyle w:val="BodyText"/>
      </w:pPr>
    </w:p>
    <w:tbl>
      <w:tblPr>
        <w:tblW w:w="0" w:type="auto"/>
        <w:tblLayout w:type="fixed"/>
        <w:tblCellMar>
          <w:left w:w="62" w:type="dxa"/>
          <w:right w:w="62" w:type="dxa"/>
        </w:tblCellMar>
        <w:tblLook w:val="0000"/>
      </w:tblPr>
      <w:tblGrid>
        <w:gridCol w:w="423"/>
        <w:gridCol w:w="7906"/>
        <w:gridCol w:w="126"/>
        <w:gridCol w:w="15"/>
      </w:tblGrid>
      <w:tr w:rsidTr="00BF1150">
        <w:tblPrEx>
          <w:tblW w:w="0" w:type="auto"/>
          <w:tblLayout w:type="fixed"/>
          <w:tblCellMar>
            <w:left w:w="62" w:type="dxa"/>
            <w:right w:w="62" w:type="dxa"/>
          </w:tblCellMar>
          <w:tblLook w:val="0000"/>
        </w:tblPrEx>
        <w:trPr>
          <w:gridAfter w:val="2"/>
          <w:wAfter w:w="141" w:type="dxa"/>
          <w:tblHeader/>
        </w:trPr>
        <w:tc>
          <w:tcPr>
            <w:tcW w:w="8329" w:type="dxa"/>
            <w:gridSpan w:val="2"/>
            <w:tcBorders>
              <w:top w:val="nil"/>
              <w:left w:val="nil"/>
              <w:bottom w:val="nil"/>
              <w:right w:val="nil"/>
            </w:tcBorders>
            <w:tcMar>
              <w:top w:w="0" w:type="dxa"/>
              <w:left w:w="62" w:type="dxa"/>
              <w:bottom w:w="0" w:type="dxa"/>
              <w:right w:w="62" w:type="dxa"/>
            </w:tcMar>
          </w:tcPr>
          <w:p w:rsidR="00000000" w:rsidRPr="004A4530" w:rsidP="004A4530">
            <w:pPr>
              <w:pStyle w:val="BodyText"/>
            </w:pPr>
          </w:p>
          <w:p w:rsidR="00000000" w:rsidP="004A4530">
            <w:pPr>
              <w:pStyle w:val="BodyText"/>
              <w:rPr>
                <w:lang w:val="en-NZ"/>
              </w:rPr>
            </w:pPr>
            <w:r w:rsidRPr="004A4530">
              <w:rPr>
                <w:rStyle w:val="SpecialBold"/>
              </w:rPr>
              <w:t>REQUIRED SKILLS</w:t>
            </w:r>
          </w:p>
        </w:tc>
      </w:tr>
      <w:tr w:rsidTr="00BF1150">
        <w:tblPrEx>
          <w:tblW w:w="0" w:type="auto"/>
          <w:tblLayout w:type="fixed"/>
          <w:tblCellMar>
            <w:left w:w="62" w:type="dxa"/>
            <w:right w:w="62" w:type="dxa"/>
          </w:tblCellMar>
          <w:tblLook w:val="0000"/>
        </w:tblPrEx>
        <w:trPr>
          <w:gridAfter w:val="2"/>
          <w:wAfter w:w="141" w:type="dxa"/>
        </w:trPr>
        <w:tc>
          <w:tcPr>
            <w:tcW w:w="8329"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rPr>
                <w:rStyle w:val="Emphasis"/>
              </w:rPr>
              <w:t>This describes the basic skills required for this unit</w:t>
            </w:r>
            <w:r w:rsidRPr="004A4530">
              <w:t>.</w:t>
            </w:r>
          </w:p>
        </w:tc>
      </w:tr>
      <w:tr w:rsidTr="00BF1150">
        <w:tblPrEx>
          <w:tblW w:w="0" w:type="auto"/>
          <w:tblLayout w:type="fixed"/>
          <w:tblCellMar>
            <w:left w:w="62" w:type="dxa"/>
            <w:right w:w="62" w:type="dxa"/>
          </w:tblCellMar>
          <w:tblLook w:val="0000"/>
        </w:tblPrEx>
        <w:trPr>
          <w:gridAfter w:val="2"/>
          <w:wAfter w:w="141"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7906"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Communicate effectively with other personnel when operating pumping systems and associated control systems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Communicate with multilingual crew where applicable using established techniques</w:t>
            </w:r>
          </w:p>
        </w:tc>
      </w:tr>
      <w:tr w:rsidTr="00BF1150">
        <w:tblPrEx>
          <w:tblW w:w="0" w:type="auto"/>
          <w:tblLayout w:type="fixed"/>
          <w:tblCellMar>
            <w:left w:w="62" w:type="dxa"/>
            <w:right w:w="62" w:type="dxa"/>
          </w:tblCellMar>
          <w:tblLook w:val="0000"/>
        </w:tblPrEx>
        <w:trPr>
          <w:gridAfter w:val="2"/>
          <w:wAfter w:w="141"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7906"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Interpret and follow procedures for the operation of pumping systems and associated control systems</w:t>
            </w:r>
          </w:p>
        </w:tc>
      </w:tr>
      <w:tr w:rsidTr="00BF1150">
        <w:tblPrEx>
          <w:tblW w:w="0" w:type="auto"/>
          <w:tblLayout w:type="fixed"/>
          <w:tblCellMar>
            <w:left w:w="62" w:type="dxa"/>
            <w:right w:w="62" w:type="dxa"/>
          </w:tblCellMar>
          <w:tblLook w:val="0000"/>
        </w:tblPrEx>
        <w:trPr>
          <w:gridAfter w:val="2"/>
          <w:wAfter w:w="141"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7906"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Read and interpret equipment performance readings and instrumentation</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Interpret and follow all safety management procedures and precautions when opera</w:t>
            </w:r>
            <w:r w:rsidRPr="004A4530">
              <w:t>ting pumping systems and associated control systems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Read and interpret material safety data sheets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Read and interpret vessel and machinery specifications, machinery design drawings, machine drawings, operational manuals, specifications and electrical</w:t>
            </w:r>
            <w:r w:rsidRPr="004A4530">
              <w:t xml:space="preserve"> and control circuit diagrams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8</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Work collaboratively with other shipboard personnel when operating pumping systems and associated control systems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9</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Identify problems that can occur during the operation of pumping systems and associated control systems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10</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Carry out calculations required when operating pumping systems and associated control systems</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11</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Adapt to differing types of pumping systems and associated control systems from one vessel to another and when equipment and systems are changed</w:t>
            </w:r>
          </w:p>
        </w:tc>
      </w:tr>
      <w:tr w:rsidTr="00BF115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12</w:t>
            </w:r>
          </w:p>
        </w:tc>
        <w:tc>
          <w:tcPr>
            <w:tcW w:w="804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Take a</w:t>
            </w:r>
            <w:r w:rsidRPr="004A4530">
              <w:t>ppropriate precautions to prevent pollution of the marine environment</w:t>
            </w:r>
          </w:p>
        </w:tc>
      </w:tr>
      <w:tr w:rsidTr="00BF1150">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13</w:t>
            </w:r>
          </w:p>
        </w:tc>
        <w:tc>
          <w:tcPr>
            <w:tcW w:w="8032" w:type="dxa"/>
            <w:gridSpan w:val="2"/>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Select and use tools and equipment required for the operation of pumping systems and associated control systems</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10" w:name="O_151764"/>
      <w:bookmarkEnd w:id="10"/>
      <w:r w:rsidRPr="004A4530">
        <w:t>Evidence Guide</w:t>
      </w:r>
    </w:p>
    <w:tbl>
      <w:tblPr>
        <w:tblW w:w="0" w:type="auto"/>
        <w:tblLayout w:type="fixed"/>
        <w:tblCellMar>
          <w:left w:w="62" w:type="dxa"/>
          <w:right w:w="62" w:type="dxa"/>
        </w:tblCellMar>
        <w:tblLook w:val="0000"/>
      </w:tblPr>
      <w:tblGrid>
        <w:gridCol w:w="303"/>
        <w:gridCol w:w="1789"/>
        <w:gridCol w:w="361"/>
        <w:gridCol w:w="358"/>
        <w:gridCol w:w="5667"/>
        <w:gridCol w:w="15"/>
        <w:gridCol w:w="75"/>
      </w:tblGrid>
      <w:tr w:rsidTr="00BF1150">
        <w:tblPrEx>
          <w:tblW w:w="0" w:type="auto"/>
          <w:tblLayout w:type="fixed"/>
          <w:tblCellMar>
            <w:left w:w="62" w:type="dxa"/>
            <w:right w:w="62" w:type="dxa"/>
          </w:tblCellMar>
          <w:tblLook w:val="0000"/>
        </w:tblPrEx>
        <w:trPr>
          <w:tblHeader/>
        </w:trPr>
        <w:tc>
          <w:tcPr>
            <w:tcW w:w="856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Evidence Guide</w:t>
            </w:r>
            <w:r w:rsidRPr="004A4530">
              <w:t xml:space="preserve">  </w:t>
            </w:r>
          </w:p>
          <w:p w:rsidR="00000000" w:rsidP="004A4530">
            <w:pPr>
              <w:pStyle w:val="BodyText"/>
              <w:rPr>
                <w:lang w:val="en-NZ"/>
              </w:rPr>
            </w:pPr>
            <w:r w:rsidRPr="004A4530">
              <w:rPr>
                <w:rStyle w:val="SpecialBold"/>
              </w:rPr>
              <w:t>TDMMR1007B OPERATE PUMPING SYSTEMS AND ASSOCIATED CONTROL SYSTEMS</w:t>
            </w:r>
          </w:p>
        </w:tc>
      </w:tr>
      <w:tr w:rsidTr="00BF1150">
        <w:tblPrEx>
          <w:tblW w:w="0" w:type="auto"/>
          <w:tblLayout w:type="fixed"/>
          <w:tblCellMar>
            <w:left w:w="62" w:type="dxa"/>
            <w:right w:w="62" w:type="dxa"/>
          </w:tblCellMar>
          <w:tblLook w:val="0000"/>
        </w:tblPrEx>
        <w:trPr>
          <w:gridAfter w:val="1"/>
          <w:wAfter w:w="75" w:type="dxa"/>
        </w:trPr>
        <w:tc>
          <w:tcPr>
            <w:tcW w:w="8493" w:type="dxa"/>
            <w:gridSpan w:val="6"/>
            <w:tcBorders>
              <w:top w:val="nil"/>
              <w:left w:val="nil"/>
              <w:bottom w:val="nil"/>
              <w:right w:val="nil"/>
            </w:tcBorders>
            <w:tcMar>
              <w:top w:w="0" w:type="dxa"/>
              <w:left w:w="62" w:type="dxa"/>
              <w:bottom w:w="0" w:type="dxa"/>
              <w:right w:w="62" w:type="dxa"/>
            </w:tcMar>
          </w:tcPr>
          <w:p w:rsidR="00000000" w:rsidRPr="004A4530" w:rsidP="004A4530">
            <w:pPr>
              <w:pStyle w:val="BodyText"/>
            </w:pPr>
          </w:p>
          <w:p w:rsidR="00000000" w:rsidP="004A4530">
            <w:pPr>
              <w:pStyle w:val="BodyText"/>
              <w:rPr>
                <w:lang w:val="en-NZ"/>
              </w:rPr>
            </w:pPr>
            <w:r w:rsidRPr="004A4530">
              <w:rPr>
                <w:rStyle w:val="Emphasis"/>
              </w:rPr>
              <w:t>The Evidence Guide provides advice on assessment and must be read in conjunction with the Performance Criteria</w:t>
            </w:r>
            <w:r w:rsidRPr="004A4530">
              <w:t xml:space="preserve">, </w:t>
            </w:r>
            <w:r w:rsidRPr="004A4530">
              <w:rPr>
                <w:rStyle w:val="Emphasis"/>
              </w:rPr>
              <w:t>Required Skills and Knowledge</w:t>
            </w:r>
            <w:r w:rsidRPr="004A4530">
              <w:t xml:space="preserve">, </w:t>
            </w:r>
            <w:r w:rsidRPr="004A4530">
              <w:rPr>
                <w:rStyle w:val="Emphasis"/>
              </w:rPr>
              <w:t>the Range Statement and the Assessment G</w:t>
            </w:r>
            <w:r w:rsidRPr="004A4530">
              <w:rPr>
                <w:rStyle w:val="Emphasis"/>
              </w:rPr>
              <w:t>uidelines for this Training Package</w:t>
            </w:r>
            <w:r w:rsidRPr="004A4530">
              <w:t>.</w:t>
            </w:r>
          </w:p>
        </w:tc>
      </w:tr>
      <w:tr w:rsidTr="00BF1150">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Assessment must confirm appropriate knowledge and skills to:</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Ensure a safe engineering watch during the operation of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Operate shipboard pumping systems and associated control systems within specifications </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c</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Identify malfunctioning pumping systems and associated control systems and, in consultation with a senior engineer, initiate appropriate action for repair or replacement</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d</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Exercise all required safety, environmental and hazard control precautions and procedures when overseeing the operation of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e</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Identify typical operational problems and hazards when operating pumping systems</w:t>
            </w:r>
            <w:r w:rsidRPr="004A4530">
              <w:t xml:space="preserve"> and associated control systems and take appropriate action</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f</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Communicate effectively with others during operation of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g</w:t>
            </w:r>
          </w:p>
        </w:tc>
        <w:tc>
          <w:tcPr>
            <w:tcW w:w="6025"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Ensure adherence to applicable maritime regulations</w:t>
            </w:r>
          </w:p>
        </w:tc>
      </w:tr>
      <w:tr w:rsidTr="00BF1150">
        <w:tblPrEx>
          <w:tblW w:w="0" w:type="auto"/>
          <w:tblLayout w:type="fixed"/>
          <w:tblCellMar>
            <w:left w:w="62" w:type="dxa"/>
            <w:right w:w="62" w:type="dxa"/>
          </w:tblCellMar>
          <w:tblLook w:val="0000"/>
        </w:tblPrEx>
        <w:trPr>
          <w:gridAfter w:val="1"/>
          <w:wAfter w:w="75"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1"/>
          <w:wAfter w:w="75" w:type="dxa"/>
        </w:trPr>
        <w:tc>
          <w:tcPr>
            <w:tcW w:w="303"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6040"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Performance is demonstrated consistently over a period of time and in a suitable range of contexts</w:t>
            </w:r>
          </w:p>
        </w:tc>
      </w:tr>
      <w:tr w:rsidTr="00BF1150">
        <w:tblPrEx>
          <w:tblW w:w="0" w:type="auto"/>
          <w:tblLayout w:type="fixed"/>
          <w:tblCellMar>
            <w:left w:w="62" w:type="dxa"/>
            <w:right w:w="62" w:type="dxa"/>
          </w:tblCellMar>
          <w:tblLook w:val="0000"/>
        </w:tblPrEx>
        <w:trPr>
          <w:gridAfter w:val="1"/>
          <w:wAfter w:w="7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6040"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Consistently applies underpinning knowledge and skills when:</w:t>
            </w:r>
          </w:p>
        </w:tc>
      </w:tr>
      <w:tr w:rsidTr="00BF1150">
        <w:tblPrEx>
          <w:tblW w:w="0" w:type="auto"/>
          <w:tblLayout w:type="fixed"/>
          <w:tblCellMar>
            <w:left w:w="62" w:type="dxa"/>
            <w:right w:w="62" w:type="dxa"/>
          </w:tblCellMar>
          <w:tblLook w:val="0000"/>
        </w:tblPrEx>
        <w:trPr>
          <w:gridAfter w:val="1"/>
          <w:wAfter w:w="7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5682"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maintaining a safe engineering watch involving the operation of pumping systems and associated control systems</w:t>
            </w:r>
          </w:p>
        </w:tc>
      </w:tr>
      <w:tr w:rsidTr="00BF1150">
        <w:tblPrEx>
          <w:tblW w:w="0" w:type="auto"/>
          <w:tblLayout w:type="fixed"/>
          <w:tblCellMar>
            <w:left w:w="62" w:type="dxa"/>
            <w:right w:w="62" w:type="dxa"/>
          </w:tblCellMar>
          <w:tblLook w:val="0000"/>
        </w:tblPrEx>
        <w:trPr>
          <w:gridAfter w:val="1"/>
          <w:wAfter w:w="7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5682"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assessing operational performance of pumping systems and associated control systems</w:t>
            </w:r>
          </w:p>
        </w:tc>
      </w:tr>
      <w:tr w:rsidTr="00BF1150">
        <w:tblPrEx>
          <w:tblW w:w="0" w:type="auto"/>
          <w:tblLayout w:type="fixed"/>
          <w:tblCellMar>
            <w:left w:w="62" w:type="dxa"/>
            <w:right w:w="62" w:type="dxa"/>
          </w:tblCellMar>
          <w:tblLook w:val="0000"/>
        </w:tblPrEx>
        <w:trPr>
          <w:gridAfter w:val="1"/>
          <w:wAfter w:w="7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5682"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assisting in the identifi</w:t>
            </w:r>
            <w:r w:rsidRPr="004A4530">
              <w:t>cation of operational problems with pumping systems and associated control systems and associated system and taking remedial action</w:t>
            </w:r>
          </w:p>
        </w:tc>
      </w:tr>
      <w:tr w:rsidTr="00BF1150">
        <w:tblPrEx>
          <w:tblW w:w="0" w:type="auto"/>
          <w:tblLayout w:type="fixed"/>
          <w:tblCellMar>
            <w:left w:w="62" w:type="dxa"/>
            <w:right w:w="62" w:type="dxa"/>
          </w:tblCellMar>
          <w:tblLook w:val="0000"/>
        </w:tblPrEx>
        <w:trPr>
          <w:gridAfter w:val="1"/>
          <w:wAfter w:w="7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5682"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taking action, in consultation with a senior engineer, to minimise any damage and safety risk that could be caused by malfunctions in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5667"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identifying and implementing improvements to procedures for the opera</w:t>
            </w:r>
            <w:r w:rsidRPr="004A4530">
              <w:t>tion of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5667" w:type="dxa"/>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applying safety precautions relevant to the operation of pumping systems and associated control systems</w:t>
            </w:r>
          </w:p>
        </w:tc>
      </w:tr>
    </w:tbl>
    <w:p w:rsidR="00000000" w:rsidRPr="004A4530" w:rsidP="004A4530">
      <w:pPr>
        <w:pStyle w:val="BodyText"/>
      </w:pPr>
    </w:p>
    <w:tbl>
      <w:tblPr>
        <w:tblW w:w="0" w:type="auto"/>
        <w:tblLayout w:type="fixed"/>
        <w:tblCellMar>
          <w:left w:w="62" w:type="dxa"/>
          <w:right w:w="62" w:type="dxa"/>
        </w:tblCellMar>
        <w:tblLook w:val="0000"/>
      </w:tblPr>
      <w:tblGrid>
        <w:gridCol w:w="303"/>
        <w:gridCol w:w="1789"/>
        <w:gridCol w:w="361"/>
        <w:gridCol w:w="358"/>
        <w:gridCol w:w="357"/>
        <w:gridCol w:w="5310"/>
        <w:gridCol w:w="15"/>
        <w:gridCol w:w="75"/>
      </w:tblGrid>
      <w:tr w:rsidTr="00BF1150">
        <w:tblPrEx>
          <w:tblW w:w="0" w:type="auto"/>
          <w:tblLayout w:type="fixed"/>
          <w:tblCellMar>
            <w:left w:w="62" w:type="dxa"/>
            <w:right w:w="62" w:type="dxa"/>
          </w:tblCellMar>
          <w:tblLook w:val="0000"/>
        </w:tblPrEx>
        <w:trPr>
          <w:tblHeader/>
        </w:trPr>
        <w:tc>
          <w:tcPr>
            <w:tcW w:w="8568" w:type="dxa"/>
            <w:gridSpan w:val="8"/>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Evidence Guide</w:t>
            </w:r>
            <w:r w:rsidRPr="004A4530">
              <w:t xml:space="preserve"> (</w:t>
            </w:r>
            <w:r w:rsidRPr="004A4530">
              <w:rPr>
                <w:rStyle w:val="SpecialBold"/>
              </w:rPr>
              <w:t>continued</w:t>
            </w:r>
            <w:r w:rsidRPr="004A4530">
              <w:t xml:space="preserve">) </w:t>
            </w:r>
          </w:p>
          <w:p w:rsidR="00000000" w:rsidP="004A4530">
            <w:pPr>
              <w:pStyle w:val="BodyText"/>
              <w:rPr>
                <w:lang w:val="en-NZ"/>
              </w:rPr>
            </w:pPr>
            <w:r w:rsidRPr="004A4530">
              <w:rPr>
                <w:rStyle w:val="SpecialBold"/>
              </w:rPr>
              <w:t>TDMMR1007B OPERATE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4A4530" w:rsidP="004A4530">
            <w:pPr>
              <w:pStyle w:val="BodyText"/>
            </w:pPr>
          </w:p>
          <w:p w:rsidR="00000000" w:rsidRPr="004A4530" w:rsidP="004A4530">
            <w:pPr>
              <w:pStyle w:val="BodyText"/>
            </w:pPr>
            <w:r w:rsidRPr="004A4530">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Evidence required for demonstration of consistent performance</w:t>
            </w:r>
          </w:p>
          <w:p w:rsidR="00000000" w:rsidP="004A4530">
            <w:pPr>
              <w:pStyle w:val="BodyText"/>
              <w:rPr>
                <w:lang w:val="en-NZ"/>
              </w:rPr>
            </w:pPr>
            <w:r w:rsidRPr="004A4530">
              <w:t>(</w:t>
            </w:r>
            <w:r w:rsidRPr="004A4530">
              <w:rPr>
                <w:rStyle w:val="SpecialBold"/>
              </w:rPr>
              <w:t>continued</w:t>
            </w:r>
            <w:r w:rsidRPr="004A4530">
              <w:t>)</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completing operations documentation and records </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c</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Shows evidence of application of relevant workplace procedures, including:</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relevant sections of applicable maritime regulations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OH&amp;S regulations and hazard prevention policies and procedures </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ISM Code sa</w:t>
            </w:r>
            <w:r w:rsidRPr="004A4530">
              <w:t>fety management system procedures, quality procedures and work instructions on the operation of pumping systems and associated control systems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following on-board housekeeping processes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d</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Action is taken promptly to report and assist in the rectification of malfunctions in pumping systems and associated control systems, non-conformities, accidents, hazardous occurrences and safety incidents in accordance with statutory requirements, company</w:t>
            </w:r>
            <w:r w:rsidRPr="004A4530">
              <w:t xml:space="preserve"> procedures and the ISM Code</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e</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Work is managed, controlled and completed systematically with required attention to detail</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f</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Recognises and adapts appropriately to cultural differences in the workplace, including modes of behaviour and interactions between crew and others</w:t>
            </w:r>
          </w:p>
        </w:tc>
      </w:tr>
      <w:tr w:rsidTr="00BF1150">
        <w:tblPrEx>
          <w:tblW w:w="0" w:type="auto"/>
          <w:tblLayout w:type="fixed"/>
          <w:tblCellMar>
            <w:left w:w="62" w:type="dxa"/>
            <w:right w:w="62" w:type="dxa"/>
          </w:tblCellMar>
          <w:tblLook w:val="0000"/>
        </w:tblPrEx>
        <w:trPr>
          <w:gridAfter w:val="1"/>
          <w:wAfter w:w="75"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Assessment of competency must comply with the assessment requirements of the relevant maritime regulations</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Assessment of this unit must be undertaken within relevant marine authority approved and audited arrangements by a registered training organisation:</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As a minimum, assessment of knowledg</w:t>
            </w:r>
            <w:r w:rsidRPr="004A4530">
              <w:t>e must be conducted through appropriate written/oral examinations, and</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5667"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Appropriate practical assessment must occur:</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w:t>
            </w:r>
          </w:p>
        </w:tc>
        <w:tc>
          <w:tcPr>
            <w:tcW w:w="5310"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at the registered training organisation; and/or </w:t>
            </w:r>
          </w:p>
        </w:tc>
      </w:tr>
      <w:tr w:rsidTr="00BF1150">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ii</w:t>
            </w:r>
          </w:p>
        </w:tc>
        <w:tc>
          <w:tcPr>
            <w:tcW w:w="5310"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on an appropriate working or training vessel</w:t>
            </w:r>
          </w:p>
        </w:tc>
      </w:tr>
      <w:tr w:rsidTr="00BF1150">
        <w:tblPrEx>
          <w:tblW w:w="0" w:type="auto"/>
          <w:tblLayout w:type="fixed"/>
          <w:tblCellMar>
            <w:left w:w="62" w:type="dxa"/>
            <w:right w:w="62" w:type="dxa"/>
          </w:tblCellMar>
          <w:tblLook w:val="0000"/>
        </w:tblPrEx>
        <w:trPr>
          <w:gridAfter w:val="1"/>
          <w:wAfter w:w="75"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90" w:type="dxa"/>
        </w:trPr>
        <w:tc>
          <w:tcPr>
            <w:tcW w:w="2092" w:type="dxa"/>
            <w:gridSpan w:val="2"/>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4</w:t>
            </w:r>
            <w:r w:rsidRPr="004A4530">
              <w:tab/>
            </w:r>
            <w:r w:rsidRPr="004A4530">
              <w:rPr>
                <w:rStyle w:val="SpecialBold"/>
              </w:rPr>
              <w:t>Specific resources 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Access is required to opportunities to:</w:t>
            </w:r>
          </w:p>
        </w:tc>
      </w:tr>
      <w:tr w:rsidTr="00BF1150">
        <w:tblPrEx>
          <w:tblW w:w="0" w:type="auto"/>
          <w:tblLayout w:type="fixed"/>
          <w:tblCellMar>
            <w:left w:w="62" w:type="dxa"/>
            <w:right w:w="62" w:type="dxa"/>
          </w:tblCellMar>
          <w:tblLook w:val="0000"/>
        </w:tblPrEx>
        <w:trPr>
          <w:gridAfter w:val="2"/>
          <w:wAfter w:w="90"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a</w:t>
            </w:r>
          </w:p>
        </w:tc>
        <w:tc>
          <w:tcPr>
            <w:tcW w:w="6025"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participate in a range of practical and theoretical assignments, exercises, case studies and other assessments that demonstrate the skills </w:t>
            </w:r>
            <w:r w:rsidRPr="004A4530">
              <w:t>and knowledge to operate pumping systems and associated control systems typically found on a vessel of unlimited propulsion power; and/or</w:t>
            </w:r>
          </w:p>
        </w:tc>
      </w:tr>
      <w:tr w:rsidTr="00BF1150">
        <w:tblPrEx>
          <w:tblW w:w="0" w:type="auto"/>
          <w:tblLayout w:type="fixed"/>
          <w:tblCellMar>
            <w:left w:w="62" w:type="dxa"/>
            <w:right w:w="62" w:type="dxa"/>
          </w:tblCellMar>
          <w:tblLook w:val="0000"/>
        </w:tblPrEx>
        <w:trPr>
          <w:gridAfter w:val="2"/>
          <w:wAfter w:w="90" w:type="dxa"/>
        </w:trPr>
        <w:tc>
          <w:tcPr>
            <w:tcW w:w="2092"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b</w:t>
            </w:r>
          </w:p>
        </w:tc>
        <w:tc>
          <w:tcPr>
            <w:tcW w:w="6025" w:type="dxa"/>
            <w:gridSpan w:val="3"/>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operate the pumping systems and associated control systems in a range of operational situations while keeping a safe engineering watch on a commercial or training vessel of unlimited propulsion power</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11" w:name="O_151765"/>
      <w:bookmarkEnd w:id="11"/>
      <w:r w:rsidRPr="004A4530">
        <w:t>Range Statement</w:t>
      </w:r>
    </w:p>
    <w:tbl>
      <w:tblPr>
        <w:tblW w:w="0" w:type="auto"/>
        <w:tblLayout w:type="fixed"/>
        <w:tblCellMar>
          <w:left w:w="62" w:type="dxa"/>
          <w:right w:w="62" w:type="dxa"/>
        </w:tblCellMar>
        <w:tblLook w:val="0000"/>
      </w:tblPr>
      <w:tblGrid>
        <w:gridCol w:w="340"/>
        <w:gridCol w:w="6"/>
        <w:gridCol w:w="1744"/>
        <w:gridCol w:w="357"/>
        <w:gridCol w:w="11"/>
        <w:gridCol w:w="6017"/>
        <w:gridCol w:w="18"/>
        <w:gridCol w:w="28"/>
        <w:gridCol w:w="47"/>
      </w:tblGrid>
      <w:tr w:rsidTr="00BF1150">
        <w:tblPrEx>
          <w:tblW w:w="0" w:type="auto"/>
          <w:tblLayout w:type="fixed"/>
          <w:tblCellMar>
            <w:left w:w="62" w:type="dxa"/>
            <w:right w:w="62" w:type="dxa"/>
          </w:tblCellMar>
          <w:tblLook w:val="0000"/>
        </w:tblPrEx>
        <w:trPr>
          <w:tblHeader/>
        </w:trPr>
        <w:tc>
          <w:tcPr>
            <w:tcW w:w="8568" w:type="dxa"/>
            <w:gridSpan w:val="9"/>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 xml:space="preserve">Range Statement </w:t>
            </w:r>
          </w:p>
          <w:p w:rsidR="00000000" w:rsidP="004A4530">
            <w:pPr>
              <w:pStyle w:val="BodyText"/>
              <w:rPr>
                <w:lang w:val="en-NZ"/>
              </w:rPr>
            </w:pPr>
            <w:r w:rsidRPr="004A4530">
              <w:rPr>
                <w:rStyle w:val="SpecialBold"/>
              </w:rPr>
              <w:t>TD</w:t>
            </w:r>
            <w:r w:rsidRPr="004A4530">
              <w:rPr>
                <w:rStyle w:val="SpecialBold"/>
              </w:rPr>
              <w:t>MMR1007B OPERATE PUMPING SYSTEMS AND ASSOCIATED CONTROL SYSTEMS</w:t>
            </w:r>
          </w:p>
        </w:tc>
      </w:tr>
      <w:tr w:rsidTr="00BF1150">
        <w:tblPrEx>
          <w:tblW w:w="0" w:type="auto"/>
          <w:tblLayout w:type="fixed"/>
          <w:tblCellMar>
            <w:left w:w="62" w:type="dxa"/>
            <w:right w:w="62" w:type="dxa"/>
          </w:tblCellMar>
          <w:tblLook w:val="0000"/>
        </w:tblPrEx>
        <w:trPr>
          <w:gridAfter w:val="1"/>
          <w:wAfter w:w="47" w:type="dxa"/>
        </w:trPr>
        <w:tc>
          <w:tcPr>
            <w:tcW w:w="8521" w:type="dxa"/>
            <w:gridSpan w:val="8"/>
            <w:tcBorders>
              <w:top w:val="single" w:sz="6" w:space="0" w:color="auto"/>
              <w:left w:val="nil"/>
              <w:bottom w:val="nil"/>
              <w:right w:val="nil"/>
            </w:tcBorders>
            <w:tcMar>
              <w:top w:w="0" w:type="dxa"/>
              <w:left w:w="62" w:type="dxa"/>
              <w:bottom w:w="0" w:type="dxa"/>
              <w:right w:w="62" w:type="dxa"/>
            </w:tcMar>
          </w:tcPr>
          <w:p w:rsidR="00000000" w:rsidRPr="004A4530" w:rsidP="004A4530">
            <w:pPr>
              <w:pStyle w:val="BodyText"/>
            </w:pPr>
          </w:p>
          <w:p w:rsidR="00000000" w:rsidP="004A4530">
            <w:pPr>
              <w:pStyle w:val="BodyText"/>
              <w:rPr>
                <w:lang w:val="en-NZ"/>
              </w:rPr>
            </w:pPr>
            <w:r w:rsidRPr="004A4530">
              <w:rPr>
                <w:rStyle w:val="Emphasis"/>
              </w:rPr>
              <w:t>The Range Statement relates to the unit of competency as a whole</w:t>
            </w:r>
            <w:r w:rsidRPr="004A4530">
              <w:t xml:space="preserve">. </w:t>
            </w:r>
            <w:r w:rsidRPr="004A4530">
              <w:rPr>
                <w:rStyle w:val="Emphasis"/>
              </w:rPr>
              <w:t>It allows for different work environments and situations that may affect performance</w:t>
            </w:r>
            <w:r w:rsidRPr="004A4530">
              <w:t>.</w:t>
            </w:r>
          </w:p>
        </w:tc>
      </w:tr>
      <w:tr w:rsidTr="00BF1150">
        <w:tblPrEx>
          <w:tblW w:w="0" w:type="auto"/>
          <w:tblLayout w:type="fixed"/>
          <w:tblCellMar>
            <w:left w:w="62" w:type="dxa"/>
            <w:right w:w="62" w:type="dxa"/>
          </w:tblCellMar>
          <w:tblLook w:val="0000"/>
        </w:tblPrEx>
        <w:trPr>
          <w:gridAfter w:val="1"/>
          <w:wAfter w:w="47"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rPr>
                <w:rStyle w:val="SpecialBold"/>
              </w:rPr>
              <w:t>SCOPE</w:t>
            </w:r>
          </w:p>
        </w:tc>
      </w:tr>
      <w:tr w:rsidTr="00BF1150">
        <w:tblPrEx>
          <w:tblW w:w="0" w:type="auto"/>
          <w:tblLayout w:type="fixed"/>
          <w:tblCellMar>
            <w:left w:w="62" w:type="dxa"/>
            <w:right w:w="62" w:type="dxa"/>
          </w:tblCellMar>
          <w:tblLook w:val="0000"/>
        </w:tblPrEx>
        <w:trPr>
          <w:gridAfter w:val="1"/>
          <w:wAfter w:w="47" w:type="dxa"/>
        </w:trPr>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rPr>
                <w:rStyle w:val="SpecialBold"/>
              </w:rPr>
              <w:t>1</w:t>
            </w:r>
            <w:r w:rsidRPr="004A4530">
              <w:t>.</w:t>
            </w:r>
            <w:r w:rsidRPr="004A4530">
              <w:tab/>
            </w:r>
            <w:r w:rsidRPr="004A4530">
              <w:rPr>
                <w:rStyle w:val="SpecialBold"/>
              </w:rPr>
              <w:t>GENERAL CONTEXT</w:t>
            </w:r>
          </w:p>
        </w:tc>
      </w:tr>
      <w:tr w:rsidTr="00BF1150">
        <w:tblPrEx>
          <w:tblW w:w="0" w:type="auto"/>
          <w:tblLayout w:type="fixed"/>
          <w:tblCellMar>
            <w:left w:w="62" w:type="dxa"/>
            <w:right w:w="62" w:type="dxa"/>
          </w:tblCellMar>
          <w:tblLook w:val="0000"/>
        </w:tblPrEx>
        <w:trPr>
          <w:gridAfter w:val="3"/>
          <w:wAfter w:w="9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3"/>
          <w:wAfter w:w="93" w:type="dxa"/>
        </w:trPr>
        <w:tc>
          <w:tcPr>
            <w:tcW w:w="340" w:type="dxa"/>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a</w:t>
            </w:r>
            <w:r w:rsidRPr="004A453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Work must be carried out</w:t>
            </w:r>
            <w:r w:rsidRPr="004A453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17"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in compliance with mandatory rules and regulations and IMO Conventions and Codes, including the relevant sections of the AMSA Marine Orders </w:t>
            </w:r>
            <w:r w:rsidRPr="004A4530">
              <w:t>and ensuring that applicable codes, guidelines and standards recommended by IMO, the classification societies and maritime industry organisations are taken into account</w:t>
            </w:r>
          </w:p>
        </w:tc>
      </w:tr>
      <w:tr w:rsidTr="00BF1150">
        <w:tblPrEx>
          <w:tblW w:w="0" w:type="auto"/>
          <w:tblLayout w:type="fixed"/>
          <w:tblCellMar>
            <w:left w:w="62" w:type="dxa"/>
            <w:right w:w="62" w:type="dxa"/>
          </w:tblCellMar>
          <w:tblLook w:val="0000"/>
        </w:tblPrEx>
        <w:trPr>
          <w:gridAfter w:val="2"/>
          <w:wAfter w:w="7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3"/>
          <w:wAfter w:w="93" w:type="dxa"/>
        </w:trPr>
        <w:tc>
          <w:tcPr>
            <w:tcW w:w="340" w:type="dxa"/>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b</w:t>
            </w:r>
            <w:r w:rsidRPr="004A453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Work is performed</w:t>
            </w:r>
            <w:r w:rsidRPr="004A453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17"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relatively independently in consultation with a senior engineer, within broad operational requirements, with limited accountability and responsibility for self and others in achieving the prescribed outcomes</w:t>
            </w:r>
          </w:p>
        </w:tc>
      </w:tr>
      <w:tr w:rsidTr="00BF1150">
        <w:tblPrEx>
          <w:tblW w:w="0" w:type="auto"/>
          <w:tblLayout w:type="fixed"/>
          <w:tblCellMar>
            <w:left w:w="62" w:type="dxa"/>
            <w:right w:w="62" w:type="dxa"/>
          </w:tblCellMar>
          <w:tblLook w:val="0000"/>
        </w:tblPrEx>
        <w:trPr>
          <w:gridAfter w:val="3"/>
          <w:wAfter w:w="9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3"/>
          <w:wAfter w:w="93"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4A4530" w:rsidP="004A4530">
            <w:pPr>
              <w:pStyle w:val="BodyText"/>
            </w:pPr>
            <w:r w:rsidRPr="004A4530">
              <w:rPr>
                <w:rStyle w:val="SpecialBold"/>
              </w:rPr>
              <w:t>c</w:t>
            </w:r>
            <w:r w:rsidRPr="004A453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Work involves</w:t>
            </w:r>
            <w:r w:rsidRPr="004A453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t>the application o</w:t>
            </w:r>
            <w:r w:rsidRPr="004A4530">
              <w:t>f marine engineering practice to the operation of pumping systems and associated control systems across a wide and often unpredictable variety of operational contexts. Monitoring and supervising the implementation of a broad plan or strategy for the operat</w:t>
            </w:r>
            <w:r w:rsidRPr="004A4530">
              <w:t>ion of pumping systems and associated control systems is required. Defined accountability and responsibility for self and others in achieving the outcomes is involved</w:t>
            </w:r>
          </w:p>
        </w:tc>
      </w:tr>
      <w:tr w:rsidTr="00BF1150">
        <w:tblPrEx>
          <w:tblW w:w="0" w:type="auto"/>
          <w:tblLayout w:type="fixed"/>
          <w:tblCellMar>
            <w:left w:w="62" w:type="dxa"/>
            <w:right w:w="62" w:type="dxa"/>
          </w:tblCellMar>
          <w:tblLook w:val="0000"/>
        </w:tblPrEx>
        <w:trPr>
          <w:gridAfter w:val="2"/>
          <w:wAfter w:w="7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3"/>
          <w:wAfter w:w="93" w:type="dxa"/>
        </w:trPr>
        <w:tc>
          <w:tcPr>
            <w:tcW w:w="340" w:type="dxa"/>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d</w:t>
            </w:r>
            <w:r w:rsidRPr="004A453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Work requires</w:t>
            </w:r>
            <w:r w:rsidRPr="004A453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17"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some responsibility for overseeing the operation of operation of shipboard pumping systems and associated control systems. This includes supervision and control of personnel, hazard minimisation, analysis of performance and operational situations and relat</w:t>
            </w:r>
            <w:r w:rsidRPr="004A4530">
              <w:t>ed decision making</w:t>
            </w:r>
          </w:p>
        </w:tc>
      </w:tr>
      <w:tr w:rsidTr="00BF1150">
        <w:tblPrEx>
          <w:tblW w:w="0" w:type="auto"/>
          <w:tblLayout w:type="fixed"/>
          <w:tblCellMar>
            <w:left w:w="62" w:type="dxa"/>
            <w:right w:w="62" w:type="dxa"/>
          </w:tblCellMar>
          <w:tblLook w:val="0000"/>
        </w:tblPrEx>
        <w:trPr>
          <w:gridAfter w:val="3"/>
          <w:wAfter w:w="93"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rPr>
                <w:rStyle w:val="SpecialBold"/>
              </w:rPr>
              <w:t>2</w:t>
            </w:r>
            <w:r w:rsidRPr="004A4530">
              <w:t>.</w:t>
            </w:r>
            <w:r w:rsidRPr="004A4530">
              <w:tab/>
            </w:r>
            <w:r w:rsidRPr="004A4530">
              <w:rPr>
                <w:rStyle w:val="SpecialBold"/>
              </w:rPr>
              <w:t>WORKSITE ENVIRONMENT</w:t>
            </w:r>
          </w:p>
        </w:tc>
      </w:tr>
      <w:tr w:rsidTr="00BF1150">
        <w:tblPrEx>
          <w:tblW w:w="0" w:type="auto"/>
          <w:tblLayout w:type="fixed"/>
          <w:tblCellMar>
            <w:left w:w="62" w:type="dxa"/>
            <w:right w:w="62" w:type="dxa"/>
          </w:tblCellMar>
          <w:tblLook w:val="0000"/>
        </w:tblPrEx>
        <w:trPr>
          <w:gridAfter w:val="3"/>
          <w:wAfter w:w="9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75" w:type="dxa"/>
        </w:trPr>
        <w:tc>
          <w:tcPr>
            <w:tcW w:w="346" w:type="dxa"/>
            <w:gridSpan w:val="2"/>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The operation of shipboard pumping systems and associated control systems may be undertaken</w:t>
            </w:r>
            <w:r w:rsidRPr="004A453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46" w:type="dxa"/>
            <w:gridSpan w:val="3"/>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on an Australian or international commercial vessel of unlimited propulsion power</w:t>
            </w:r>
          </w:p>
        </w:tc>
      </w:tr>
    </w:tbl>
    <w:p w:rsidR="00000000" w:rsidRPr="004A4530" w:rsidP="004A4530">
      <w:pPr>
        <w:pStyle w:val="BodyText"/>
      </w:pPr>
    </w:p>
    <w:tbl>
      <w:tblPr>
        <w:tblW w:w="0" w:type="auto"/>
        <w:tblLayout w:type="fixed"/>
        <w:tblCellMar>
          <w:left w:w="62" w:type="dxa"/>
          <w:right w:w="62" w:type="dxa"/>
        </w:tblCellMar>
        <w:tblLook w:val="0000"/>
      </w:tblPr>
      <w:tblGrid>
        <w:gridCol w:w="346"/>
        <w:gridCol w:w="1743"/>
        <w:gridCol w:w="357"/>
        <w:gridCol w:w="82"/>
        <w:gridCol w:w="5954"/>
        <w:gridCol w:w="7"/>
        <w:gridCol w:w="32"/>
        <w:gridCol w:w="47"/>
      </w:tblGrid>
      <w:tr w:rsidTr="00BF1150">
        <w:tblPrEx>
          <w:tblW w:w="0" w:type="auto"/>
          <w:tblLayout w:type="fixed"/>
          <w:tblCellMar>
            <w:left w:w="62" w:type="dxa"/>
            <w:right w:w="62" w:type="dxa"/>
          </w:tblCellMar>
          <w:tblLook w:val="0000"/>
        </w:tblPrEx>
        <w:trPr>
          <w:tblHeader/>
        </w:trPr>
        <w:tc>
          <w:tcPr>
            <w:tcW w:w="8568" w:type="dxa"/>
            <w:gridSpan w:val="8"/>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Range Statement</w:t>
            </w:r>
            <w:r w:rsidRPr="004A4530">
              <w:t xml:space="preserve"> (</w:t>
            </w:r>
            <w:r w:rsidRPr="004A4530">
              <w:rPr>
                <w:rStyle w:val="SpecialBold"/>
              </w:rPr>
              <w:t>continued</w:t>
            </w:r>
            <w:r w:rsidRPr="004A4530">
              <w:t xml:space="preserve">) </w:t>
            </w:r>
          </w:p>
          <w:p w:rsidR="00000000" w:rsidP="004A4530">
            <w:pPr>
              <w:pStyle w:val="BodyText"/>
              <w:rPr>
                <w:lang w:val="en-NZ"/>
              </w:rPr>
            </w:pPr>
            <w:r w:rsidRPr="004A4530">
              <w:rPr>
                <w:rStyle w:val="SpecialBold"/>
              </w:rPr>
              <w:t>TDMMR1007B OPERATE PUMPING SYSTEMS AND ASSOCIATED CONTROL SYSTEMS</w:t>
            </w:r>
          </w:p>
        </w:tc>
      </w:tr>
      <w:tr w:rsidTr="00BF1150">
        <w:tblPrEx>
          <w:tblW w:w="0" w:type="auto"/>
          <w:tblLayout w:type="fixed"/>
          <w:tblCellMar>
            <w:left w:w="62" w:type="dxa"/>
            <w:right w:w="62" w:type="dxa"/>
          </w:tblCellMar>
          <w:tblLook w:val="0000"/>
        </w:tblPrEx>
        <w:trPr>
          <w:gridAfter w:val="1"/>
          <w:wAfter w:w="47" w:type="dxa"/>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A4530" w:rsidP="004A4530">
            <w:pPr>
              <w:pStyle w:val="BodyText"/>
            </w:pPr>
          </w:p>
          <w:p w:rsidR="00000000" w:rsidRPr="004A4530" w:rsidP="004A4530">
            <w:pPr>
              <w:pStyle w:val="BodyText"/>
            </w:pPr>
            <w:r w:rsidRPr="004A4530">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rPr>
                <w:rStyle w:val="SpecialBold"/>
              </w:rPr>
              <w:t>SCOPE</w:t>
            </w:r>
          </w:p>
        </w:tc>
      </w:tr>
      <w:tr w:rsidTr="00BF1150">
        <w:tblPrEx>
          <w:tblW w:w="0" w:type="auto"/>
          <w:tblLayout w:type="fixed"/>
          <w:tblCellMar>
            <w:left w:w="62" w:type="dxa"/>
            <w:right w:w="62" w:type="dxa"/>
          </w:tblCellMar>
          <w:tblLook w:val="0000"/>
        </w:tblPrEx>
        <w:trPr>
          <w:gridAfter w:val="2"/>
          <w:wAfter w:w="79"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79" w:type="dxa"/>
        </w:trPr>
        <w:tc>
          <w:tcPr>
            <w:tcW w:w="346"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Safe watchkeeping procedures and the operation of shipboard pumping systems and associated control systems may be carried out</w:t>
            </w:r>
            <w:r w:rsidRPr="004A453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by day or night in both normal and emergency situations</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under any permissible conditions of weather </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while underway</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during berthing and unberthing operations</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while anchored or moored</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while in dry dock</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when bunkering</w:t>
            </w:r>
          </w:p>
        </w:tc>
      </w:tr>
      <w:tr w:rsidTr="00BF1150">
        <w:tblPrEx>
          <w:tblW w:w="0" w:type="auto"/>
          <w:tblLayout w:type="fixed"/>
          <w:tblCellMar>
            <w:left w:w="62" w:type="dxa"/>
            <w:right w:w="62" w:type="dxa"/>
          </w:tblCellMar>
          <w:tblLook w:val="0000"/>
        </w:tblPrEx>
        <w:trPr>
          <w:gridAfter w:val="2"/>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8</w:t>
            </w:r>
          </w:p>
        </w:tc>
        <w:tc>
          <w:tcPr>
            <w:tcW w:w="604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during cargo operations</w:t>
            </w:r>
          </w:p>
        </w:tc>
      </w:tr>
      <w:tr w:rsidTr="00BF1150">
        <w:tblPrEx>
          <w:tblW w:w="0" w:type="auto"/>
          <w:tblLayout w:type="fixed"/>
          <w:tblCellMar>
            <w:left w:w="62" w:type="dxa"/>
            <w:right w:w="62" w:type="dxa"/>
          </w:tblCellMar>
          <w:tblLook w:val="0000"/>
        </w:tblPrEx>
        <w:trPr>
          <w:gridAfter w:val="3"/>
          <w:wAfter w:w="8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3"/>
          <w:wAfter w:w="8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4A4530" w:rsidP="004A4530">
            <w:pPr>
              <w:pStyle w:val="BodyText"/>
            </w:pPr>
            <w:r w:rsidRPr="004A4530">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Pumps and pumping systems may include</w:t>
            </w:r>
            <w:r w:rsidRPr="004A453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3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bilge pumping systems</w:t>
            </w:r>
          </w:p>
        </w:tc>
      </w:tr>
      <w:tr w:rsidTr="00BF1150">
        <w:tblPrEx>
          <w:tblW w:w="0" w:type="auto"/>
          <w:tblLayout w:type="fixed"/>
          <w:tblCellMar>
            <w:left w:w="62" w:type="dxa"/>
            <w:right w:w="62" w:type="dxa"/>
          </w:tblCellMar>
          <w:tblLook w:val="0000"/>
        </w:tblPrEx>
        <w:trPr>
          <w:gridAfter w:val="3"/>
          <w:wAfter w:w="8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603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ballast pumping systems</w:t>
            </w:r>
          </w:p>
        </w:tc>
      </w:tr>
      <w:tr w:rsidTr="00BF1150">
        <w:tblPrEx>
          <w:tblW w:w="0" w:type="auto"/>
          <w:tblLayout w:type="fixed"/>
          <w:tblCellMar>
            <w:left w:w="62" w:type="dxa"/>
            <w:right w:w="62" w:type="dxa"/>
          </w:tblCellMar>
          <w:tblLook w:val="0000"/>
        </w:tblPrEx>
        <w:trPr>
          <w:gridAfter w:val="3"/>
          <w:wAfter w:w="8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603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cargo pumping systems</w:t>
            </w:r>
          </w:p>
        </w:tc>
      </w:tr>
      <w:tr w:rsidTr="00BF1150">
        <w:tblPrEx>
          <w:tblW w:w="0" w:type="auto"/>
          <w:tblLayout w:type="fixed"/>
          <w:tblCellMar>
            <w:left w:w="62" w:type="dxa"/>
            <w:right w:w="62" w:type="dxa"/>
          </w:tblCellMar>
          <w:tblLook w:val="0000"/>
        </w:tblPrEx>
        <w:trPr>
          <w:gridAfter w:val="3"/>
          <w:wAfter w:w="8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6036" w:type="dxa"/>
            <w:gridSpan w:val="2"/>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fuel and lubrication oil systems</w:t>
            </w:r>
          </w:p>
        </w:tc>
      </w:tr>
      <w:tr w:rsidTr="00BF1150">
        <w:tblPrEx>
          <w:tblW w:w="0" w:type="auto"/>
          <w:tblLayout w:type="fixed"/>
          <w:tblCellMar>
            <w:left w:w="62" w:type="dxa"/>
            <w:right w:w="62" w:type="dxa"/>
          </w:tblCellMar>
          <w:tblLook w:val="0000"/>
        </w:tblPrEx>
        <w:trPr>
          <w:gridAfter w:val="3"/>
          <w:wAfter w:w="8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t>5</w:t>
            </w:r>
          </w:p>
        </w:tc>
        <w:tc>
          <w:tcPr>
            <w:tcW w:w="6036" w:type="dxa"/>
            <w:gridSpan w:val="2"/>
            <w:tcBorders>
              <w:top w:val="nil"/>
              <w:left w:val="nil"/>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t>sea water and fresh water systems</w:t>
            </w:r>
          </w:p>
        </w:tc>
      </w:tr>
      <w:tr w:rsidTr="00BF1150">
        <w:tblPrEx>
          <w:tblW w:w="0" w:type="auto"/>
          <w:tblLayout w:type="fixed"/>
          <w:tblCellMar>
            <w:left w:w="62" w:type="dxa"/>
            <w:right w:w="62" w:type="dxa"/>
          </w:tblCellMar>
          <w:tblLook w:val="0000"/>
        </w:tblPrEx>
        <w:trPr>
          <w:gridAfter w:val="3"/>
          <w:wAfter w:w="8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1"/>
          <w:wAfter w:w="47" w:type="dxa"/>
        </w:trPr>
        <w:tc>
          <w:tcPr>
            <w:tcW w:w="346"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Potential hazards during operation of pumping systems and associated control systems may include</w:t>
            </w:r>
            <w:r w:rsidRPr="004A4530">
              <w:t>:</w:t>
            </w: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operating equipment beyond safe working limits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moving and rotating machinery</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working in confined spaces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faulty machinery equipment handling equipment and lifting gear</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non-compliance with safe working procedures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hot pipes and valves (steam, fuel oil, lubricating oil)</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cold pipes and valves (refrigeration and liquefied gas cargoes)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8</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flammable liquids, vapours and fuel</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9</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working at heights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10</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moving heavy loads in an unsafe work environment</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11</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unsecured machinery, components or equipment</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12</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slippery deck</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13</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poor housekeeping procedures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14</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sharp tools and implements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15</w:t>
            </w:r>
          </w:p>
        </w:tc>
        <w:tc>
          <w:tcPr>
            <w:tcW w:w="5993"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power tools</w:t>
            </w:r>
          </w:p>
        </w:tc>
      </w:tr>
      <w:tr w:rsidTr="00BF1150">
        <w:tblPrEx>
          <w:tblW w:w="0" w:type="auto"/>
          <w:tblLayout w:type="fixed"/>
          <w:tblCellMar>
            <w:left w:w="62" w:type="dxa"/>
            <w:right w:w="62" w:type="dxa"/>
          </w:tblCellMar>
          <w:tblLook w:val="0000"/>
        </w:tblPrEx>
        <w:trPr>
          <w:gridAfter w:val="1"/>
          <w:wAfter w:w="4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16</w:t>
            </w:r>
          </w:p>
        </w:tc>
        <w:tc>
          <w:tcPr>
            <w:tcW w:w="5993" w:type="dxa"/>
            <w:gridSpan w:val="3"/>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dangerous atmosphere</w:t>
            </w:r>
          </w:p>
        </w:tc>
      </w:tr>
    </w:tbl>
    <w:p w:rsidR="00000000" w:rsidRPr="004A4530" w:rsidP="004A4530">
      <w:pPr>
        <w:pStyle w:val="BodyText"/>
      </w:pPr>
    </w:p>
    <w:tbl>
      <w:tblPr>
        <w:tblW w:w="0" w:type="auto"/>
        <w:tblLayout w:type="fixed"/>
        <w:tblCellMar>
          <w:left w:w="62" w:type="dxa"/>
          <w:right w:w="62" w:type="dxa"/>
        </w:tblCellMar>
        <w:tblLook w:val="0000"/>
      </w:tblPr>
      <w:tblGrid>
        <w:gridCol w:w="345"/>
        <w:gridCol w:w="1746"/>
        <w:gridCol w:w="353"/>
        <w:gridCol w:w="82"/>
        <w:gridCol w:w="5988"/>
        <w:gridCol w:w="17"/>
        <w:gridCol w:w="18"/>
        <w:gridCol w:w="19"/>
      </w:tblGrid>
      <w:tr w:rsidTr="00BF1150">
        <w:tblPrEx>
          <w:tblW w:w="0" w:type="auto"/>
          <w:tblLayout w:type="fixed"/>
          <w:tblCellMar>
            <w:left w:w="62" w:type="dxa"/>
            <w:right w:w="62" w:type="dxa"/>
          </w:tblCellMar>
          <w:tblLook w:val="0000"/>
        </w:tblPrEx>
        <w:trPr>
          <w:tblHeader/>
        </w:trPr>
        <w:tc>
          <w:tcPr>
            <w:tcW w:w="8568" w:type="dxa"/>
            <w:gridSpan w:val="8"/>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A4530" w:rsidP="004A4530">
            <w:pPr>
              <w:pStyle w:val="BodyText"/>
            </w:pPr>
            <w:r w:rsidRPr="004A4530">
              <w:rPr>
                <w:rStyle w:val="SpecialBold"/>
              </w:rPr>
              <w:t>Range Statement</w:t>
            </w:r>
            <w:r w:rsidRPr="004A4530">
              <w:t xml:space="preserve"> (</w:t>
            </w:r>
            <w:r w:rsidRPr="004A4530">
              <w:rPr>
                <w:rStyle w:val="SpecialBold"/>
              </w:rPr>
              <w:t>continued</w:t>
            </w:r>
            <w:r w:rsidRPr="004A4530">
              <w:t xml:space="preserve">) </w:t>
            </w:r>
          </w:p>
          <w:p w:rsidR="00000000" w:rsidP="004A4530">
            <w:pPr>
              <w:pStyle w:val="BodyText"/>
              <w:rPr>
                <w:lang w:val="en-NZ"/>
              </w:rPr>
            </w:pPr>
            <w:r w:rsidRPr="004A4530">
              <w:rPr>
                <w:rStyle w:val="SpecialBold"/>
              </w:rPr>
              <w:t>TDMMR1007B OPERATE PUMPING SYSTEMS AND ASSOCIATED CONTROL SYSTEMS</w:t>
            </w:r>
          </w:p>
        </w:tc>
      </w:tr>
      <w:tr w:rsidTr="00BF1150">
        <w:tblPrEx>
          <w:tblW w:w="0" w:type="auto"/>
          <w:tblLayout w:type="fixed"/>
          <w:tblCellMar>
            <w:left w:w="62" w:type="dxa"/>
            <w:right w:w="62" w:type="dxa"/>
          </w:tblCellMar>
          <w:tblLook w:val="0000"/>
        </w:tblPrEx>
        <w:trPr>
          <w:gridAfter w:val="1"/>
          <w:wAfter w:w="19" w:type="dxa"/>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4A4530" w:rsidP="004A4530">
            <w:pPr>
              <w:pStyle w:val="BodyText"/>
            </w:pPr>
          </w:p>
          <w:p w:rsidR="00000000" w:rsidRPr="004A4530" w:rsidP="004A4530">
            <w:pPr>
              <w:pStyle w:val="BodyText"/>
            </w:pPr>
            <w:r w:rsidRPr="004A4530">
              <w:rPr>
                <w:rStyle w:val="SpecialBold"/>
              </w:rPr>
              <w:t>VARIABLE</w:t>
            </w:r>
          </w:p>
        </w:tc>
        <w:tc>
          <w:tcPr>
            <w:tcW w:w="6458"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4A4530">
            <w:pPr>
              <w:pStyle w:val="BodyText"/>
              <w:rPr>
                <w:lang w:val="en-NZ"/>
              </w:rPr>
            </w:pPr>
            <w:r w:rsidRPr="004A4530">
              <w:rPr>
                <w:rStyle w:val="SpecialBold"/>
              </w:rPr>
              <w:t>SCOPE</w:t>
            </w:r>
          </w:p>
        </w:tc>
      </w:tr>
      <w:tr w:rsidTr="00BF1150">
        <w:tblPrEx>
          <w:tblW w:w="0" w:type="auto"/>
          <w:tblLayout w:type="fixed"/>
          <w:tblCellMar>
            <w:left w:w="62" w:type="dxa"/>
            <w:right w:w="62" w:type="dxa"/>
          </w:tblCellMar>
          <w:tblLook w:val="0000"/>
        </w:tblPrEx>
        <w:trPr>
          <w:gridAfter w:val="3"/>
          <w:wAfter w:w="54" w:type="dxa"/>
        </w:trPr>
        <w:tc>
          <w:tcPr>
            <w:tcW w:w="345"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p>
          <w:p w:rsidR="00000000" w:rsidP="004A4530">
            <w:pPr>
              <w:pStyle w:val="BodyText"/>
              <w:rPr>
                <w:lang w:val="en-NZ"/>
              </w:rPr>
            </w:pPr>
            <w:r w:rsidRPr="004A4530">
              <w:rPr>
                <w:rStyle w:val="SpecialBold"/>
              </w:rPr>
              <w:t>d</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4A4530" w:rsidP="004A4530">
            <w:pPr>
              <w:pStyle w:val="BodyText"/>
            </w:pPr>
          </w:p>
          <w:p w:rsidR="00000000" w:rsidRPr="004A4530" w:rsidP="004A4530">
            <w:pPr>
              <w:pStyle w:val="BodyText"/>
            </w:pPr>
            <w:r w:rsidRPr="004A4530">
              <w:rPr>
                <w:rStyle w:val="SpecialBold"/>
              </w:rPr>
              <w:t>Potenti</w:t>
            </w:r>
            <w:r w:rsidRPr="004A4530">
              <w:rPr>
                <w:rStyle w:val="SpecialBold"/>
              </w:rPr>
              <w:t>al hazards during operation of pumping systems and associated control systems may include</w:t>
            </w:r>
            <w:r w:rsidRPr="004A4530">
              <w:t>:</w:t>
            </w:r>
          </w:p>
          <w:p w:rsidR="00000000" w:rsidP="004A4530">
            <w:pPr>
              <w:pStyle w:val="BodyText"/>
              <w:rPr>
                <w:lang w:val="en-NZ"/>
              </w:rPr>
            </w:pPr>
            <w:r w:rsidRPr="004A4530">
              <w:t>(</w:t>
            </w:r>
            <w:r w:rsidRPr="004A4530">
              <w:rPr>
                <w:rStyle w:val="SpecialBold"/>
              </w:rPr>
              <w:t>continued</w:t>
            </w:r>
            <w:r w:rsidRPr="004A4530">
              <w:t xml:space="preserve">) </w:t>
            </w:r>
          </w:p>
        </w:tc>
        <w:tc>
          <w:tcPr>
            <w:tcW w:w="435" w:type="dxa"/>
            <w:gridSpan w:val="2"/>
            <w:tcBorders>
              <w:top w:val="nil"/>
              <w:left w:val="single" w:sz="6" w:space="0" w:color="auto"/>
              <w:bottom w:val="nil"/>
              <w:right w:val="nil"/>
            </w:tcBorders>
            <w:tcMar>
              <w:top w:w="0" w:type="dxa"/>
              <w:left w:w="62" w:type="dxa"/>
              <w:bottom w:w="0" w:type="dxa"/>
              <w:right w:w="62" w:type="dxa"/>
            </w:tcMar>
          </w:tcPr>
          <w:p w:rsidR="00000000" w:rsidRPr="004A4530" w:rsidP="004A4530">
            <w:pPr>
              <w:pStyle w:val="BodyText"/>
            </w:pPr>
          </w:p>
          <w:p w:rsidR="00000000" w:rsidP="004A4530">
            <w:pPr>
              <w:pStyle w:val="BodyText"/>
              <w:rPr>
                <w:lang w:val="en-NZ"/>
              </w:rPr>
            </w:pPr>
            <w:r w:rsidRPr="004A4530">
              <w:t>17</w:t>
            </w:r>
          </w:p>
        </w:tc>
        <w:tc>
          <w:tcPr>
            <w:tcW w:w="5988" w:type="dxa"/>
            <w:tcBorders>
              <w:top w:val="nil"/>
              <w:left w:val="nil"/>
              <w:bottom w:val="nil"/>
              <w:right w:val="nil"/>
            </w:tcBorders>
            <w:tcMar>
              <w:top w:w="0" w:type="dxa"/>
              <w:left w:w="62" w:type="dxa"/>
              <w:bottom w:w="0" w:type="dxa"/>
              <w:right w:w="62" w:type="dxa"/>
            </w:tcMar>
          </w:tcPr>
          <w:p w:rsidR="00000000" w:rsidRPr="004A4530" w:rsidP="004A4530">
            <w:pPr>
              <w:pStyle w:val="BodyText"/>
            </w:pPr>
          </w:p>
          <w:p w:rsidR="00000000" w:rsidP="004A4530">
            <w:pPr>
              <w:pStyle w:val="BodyText"/>
              <w:rPr>
                <w:lang w:val="en-NZ"/>
              </w:rPr>
            </w:pPr>
            <w:r w:rsidRPr="004A4530">
              <w:t>overspeed of electrical machinery, emergency trips</w:t>
            </w:r>
          </w:p>
        </w:tc>
      </w:tr>
      <w:tr w:rsidTr="00BF1150">
        <w:tblPrEx>
          <w:tblW w:w="0" w:type="auto"/>
          <w:tblLayout w:type="fixed"/>
          <w:tblCellMar>
            <w:left w:w="62" w:type="dxa"/>
            <w:right w:w="62" w:type="dxa"/>
          </w:tblCellMar>
          <w:tblLook w:val="0000"/>
        </w:tblPrEx>
        <w:trPr>
          <w:gridAfter w:val="3"/>
          <w:wAfter w:w="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18</w:t>
            </w:r>
          </w:p>
        </w:tc>
        <w:tc>
          <w:tcPr>
            <w:tcW w:w="598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noxious and dangerous cargoes</w:t>
            </w:r>
          </w:p>
        </w:tc>
      </w:tr>
      <w:tr w:rsidTr="00BF1150">
        <w:tblPrEx>
          <w:tblW w:w="0" w:type="auto"/>
          <w:tblLayout w:type="fixed"/>
          <w:tblCellMar>
            <w:left w:w="62" w:type="dxa"/>
            <w:right w:w="62" w:type="dxa"/>
          </w:tblCellMar>
          <w:tblLook w:val="0000"/>
        </w:tblPrEx>
        <w:trPr>
          <w:gridAfter w:val="3"/>
          <w:wAfter w:w="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gridSpan w:val="2"/>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19</w:t>
            </w:r>
          </w:p>
        </w:tc>
        <w:tc>
          <w:tcPr>
            <w:tcW w:w="5988" w:type="dxa"/>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machinery overload</w:t>
            </w:r>
          </w:p>
        </w:tc>
      </w:tr>
      <w:tr w:rsidTr="00BF1150">
        <w:tblPrEx>
          <w:tblW w:w="0" w:type="auto"/>
          <w:tblLayout w:type="fixed"/>
          <w:tblCellMar>
            <w:left w:w="62" w:type="dxa"/>
            <w:right w:w="62" w:type="dxa"/>
          </w:tblCellMar>
          <w:tblLook w:val="0000"/>
        </w:tblPrEx>
        <w:trPr>
          <w:gridAfter w:val="1"/>
          <w:wAfter w:w="19"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37" w:type="dxa"/>
        </w:trPr>
        <w:tc>
          <w:tcPr>
            <w:tcW w:w="345"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e</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Emergencies may include</w:t>
            </w:r>
            <w:r w:rsidRPr="004A4530">
              <w:t>:</w:t>
            </w: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loss of electrical power</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pump failure</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flooding of engine room</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fire or explosion in engine room</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fuel oil, lubrication oil, water, steam and gas leaks</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overheating and overspeed of machinery, governors, emergency trips</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electric shock</w:t>
            </w:r>
          </w:p>
        </w:tc>
      </w:tr>
      <w:tr w:rsidTr="00BF1150">
        <w:tblPrEx>
          <w:tblW w:w="0" w:type="auto"/>
          <w:tblLayout w:type="fixed"/>
          <w:tblCellMar>
            <w:left w:w="62" w:type="dxa"/>
            <w:right w:w="62" w:type="dxa"/>
          </w:tblCellMar>
          <w:tblLook w:val="0000"/>
        </w:tblPrEx>
        <w:trPr>
          <w:gridAfter w:val="1"/>
          <w:wAfter w:w="19"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37" w:type="dxa"/>
        </w:trPr>
        <w:tc>
          <w:tcPr>
            <w:tcW w:w="345"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Documentation and records may include</w:t>
            </w:r>
            <w:r w:rsidRPr="004A4530">
              <w:t xml:space="preserve">: </w:t>
            </w: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ISM Code safety management system plans, procedures, checklists and instructions</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vessel and company's planned pumping systems, operational procedures and instructions</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pumping equipment and vessel manufacturer's specifications, instructions and recommended procedures</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4</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pumping systems running sheets, operations logs and other operational records, including computer database of running information, where relevant</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5</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vessel's survey procedures as they relate to shipboard pumping systems and associated control systems</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6</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 xml:space="preserve">relevant sections of national and international maritime regulations, </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7</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instructions of relevant maritime authorities and class societies concerning shipboard pumping systems and associated control systems operation</w:t>
            </w:r>
          </w:p>
        </w:tc>
      </w:tr>
      <w:tr w:rsidTr="00BF1150">
        <w:tblPrEx>
          <w:tblW w:w="0" w:type="auto"/>
          <w:tblLayout w:type="fixed"/>
          <w:tblCellMar>
            <w:left w:w="62" w:type="dxa"/>
            <w:right w:w="62" w:type="dxa"/>
          </w:tblCellMar>
          <w:tblLook w:val="0000"/>
        </w:tblPrEx>
        <w:trPr>
          <w:gridAfter w:val="1"/>
          <w:wAfter w:w="19"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4A4530">
            <w:pPr>
              <w:pStyle w:val="BodyText"/>
              <w:rPr>
                <w:lang w:val="en-NZ"/>
              </w:rPr>
            </w:pPr>
          </w:p>
        </w:tc>
      </w:tr>
      <w:tr w:rsidTr="00BF1150">
        <w:tblPrEx>
          <w:tblW w:w="0" w:type="auto"/>
          <w:tblLayout w:type="fixed"/>
          <w:tblCellMar>
            <w:left w:w="62" w:type="dxa"/>
            <w:right w:w="62" w:type="dxa"/>
          </w:tblCellMar>
          <w:tblLook w:val="0000"/>
        </w:tblPrEx>
        <w:trPr>
          <w:gridAfter w:val="2"/>
          <w:wAfter w:w="37" w:type="dxa"/>
        </w:trPr>
        <w:tc>
          <w:tcPr>
            <w:tcW w:w="345" w:type="dxa"/>
            <w:vMerge w:val="restart"/>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Applicable legislation</w:t>
            </w:r>
            <w:r w:rsidRPr="004A4530">
              <w:t xml:space="preserve">, </w:t>
            </w:r>
            <w:r w:rsidRPr="004A4530">
              <w:rPr>
                <w:rStyle w:val="SpecialBold"/>
              </w:rPr>
              <w:t>regulations and codes may include</w:t>
            </w:r>
            <w:r w:rsidRPr="004A4530">
              <w:t>:</w:t>
            </w: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1</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sections of national and international regulations, IMO Conventions and Codes, including AMSA Marine Orders and class society rules related to the operation of pumping systems and associated control systems on vessels of unlimited propulsion power</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2</w:t>
            </w:r>
          </w:p>
        </w:tc>
        <w:tc>
          <w:tcPr>
            <w:tcW w:w="6087" w:type="dxa"/>
            <w:gridSpan w:val="3"/>
            <w:tcBorders>
              <w:top w:val="nil"/>
              <w:left w:val="nil"/>
              <w:bottom w:val="nil"/>
              <w:right w:val="nil"/>
            </w:tcBorders>
            <w:tcMar>
              <w:top w:w="0" w:type="dxa"/>
              <w:left w:w="62" w:type="dxa"/>
              <w:bottom w:w="0" w:type="dxa"/>
              <w:right w:w="62" w:type="dxa"/>
            </w:tcMar>
          </w:tcPr>
          <w:p w:rsidR="00000000" w:rsidP="004A4530">
            <w:pPr>
              <w:pStyle w:val="BodyText"/>
              <w:rPr>
                <w:lang w:val="en-NZ"/>
              </w:rPr>
            </w:pPr>
            <w:r w:rsidRPr="004A4530">
              <w:t>relevant international, Commonwealth, State and Territory OH&amp;S legislation</w:t>
            </w:r>
          </w:p>
        </w:tc>
      </w:tr>
      <w:tr w:rsidTr="00BF1150">
        <w:tblPrEx>
          <w:tblW w:w="0" w:type="auto"/>
          <w:tblLayout w:type="fixed"/>
          <w:tblCellMar>
            <w:left w:w="62" w:type="dxa"/>
            <w:right w:w="62" w:type="dxa"/>
          </w:tblCellMar>
          <w:tblLook w:val="0000"/>
        </w:tblPrEx>
        <w:trPr>
          <w:gridAfter w:val="2"/>
          <w:wAfter w:w="37"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4A4530">
            <w:pPr>
              <w:pStyle w:val="BodyText"/>
              <w:rPr>
                <w:lang w:val="en-NZ"/>
              </w:rPr>
            </w:pPr>
            <w:r w:rsidRPr="004A4530">
              <w:t>3</w:t>
            </w:r>
          </w:p>
        </w:tc>
        <w:tc>
          <w:tcPr>
            <w:tcW w:w="6087" w:type="dxa"/>
            <w:gridSpan w:val="3"/>
            <w:tcBorders>
              <w:top w:val="nil"/>
              <w:left w:val="nil"/>
              <w:bottom w:val="nil"/>
              <w:right w:val="nil"/>
            </w:tcBorders>
            <w:tcMar>
              <w:top w:w="0" w:type="dxa"/>
              <w:left w:w="62" w:type="dxa"/>
              <w:bottom w:w="0" w:type="dxa"/>
              <w:right w:w="62" w:type="dxa"/>
            </w:tcMar>
          </w:tcPr>
          <w:p w:rsidR="00000000" w:rsidRPr="004A4530" w:rsidP="004A4530">
            <w:pPr>
              <w:pStyle w:val="BodyText"/>
            </w:pPr>
            <w:r w:rsidRPr="004A4530">
              <w:t>relevant international, Commonwealth, State and Territory engineering practice standards</w:t>
            </w:r>
          </w:p>
        </w:tc>
      </w:tr>
    </w:tbl>
    <w:p w:rsidR="00000000" w:rsidRPr="004A4530" w:rsidP="004A4530">
      <w:pPr>
        <w:pStyle w:val="BodyText"/>
      </w:pPr>
    </w:p>
    <w:p w:rsidR="00000000" w:rsidRPr="004A4530" w:rsidP="004A4530">
      <w:pPr>
        <w:pStyle w:val="AllowPageBreak"/>
      </w:pPr>
    </w:p>
    <w:p w:rsidR="00000000" w:rsidRPr="004A4530" w:rsidP="004A4530">
      <w:pPr>
        <w:pStyle w:val="Heading1"/>
      </w:pPr>
      <w:bookmarkStart w:id="12" w:name="O_151766"/>
      <w:bookmarkEnd w:id="12"/>
      <w:r w:rsidRPr="004A4530">
        <w:t>Unit Sector(s)</w:t>
      </w:r>
    </w:p>
    <w:p w:rsidR="00000000" w:rsidRPr="004A4530" w:rsidP="004A4530">
      <w:pPr>
        <w:pStyle w:val="BodyText"/>
      </w:pPr>
      <w:r w:rsidRPr="004A4530">
        <w:t>Not applicable.</w:t>
      </w:r>
    </w:p>
    <w:p w:rsidR="00000000" w:rsidRPr="004A4530" w:rsidP="004A4530">
      <w:pPr>
        <w:pStyle w:val="AllowPageBreak"/>
      </w:pPr>
    </w:p>
    <w:p w:rsidR="00000000" w:rsidRPr="004A4530" w:rsidP="004A4530">
      <w:pPr>
        <w:pStyle w:val="Heading1"/>
      </w:pPr>
      <w:bookmarkStart w:id="13" w:name="O_163858"/>
      <w:bookmarkEnd w:id="13"/>
      <w:r w:rsidRPr="004A4530">
        <w:t>Field</w:t>
      </w:r>
    </w:p>
    <w:p w:rsidR="00BF1150" w:rsidP="004A4530">
      <w:pPr>
        <w:pStyle w:val="BodyText"/>
      </w:pPr>
      <w:r w:rsidRPr="004A4530">
        <w:t>Field</w:t>
      </w:r>
      <w:r w:rsidRPr="004A4530">
        <w:tab/>
        <w:t>R</w:t>
      </w:r>
      <w:r w:rsidRPr="004A4530">
        <w:tab/>
      </w:r>
      <w:r w:rsidRPr="004A4530">
        <w:t>Communications</w:t>
      </w:r>
    </w:p>
    <w:p w:rsidR="00BF1150" w:rsidP="004A4530">
      <w:pPr>
        <w:pStyle w:val="BodyText"/>
      </w:pPr>
    </w:p>
    <w:p w:rsidR="00000000" w:rsidRPr="004A4530" w:rsidP="004A4530">
      <w:pPr>
        <w:pStyle w:val="Heading1"/>
      </w:pPr>
      <w:bookmarkStart w:id="14" w:name="O_163859"/>
      <w:bookmarkEnd w:id="14"/>
      <w:r w:rsidRPr="004A4530">
        <w:t>Relationship to other units</w:t>
      </w:r>
    </w:p>
    <w:tbl>
      <w:tblPr>
        <w:tblW w:w="0" w:type="auto"/>
        <w:tblLayout w:type="fixed"/>
        <w:tblCellMar>
          <w:left w:w="62" w:type="dxa"/>
          <w:right w:w="62" w:type="dxa"/>
        </w:tblCellMar>
        <w:tblLook w:val="0000"/>
      </w:tblPr>
      <w:tblGrid>
        <w:gridCol w:w="1974"/>
        <w:gridCol w:w="6481"/>
      </w:tblGrid>
      <w:tr w:rsidTr="00BF115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530">
            <w:pPr>
              <w:pStyle w:val="BodyText"/>
              <w:rPr>
                <w:lang w:val="en-NZ"/>
              </w:rPr>
            </w:pPr>
            <w:r w:rsidRPr="004A453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530" w:rsidP="004A4530">
            <w:pPr>
              <w:pStyle w:val="BodyText"/>
            </w:pPr>
            <w:r w:rsidRPr="004A4530">
              <w:t>The unit must be assessed in conjunction with other units that relate to the functions of the occupation(s) concerned.</w:t>
            </w:r>
          </w:p>
        </w:tc>
      </w:tr>
    </w:tbl>
    <w:p w:rsidR="00000000" w:rsidRPr="004A4530" w:rsidP="004A4530">
      <w:pPr>
        <w:pStyle w:val="BodyText"/>
      </w:pPr>
    </w:p>
    <w:p w:rsidR="00000000" w:rsidRPr="004A4530" w:rsidP="004A4530"/>
    <w:sectPr w:rsidSect="004A4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30" w:rsidRPr="00BF1150" w:rsidP="00BF1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50" w:rsidP="004A4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1150" w:rsidP="004A453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F1150" w:rsidP="004A4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30" w:rsidRPr="00BF1150" w:rsidP="00BF1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50" w:rsidRPr="002D2AF8" w:rsidP="004A4530">
    <w:pPr>
      <w:pStyle w:val="Header"/>
      <w:framePr w:wrap="around"/>
    </w:pPr>
    <w:r>
      <w:fldChar w:fldCharType="begin"/>
    </w:r>
    <w:r>
      <w:instrText xml:space="preserve"> TITLE   \* MERGEFORMAT </w:instrText>
    </w:r>
    <w:r>
      <w:fldChar w:fldCharType="separate"/>
    </w:r>
    <w:r>
      <w:t>TDMMR1007B OPERATE PUMPING SYSTEMS AND ASSOCIATED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BF1150" w:rsidP="004A4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530"/>
    <w:pPr>
      <w:spacing w:before="360" w:after="60"/>
      <w:outlineLvl w:val="0"/>
    </w:pPr>
    <w:rPr>
      <w:sz w:val="32"/>
    </w:rPr>
  </w:style>
  <w:style w:type="paragraph" w:styleId="Heading2">
    <w:name w:val="heading 2"/>
    <w:basedOn w:val="HeadingBase"/>
    <w:next w:val="BodyText"/>
    <w:link w:val="Heading2Char"/>
    <w:qFormat/>
    <w:rsid w:val="004A4530"/>
    <w:pPr>
      <w:keepLines/>
      <w:spacing w:before="240" w:after="120"/>
      <w:outlineLvl w:val="1"/>
    </w:pPr>
    <w:rPr>
      <w:sz w:val="28"/>
      <w:szCs w:val="40"/>
    </w:rPr>
  </w:style>
  <w:style w:type="paragraph" w:styleId="Heading3">
    <w:name w:val="heading 3"/>
    <w:basedOn w:val="HeadingBase"/>
    <w:next w:val="BodyText"/>
    <w:link w:val="Heading3Char"/>
    <w:qFormat/>
    <w:rsid w:val="004A4530"/>
    <w:pPr>
      <w:spacing w:before="180" w:after="120"/>
      <w:outlineLvl w:val="2"/>
    </w:pPr>
    <w:rPr>
      <w:spacing w:val="-10"/>
      <w:kern w:val="32"/>
    </w:rPr>
  </w:style>
  <w:style w:type="paragraph" w:styleId="Heading4">
    <w:name w:val="heading 4"/>
    <w:basedOn w:val="HeadingBase"/>
    <w:next w:val="BodyText"/>
    <w:link w:val="Heading4Char"/>
    <w:qFormat/>
    <w:rsid w:val="004A4530"/>
    <w:pPr>
      <w:spacing w:before="160" w:after="120"/>
      <w:outlineLvl w:val="3"/>
    </w:pPr>
    <w:rPr>
      <w:sz w:val="22"/>
    </w:rPr>
  </w:style>
  <w:style w:type="paragraph" w:styleId="Heading5">
    <w:name w:val="heading 5"/>
    <w:basedOn w:val="HeadingBase"/>
    <w:next w:val="Normal"/>
    <w:link w:val="Heading5Char"/>
    <w:qFormat/>
    <w:rsid w:val="004A4530"/>
    <w:pPr>
      <w:spacing w:before="80"/>
      <w:outlineLvl w:val="4"/>
    </w:pPr>
    <w:rPr>
      <w:color w:val="918585"/>
      <w:sz w:val="20"/>
    </w:rPr>
  </w:style>
  <w:style w:type="paragraph" w:styleId="Heading6">
    <w:name w:val="heading 6"/>
    <w:basedOn w:val="HeadingBase"/>
    <w:next w:val="Normal"/>
    <w:link w:val="Heading6Char"/>
    <w:qFormat/>
    <w:rsid w:val="004A4530"/>
    <w:pPr>
      <w:spacing w:before="60"/>
      <w:outlineLvl w:val="5"/>
    </w:pPr>
    <w:rPr>
      <w:color w:val="918585"/>
      <w:sz w:val="20"/>
    </w:rPr>
  </w:style>
  <w:style w:type="paragraph" w:styleId="Heading7">
    <w:name w:val="heading 7"/>
    <w:basedOn w:val="Normal"/>
    <w:next w:val="Normal"/>
    <w:link w:val="Heading7Char"/>
    <w:qFormat/>
    <w:rsid w:val="004A4530"/>
    <w:pPr>
      <w:ind w:left="720"/>
      <w:outlineLvl w:val="6"/>
    </w:pPr>
    <w:rPr>
      <w:i/>
    </w:rPr>
  </w:style>
  <w:style w:type="paragraph" w:styleId="Heading8">
    <w:name w:val="heading 8"/>
    <w:basedOn w:val="Normal"/>
    <w:next w:val="Normal"/>
    <w:link w:val="Heading8Char"/>
    <w:qFormat/>
    <w:rsid w:val="004A4530"/>
    <w:pPr>
      <w:ind w:left="720"/>
      <w:outlineLvl w:val="7"/>
    </w:pPr>
    <w:rPr>
      <w:i/>
    </w:rPr>
  </w:style>
  <w:style w:type="paragraph" w:styleId="Heading9">
    <w:name w:val="heading 9"/>
    <w:basedOn w:val="Normal"/>
    <w:next w:val="Normal"/>
    <w:link w:val="Heading9Char"/>
    <w:qFormat/>
    <w:rsid w:val="004A4530"/>
    <w:pPr>
      <w:ind w:left="720"/>
      <w:outlineLvl w:val="8"/>
    </w:pPr>
    <w:rPr>
      <w:i/>
    </w:rPr>
  </w:style>
  <w:style w:type="character" w:default="1" w:styleId="DefaultParagraphFont">
    <w:name w:val="Default Paragraph Font"/>
    <w:uiPriority w:val="1"/>
    <w:unhideWhenUsed/>
    <w:rsid w:val="004A4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530"/>
  </w:style>
  <w:style w:type="character" w:customStyle="1" w:styleId="Heading1Char">
    <w:name w:val="Heading 1 Char"/>
    <w:basedOn w:val="DefaultParagraphFont"/>
    <w:link w:val="Heading1"/>
    <w:rsid w:val="004A4530"/>
    <w:rPr>
      <w:rFonts w:ascii="Times New Roman" w:eastAsia="Times New Roman" w:hAnsi="Times New Roman" w:cs="Times New Roman"/>
      <w:b/>
      <w:sz w:val="32"/>
      <w:szCs w:val="20"/>
      <w:lang w:eastAsia="en-US"/>
    </w:rPr>
  </w:style>
  <w:style w:type="paragraph" w:styleId="BodyText">
    <w:name w:val="Body Text"/>
    <w:basedOn w:val="Normal"/>
    <w:link w:val="BodyTextChar"/>
    <w:rsid w:val="004A45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530"/>
    <w:rPr>
      <w:rFonts w:ascii="Times New Roman" w:eastAsia="Times New Roman" w:hAnsi="Times New Roman" w:cs="Times New Roman"/>
      <w:sz w:val="24"/>
      <w:lang w:eastAsia="en-US"/>
    </w:rPr>
  </w:style>
  <w:style w:type="character" w:customStyle="1" w:styleId="SpecialBold">
    <w:name w:val="Special Bold"/>
    <w:basedOn w:val="DefaultParagraphFont"/>
    <w:rsid w:val="004A4530"/>
    <w:rPr>
      <w:b/>
      <w:spacing w:val="0"/>
    </w:rPr>
  </w:style>
  <w:style w:type="character" w:styleId="Emphasis">
    <w:name w:val="Emphasis"/>
    <w:basedOn w:val="DefaultParagraphFont"/>
    <w:qFormat/>
    <w:rsid w:val="004A4530"/>
    <w:rPr>
      <w:i/>
    </w:rPr>
  </w:style>
  <w:style w:type="paragraph" w:customStyle="1" w:styleId="SuperHeading">
    <w:name w:val="SuperHeading"/>
    <w:basedOn w:val="Normal"/>
    <w:rsid w:val="004A4530"/>
    <w:pPr>
      <w:spacing w:before="240" w:after="120"/>
      <w:outlineLvl w:val="0"/>
    </w:pPr>
    <w:rPr>
      <w:rFonts w:ascii="Times New Roman" w:hAnsi="Times New Roman"/>
      <w:b/>
      <w:sz w:val="32"/>
    </w:rPr>
  </w:style>
  <w:style w:type="paragraph" w:customStyle="1" w:styleId="AllowPageBreak">
    <w:name w:val="AllowPageBreak"/>
    <w:rsid w:val="004A4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530"/>
    <w:rPr>
      <w:rFonts w:ascii="Courier New" w:eastAsia="Times New Roman" w:hAnsi="Courier New" w:cs="Times New Roman"/>
      <w:i/>
      <w:szCs w:val="20"/>
      <w:lang w:eastAsia="en-US"/>
    </w:rPr>
  </w:style>
  <w:style w:type="paragraph" w:customStyle="1" w:styleId="HeadingBase">
    <w:name w:val="Heading Base"/>
    <w:rsid w:val="004A4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530"/>
    <w:pPr>
      <w:tabs>
        <w:tab w:val="right" w:leader="dot" w:pos="9072"/>
      </w:tabs>
      <w:ind w:left="567"/>
    </w:pPr>
    <w:rPr>
      <w:szCs w:val="22"/>
    </w:rPr>
  </w:style>
  <w:style w:type="paragraph" w:customStyle="1" w:styleId="TOCBase">
    <w:name w:val="TOC Base"/>
    <w:rsid w:val="004A4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530"/>
    <w:pPr>
      <w:tabs>
        <w:tab w:val="right" w:leader="dot" w:pos="9072"/>
      </w:tabs>
      <w:spacing w:before="40" w:after="40"/>
      <w:ind w:left="284"/>
    </w:pPr>
    <w:rPr>
      <w:rFonts w:ascii="Times New Roman" w:hAnsi="Times New Roman"/>
    </w:rPr>
  </w:style>
  <w:style w:type="paragraph" w:styleId="TOC1">
    <w:name w:val="toc 1"/>
    <w:basedOn w:val="TOCBase"/>
    <w:next w:val="Normal"/>
    <w:rsid w:val="004A4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530"/>
    <w:rPr>
      <w:rFonts w:ascii="Times New Roman" w:eastAsia="Times New Roman" w:hAnsi="Times New Roman" w:cs="Times New Roman"/>
      <w:sz w:val="16"/>
      <w:lang w:eastAsia="en-US"/>
    </w:rPr>
  </w:style>
  <w:style w:type="paragraph" w:styleId="Title">
    <w:name w:val="Title"/>
    <w:basedOn w:val="HeadingBase"/>
    <w:link w:val="TitleChar"/>
    <w:qFormat/>
    <w:rsid w:val="004A4530"/>
    <w:pPr>
      <w:spacing w:before="5040"/>
      <w:jc w:val="center"/>
    </w:pPr>
    <w:rPr>
      <w:sz w:val="48"/>
      <w:szCs w:val="72"/>
      <w:lang w:val="en-US"/>
    </w:rPr>
  </w:style>
  <w:style w:type="character" w:customStyle="1" w:styleId="TitleChar">
    <w:name w:val="Title Char"/>
    <w:basedOn w:val="DefaultParagraphFont"/>
    <w:link w:val="Title"/>
    <w:rsid w:val="004A4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530"/>
    <w:pPr>
      <w:tabs>
        <w:tab w:val="left" w:pos="3600"/>
        <w:tab w:val="left" w:pos="3958"/>
      </w:tabs>
    </w:pPr>
  </w:style>
  <w:style w:type="paragraph" w:styleId="List">
    <w:name w:val="List"/>
    <w:basedOn w:val="BodyText"/>
    <w:next w:val="BodyText"/>
    <w:rsid w:val="004A4530"/>
    <w:pPr>
      <w:tabs>
        <w:tab w:val="left" w:pos="340"/>
      </w:tabs>
      <w:spacing w:before="60" w:after="60"/>
      <w:ind w:left="340" w:hanging="340"/>
    </w:pPr>
  </w:style>
  <w:style w:type="paragraph" w:styleId="ListBullet">
    <w:name w:val="List Bullet"/>
    <w:basedOn w:val="List"/>
    <w:rsid w:val="004A4530"/>
    <w:pPr>
      <w:numPr>
        <w:numId w:val="11"/>
      </w:numPr>
      <w:tabs>
        <w:tab w:val="clear" w:pos="340"/>
      </w:tabs>
      <w:spacing w:before="40" w:after="40"/>
    </w:pPr>
  </w:style>
  <w:style w:type="paragraph" w:customStyle="1" w:styleId="Note">
    <w:name w:val="Note"/>
    <w:basedOn w:val="BodyText"/>
    <w:rsid w:val="004A4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530"/>
    <w:pPr>
      <w:framePr w:wrap="auto" w:hAnchor="text" w:y="6049"/>
    </w:pPr>
    <w:rPr>
      <w:color w:val="000000"/>
      <w:sz w:val="40"/>
    </w:rPr>
  </w:style>
  <w:style w:type="paragraph" w:customStyle="1" w:styleId="TOCTitle">
    <w:name w:val="TOCTitle"/>
    <w:basedOn w:val="Heading1"/>
    <w:rsid w:val="004A4530"/>
    <w:pPr>
      <w:spacing w:after="240"/>
      <w:jc w:val="center"/>
      <w:outlineLvl w:val="9"/>
    </w:pPr>
    <w:rPr>
      <w:caps/>
    </w:rPr>
  </w:style>
  <w:style w:type="paragraph" w:customStyle="1" w:styleId="Version">
    <w:name w:val="Version"/>
    <w:rsid w:val="004A45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530"/>
    <w:pPr>
      <w:numPr>
        <w:numId w:val="12"/>
      </w:numPr>
      <w:tabs>
        <w:tab w:val="clear" w:pos="680"/>
      </w:tabs>
    </w:pPr>
  </w:style>
  <w:style w:type="paragraph" w:styleId="Index1">
    <w:name w:val="index 1"/>
    <w:basedOn w:val="Normal"/>
    <w:next w:val="Normal"/>
    <w:semiHidden/>
    <w:rsid w:val="004A4530"/>
    <w:pPr>
      <w:keepNext w:val="0"/>
      <w:tabs>
        <w:tab w:val="right" w:pos="4176"/>
      </w:tabs>
      <w:ind w:left="198" w:hanging="198"/>
    </w:pPr>
    <w:rPr>
      <w:rFonts w:ascii="Garamond" w:hAnsi="Garamond"/>
    </w:rPr>
  </w:style>
  <w:style w:type="paragraph" w:styleId="IndexHeading">
    <w:name w:val="index heading"/>
    <w:basedOn w:val="Normal"/>
    <w:next w:val="Index1"/>
    <w:semiHidden/>
    <w:rsid w:val="004A4530"/>
    <w:pPr>
      <w:spacing w:before="120" w:after="120"/>
    </w:pPr>
    <w:rPr>
      <w:rFonts w:ascii="Arial" w:hAnsi="Arial"/>
      <w:b/>
      <w:color w:val="918585"/>
      <w:sz w:val="24"/>
    </w:rPr>
  </w:style>
  <w:style w:type="paragraph" w:styleId="Header">
    <w:name w:val="header"/>
    <w:basedOn w:val="Normal"/>
    <w:link w:val="HeaderChar"/>
    <w:rsid w:val="004A4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530"/>
    <w:rPr>
      <w:rFonts w:ascii="Times New Roman" w:eastAsia="Times New Roman" w:hAnsi="Times New Roman" w:cs="Times New Roman"/>
      <w:sz w:val="16"/>
      <w:szCs w:val="20"/>
      <w:lang w:val="en-GB" w:eastAsia="en-US"/>
    </w:rPr>
  </w:style>
  <w:style w:type="paragraph" w:customStyle="1" w:styleId="Chapter">
    <w:name w:val="Chapter"/>
    <w:basedOn w:val="Normal"/>
    <w:rsid w:val="004A4530"/>
    <w:pPr>
      <w:spacing w:before="240"/>
    </w:pPr>
    <w:rPr>
      <w:rFonts w:ascii="Times New Roman" w:hAnsi="Times New Roman"/>
      <w:smallCaps/>
      <w:spacing w:val="80"/>
      <w:sz w:val="28"/>
    </w:rPr>
  </w:style>
  <w:style w:type="paragraph" w:customStyle="1" w:styleId="InChapter">
    <w:name w:val="InChapter"/>
    <w:basedOn w:val="Heading3"/>
    <w:rsid w:val="004A4530"/>
    <w:pPr>
      <w:spacing w:after="240"/>
      <w:outlineLvl w:val="9"/>
    </w:pPr>
    <w:rPr>
      <w:noProof/>
    </w:rPr>
  </w:style>
  <w:style w:type="paragraph" w:styleId="Index2">
    <w:name w:val="index 2"/>
    <w:basedOn w:val="Normal"/>
    <w:next w:val="Normal"/>
    <w:semiHidden/>
    <w:rsid w:val="004A4530"/>
    <w:pPr>
      <w:tabs>
        <w:tab w:val="right" w:pos="4176"/>
      </w:tabs>
      <w:ind w:left="568" w:hanging="284"/>
    </w:pPr>
    <w:rPr>
      <w:rFonts w:ascii="Garamond" w:hAnsi="Garamond"/>
    </w:rPr>
  </w:style>
  <w:style w:type="paragraph" w:customStyle="1" w:styleId="Byline">
    <w:name w:val="Byline"/>
    <w:rsid w:val="004A4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530"/>
    <w:pPr>
      <w:tabs>
        <w:tab w:val="clear" w:pos="3600"/>
        <w:tab w:val="clear" w:pos="3958"/>
      </w:tabs>
      <w:jc w:val="right"/>
    </w:pPr>
  </w:style>
  <w:style w:type="paragraph" w:styleId="Caption">
    <w:name w:val="caption"/>
    <w:basedOn w:val="BodyText"/>
    <w:next w:val="Normal"/>
    <w:qFormat/>
    <w:rsid w:val="004A4530"/>
    <w:pPr>
      <w:framePr w:w="2268" w:hSpace="181" w:vSpace="181" w:wrap="around" w:vAnchor="text" w:hAnchor="page" w:x="1135" w:y="285" w:anchorLock="1"/>
    </w:pPr>
    <w:rPr>
      <w:i/>
    </w:rPr>
  </w:style>
  <w:style w:type="paragraph" w:customStyle="1" w:styleId="MiniTOCTitle">
    <w:name w:val="MiniTOCTitle"/>
    <w:basedOn w:val="Heading4"/>
    <w:rsid w:val="004A4530"/>
    <w:pPr>
      <w:spacing w:before="240"/>
      <w:outlineLvl w:val="9"/>
    </w:pPr>
    <w:rPr>
      <w:noProof/>
      <w:sz w:val="24"/>
    </w:rPr>
  </w:style>
  <w:style w:type="paragraph" w:customStyle="1" w:styleId="MiniTOCItem">
    <w:name w:val="MiniTOCItem"/>
    <w:basedOn w:val="ListBullet"/>
    <w:rsid w:val="004A4530"/>
    <w:pPr>
      <w:numPr>
        <w:numId w:val="0"/>
      </w:numPr>
      <w:tabs>
        <w:tab w:val="right" w:leader="dot" w:pos="6521"/>
      </w:tabs>
      <w:spacing w:before="0" w:after="0"/>
    </w:pPr>
  </w:style>
  <w:style w:type="paragraph" w:customStyle="1" w:styleId="TOFTitle">
    <w:name w:val="TOFTitle"/>
    <w:basedOn w:val="TOCTitle"/>
    <w:rsid w:val="004A4530"/>
  </w:style>
  <w:style w:type="paragraph" w:styleId="TableofFigures">
    <w:name w:val="table of figures"/>
    <w:basedOn w:val="Normal"/>
    <w:next w:val="Normal"/>
    <w:semiHidden/>
    <w:rsid w:val="004A4530"/>
    <w:pPr>
      <w:tabs>
        <w:tab w:val="right" w:leader="dot" w:pos="9072"/>
      </w:tabs>
      <w:ind w:left="970" w:hanging="403"/>
    </w:pPr>
    <w:rPr>
      <w:rFonts w:ascii="Times New Roman" w:hAnsi="Times New Roman"/>
      <w:b/>
    </w:rPr>
  </w:style>
  <w:style w:type="paragraph" w:styleId="ListNumber">
    <w:name w:val="List Number"/>
    <w:basedOn w:val="List"/>
    <w:rsid w:val="004A4530"/>
    <w:pPr>
      <w:numPr>
        <w:numId w:val="9"/>
      </w:numPr>
    </w:pPr>
  </w:style>
  <w:style w:type="character" w:customStyle="1" w:styleId="WingdingSymbols">
    <w:name w:val="Wingding Symbols"/>
    <w:rsid w:val="004A4530"/>
    <w:rPr>
      <w:rFonts w:ascii="Wingdings" w:hAnsi="Wingdings"/>
    </w:rPr>
  </w:style>
  <w:style w:type="paragraph" w:customStyle="1" w:styleId="TableHeading">
    <w:name w:val="Table Heading"/>
    <w:basedOn w:val="HeadingBase"/>
    <w:rsid w:val="004A4530"/>
    <w:pPr>
      <w:keepLines/>
      <w:pBdr>
        <w:bottom w:val="single" w:sz="6" w:space="1" w:color="918585"/>
      </w:pBdr>
      <w:spacing w:before="240"/>
    </w:pPr>
  </w:style>
  <w:style w:type="character" w:customStyle="1" w:styleId="HotSpot">
    <w:name w:val="HotSpot"/>
    <w:rsid w:val="004A4530"/>
    <w:rPr>
      <w:color w:val="0033CC"/>
      <w:u w:val="none"/>
    </w:rPr>
  </w:style>
  <w:style w:type="paragraph" w:customStyle="1" w:styleId="BodyTextRight">
    <w:name w:val="Body Text Right"/>
    <w:basedOn w:val="BodyText"/>
    <w:rsid w:val="004A4530"/>
    <w:pPr>
      <w:spacing w:before="0" w:after="0"/>
      <w:jc w:val="right"/>
    </w:pPr>
  </w:style>
  <w:style w:type="paragraph" w:styleId="Index3">
    <w:name w:val="index 3"/>
    <w:basedOn w:val="ListNumber2"/>
    <w:next w:val="Normal"/>
    <w:semiHidden/>
    <w:rsid w:val="004A4530"/>
    <w:pPr>
      <w:numPr>
        <w:numId w:val="0"/>
      </w:numPr>
      <w:tabs>
        <w:tab w:val="right" w:leader="dot" w:pos="4176"/>
      </w:tabs>
    </w:pPr>
  </w:style>
  <w:style w:type="paragraph" w:styleId="ListNumber2">
    <w:name w:val="List Number 2"/>
    <w:basedOn w:val="List2"/>
    <w:rsid w:val="004A4530"/>
    <w:pPr>
      <w:numPr>
        <w:numId w:val="8"/>
      </w:numPr>
      <w:tabs>
        <w:tab w:val="clear" w:pos="1060"/>
      </w:tabs>
    </w:pPr>
  </w:style>
  <w:style w:type="paragraph" w:customStyle="1" w:styleId="MarginNote">
    <w:name w:val="Margin Note"/>
    <w:basedOn w:val="BodyText"/>
    <w:rsid w:val="004A4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530"/>
    <w:rPr>
      <w:sz w:val="32"/>
    </w:rPr>
  </w:style>
  <w:style w:type="paragraph" w:customStyle="1" w:styleId="HeadingProcedure">
    <w:name w:val="Heading Procedure"/>
    <w:basedOn w:val="HeadingBase"/>
    <w:next w:val="Normal"/>
    <w:rsid w:val="004A4530"/>
    <w:pPr>
      <w:tabs>
        <w:tab w:val="left" w:pos="0"/>
      </w:tabs>
      <w:spacing w:before="120" w:after="60"/>
    </w:pPr>
    <w:rPr>
      <w:i/>
      <w:color w:val="918585"/>
      <w:sz w:val="22"/>
    </w:rPr>
  </w:style>
  <w:style w:type="paragraph" w:customStyle="1" w:styleId="TableBodyText">
    <w:name w:val="Table Body Text"/>
    <w:basedOn w:val="BodyText"/>
    <w:rsid w:val="004A4530"/>
    <w:pPr>
      <w:spacing w:before="60" w:after="60"/>
    </w:pPr>
  </w:style>
  <w:style w:type="paragraph" w:styleId="ListContinue">
    <w:name w:val="List Continue"/>
    <w:basedOn w:val="List"/>
    <w:rsid w:val="004A4530"/>
    <w:pPr>
      <w:ind w:firstLine="0"/>
    </w:pPr>
  </w:style>
  <w:style w:type="paragraph" w:customStyle="1" w:styleId="ListNote">
    <w:name w:val="List Note"/>
    <w:basedOn w:val="List"/>
    <w:rsid w:val="004A4530"/>
    <w:pPr>
      <w:pBdr>
        <w:top w:val="single" w:sz="6" w:space="2" w:color="918585"/>
        <w:bottom w:val="single" w:sz="6" w:space="2" w:color="918585"/>
      </w:pBdr>
      <w:tabs>
        <w:tab w:val="left" w:pos="1021"/>
      </w:tabs>
      <w:ind w:firstLine="0"/>
    </w:pPr>
  </w:style>
  <w:style w:type="paragraph" w:customStyle="1" w:styleId="Warning">
    <w:name w:val="Warning"/>
    <w:basedOn w:val="BodyText"/>
    <w:rsid w:val="004A4530"/>
    <w:pPr>
      <w:shd w:val="clear" w:color="auto" w:fill="D9D9D9"/>
      <w:tabs>
        <w:tab w:val="left" w:pos="992"/>
      </w:tabs>
      <w:ind w:left="119" w:right="119"/>
    </w:pPr>
    <w:rPr>
      <w:sz w:val="20"/>
    </w:rPr>
  </w:style>
  <w:style w:type="paragraph" w:customStyle="1" w:styleId="MarginIcons">
    <w:name w:val="Margin Icons"/>
    <w:basedOn w:val="BodyText"/>
    <w:rsid w:val="004A4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530"/>
    <w:rPr>
      <w:rFonts w:ascii="Courier New" w:hAnsi="Courier New"/>
    </w:rPr>
  </w:style>
  <w:style w:type="paragraph" w:customStyle="1" w:styleId="NoteBullet">
    <w:name w:val="Note Bullet"/>
    <w:basedOn w:val="Note"/>
    <w:rsid w:val="004A4530"/>
    <w:pPr>
      <w:tabs>
        <w:tab w:val="clear" w:pos="680"/>
      </w:tabs>
      <w:spacing w:before="60" w:after="60"/>
    </w:pPr>
  </w:style>
  <w:style w:type="paragraph" w:customStyle="1" w:styleId="SubHeading2">
    <w:name w:val="SubHeading2"/>
    <w:basedOn w:val="HeadingBase"/>
    <w:rsid w:val="004A4530"/>
    <w:pPr>
      <w:spacing w:before="240" w:after="60"/>
    </w:pPr>
    <w:rPr>
      <w:sz w:val="20"/>
    </w:rPr>
  </w:style>
  <w:style w:type="paragraph" w:customStyle="1" w:styleId="SubHeading1">
    <w:name w:val="SubHeading1"/>
    <w:basedOn w:val="HeadingBase"/>
    <w:rsid w:val="004A4530"/>
    <w:pPr>
      <w:spacing w:before="240" w:after="60"/>
    </w:pPr>
    <w:rPr>
      <w:color w:val="918585"/>
      <w:sz w:val="22"/>
    </w:rPr>
  </w:style>
  <w:style w:type="paragraph" w:customStyle="1" w:styleId="SideHeading">
    <w:name w:val="Side Heading"/>
    <w:basedOn w:val="HeadingBase"/>
    <w:rsid w:val="004A4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530"/>
    <w:pPr>
      <w:numPr>
        <w:numId w:val="10"/>
      </w:numPr>
    </w:pPr>
  </w:style>
  <w:style w:type="paragraph" w:styleId="PlainText">
    <w:name w:val="Plain Text"/>
    <w:basedOn w:val="Normal"/>
    <w:link w:val="PlainTextChar"/>
    <w:rsid w:val="004A4530"/>
    <w:rPr>
      <w:sz w:val="20"/>
    </w:rPr>
  </w:style>
  <w:style w:type="character" w:customStyle="1" w:styleId="PlainTextChar">
    <w:name w:val="Plain Text Char"/>
    <w:basedOn w:val="DefaultParagraphFont"/>
    <w:link w:val="PlainText"/>
    <w:rsid w:val="004A4530"/>
    <w:rPr>
      <w:rFonts w:ascii="Courier New" w:eastAsia="Times New Roman" w:hAnsi="Courier New" w:cs="Times New Roman"/>
      <w:sz w:val="20"/>
      <w:szCs w:val="20"/>
      <w:lang w:eastAsia="en-US"/>
    </w:rPr>
  </w:style>
  <w:style w:type="character" w:customStyle="1" w:styleId="MenuOption">
    <w:name w:val="Menu Option"/>
    <w:basedOn w:val="DefaultParagraphFont"/>
    <w:rsid w:val="004A4530"/>
    <w:rPr>
      <w:b/>
      <w:smallCaps/>
    </w:rPr>
  </w:style>
  <w:style w:type="paragraph" w:customStyle="1" w:styleId="TableListNumber">
    <w:name w:val="Table List Number"/>
    <w:basedOn w:val="ListNumber"/>
    <w:rsid w:val="004A4530"/>
    <w:pPr>
      <w:numPr>
        <w:numId w:val="0"/>
      </w:numPr>
    </w:pPr>
  </w:style>
  <w:style w:type="paragraph" w:styleId="TOC4">
    <w:name w:val="toc 4"/>
    <w:basedOn w:val="TOCBase"/>
    <w:next w:val="Normal"/>
    <w:semiHidden/>
    <w:rsid w:val="004A4530"/>
    <w:pPr>
      <w:tabs>
        <w:tab w:val="right" w:leader="dot" w:pos="9071"/>
      </w:tabs>
      <w:ind w:left="1701"/>
    </w:pPr>
  </w:style>
  <w:style w:type="paragraph" w:customStyle="1" w:styleId="ListAlpha">
    <w:name w:val="List Alpha"/>
    <w:basedOn w:val="List"/>
    <w:rsid w:val="004A4530"/>
    <w:pPr>
      <w:numPr>
        <w:numId w:val="7"/>
      </w:numPr>
    </w:pPr>
  </w:style>
  <w:style w:type="paragraph" w:customStyle="1" w:styleId="ListAlpha2">
    <w:name w:val="List Alpha 2"/>
    <w:basedOn w:val="List2"/>
    <w:rsid w:val="004A4530"/>
    <w:pPr>
      <w:numPr>
        <w:numId w:val="6"/>
      </w:numPr>
    </w:pPr>
  </w:style>
  <w:style w:type="paragraph" w:styleId="List2">
    <w:name w:val="List 2"/>
    <w:basedOn w:val="BodyText"/>
    <w:rsid w:val="004A4530"/>
    <w:pPr>
      <w:tabs>
        <w:tab w:val="left" w:pos="680"/>
      </w:tabs>
      <w:spacing w:before="60" w:after="60"/>
      <w:ind w:left="680" w:hanging="340"/>
    </w:pPr>
  </w:style>
  <w:style w:type="paragraph" w:styleId="List3">
    <w:name w:val="List 3"/>
    <w:basedOn w:val="BodyText"/>
    <w:rsid w:val="004A4530"/>
    <w:pPr>
      <w:tabs>
        <w:tab w:val="left" w:pos="1021"/>
      </w:tabs>
      <w:spacing w:before="60" w:after="60"/>
      <w:ind w:left="1020" w:hanging="340"/>
    </w:pPr>
  </w:style>
  <w:style w:type="paragraph" w:styleId="List4">
    <w:name w:val="List 4"/>
    <w:basedOn w:val="BodyText"/>
    <w:rsid w:val="004A4530"/>
    <w:pPr>
      <w:tabs>
        <w:tab w:val="left" w:pos="1361"/>
      </w:tabs>
      <w:spacing w:before="60" w:after="60"/>
      <w:ind w:left="1361" w:hanging="340"/>
    </w:pPr>
  </w:style>
  <w:style w:type="paragraph" w:styleId="List5">
    <w:name w:val="List 5"/>
    <w:basedOn w:val="BodyText"/>
    <w:rsid w:val="004A4530"/>
    <w:pPr>
      <w:tabs>
        <w:tab w:val="left" w:pos="1701"/>
      </w:tabs>
      <w:spacing w:before="60" w:after="60"/>
      <w:ind w:left="1701" w:hanging="340"/>
    </w:pPr>
  </w:style>
  <w:style w:type="paragraph" w:styleId="ListBullet3">
    <w:name w:val="List Bullet 3"/>
    <w:basedOn w:val="List3"/>
    <w:rsid w:val="004A4530"/>
    <w:pPr>
      <w:numPr>
        <w:numId w:val="13"/>
      </w:numPr>
      <w:tabs>
        <w:tab w:val="clear" w:pos="1021"/>
      </w:tabs>
      <w:ind w:left="1037" w:hanging="357"/>
    </w:pPr>
  </w:style>
  <w:style w:type="paragraph" w:styleId="ListBullet4">
    <w:name w:val="List Bullet 4"/>
    <w:basedOn w:val="List4"/>
    <w:rsid w:val="004A4530"/>
    <w:pPr>
      <w:numPr>
        <w:numId w:val="1"/>
      </w:numPr>
    </w:pPr>
  </w:style>
  <w:style w:type="paragraph" w:styleId="ListBullet5">
    <w:name w:val="List Bullet 5"/>
    <w:basedOn w:val="List5"/>
    <w:rsid w:val="004A4530"/>
    <w:pPr>
      <w:numPr>
        <w:numId w:val="2"/>
      </w:numPr>
    </w:pPr>
  </w:style>
  <w:style w:type="paragraph" w:styleId="ListContinue2">
    <w:name w:val="List Continue 2"/>
    <w:basedOn w:val="List2"/>
    <w:rsid w:val="004A4530"/>
    <w:pPr>
      <w:ind w:firstLine="0"/>
    </w:pPr>
  </w:style>
  <w:style w:type="paragraph" w:styleId="ListContinue3">
    <w:name w:val="List Continue 3"/>
    <w:basedOn w:val="List3"/>
    <w:rsid w:val="004A4530"/>
    <w:pPr>
      <w:ind w:left="1021" w:firstLine="0"/>
    </w:pPr>
  </w:style>
  <w:style w:type="paragraph" w:styleId="ListContinue4">
    <w:name w:val="List Continue 4"/>
    <w:basedOn w:val="List4"/>
    <w:rsid w:val="004A4530"/>
    <w:pPr>
      <w:ind w:firstLine="0"/>
    </w:pPr>
  </w:style>
  <w:style w:type="paragraph" w:styleId="ListContinue5">
    <w:name w:val="List Continue 5"/>
    <w:basedOn w:val="List5"/>
    <w:rsid w:val="004A4530"/>
    <w:pPr>
      <w:ind w:firstLine="0"/>
    </w:pPr>
  </w:style>
  <w:style w:type="paragraph" w:styleId="ListNumber3">
    <w:name w:val="List Number 3"/>
    <w:basedOn w:val="List3"/>
    <w:rsid w:val="004A4530"/>
    <w:pPr>
      <w:numPr>
        <w:numId w:val="3"/>
      </w:numPr>
    </w:pPr>
  </w:style>
  <w:style w:type="paragraph" w:styleId="ListNumber4">
    <w:name w:val="List Number 4"/>
    <w:basedOn w:val="List4"/>
    <w:rsid w:val="004A4530"/>
    <w:pPr>
      <w:numPr>
        <w:numId w:val="4"/>
      </w:numPr>
    </w:pPr>
  </w:style>
  <w:style w:type="paragraph" w:styleId="ListNumber5">
    <w:name w:val="List Number 5"/>
    <w:basedOn w:val="List5"/>
    <w:rsid w:val="004A4530"/>
    <w:pPr>
      <w:numPr>
        <w:numId w:val="5"/>
      </w:numPr>
    </w:pPr>
  </w:style>
  <w:style w:type="paragraph" w:styleId="BlockText">
    <w:name w:val="Block Text"/>
    <w:basedOn w:val="Normal"/>
    <w:rsid w:val="004A4530"/>
    <w:pPr>
      <w:spacing w:after="120"/>
      <w:ind w:left="1440" w:right="1440"/>
    </w:pPr>
  </w:style>
  <w:style w:type="character" w:customStyle="1" w:styleId="Subscript">
    <w:name w:val="Subscript"/>
    <w:basedOn w:val="DefaultParagraphFont"/>
    <w:rsid w:val="004A4530"/>
    <w:rPr>
      <w:sz w:val="16"/>
      <w:vertAlign w:val="subscript"/>
    </w:rPr>
  </w:style>
  <w:style w:type="character" w:customStyle="1" w:styleId="Superscript">
    <w:name w:val="Superscript"/>
    <w:basedOn w:val="DefaultParagraphFont"/>
    <w:rsid w:val="004A4530"/>
    <w:rPr>
      <w:sz w:val="16"/>
      <w:vertAlign w:val="superscript"/>
    </w:rPr>
  </w:style>
  <w:style w:type="character" w:customStyle="1" w:styleId="Symbols">
    <w:name w:val="Symbols"/>
    <w:basedOn w:val="DefaultParagraphFont"/>
    <w:rsid w:val="004A4530"/>
    <w:rPr>
      <w:rFonts w:ascii="Symbol" w:hAnsi="Symbol"/>
    </w:rPr>
  </w:style>
  <w:style w:type="character" w:customStyle="1" w:styleId="MenuOptions">
    <w:name w:val="Menu Options"/>
    <w:basedOn w:val="DefaultParagraphFont"/>
    <w:rsid w:val="004A4530"/>
    <w:rPr>
      <w:rFonts w:ascii="Arial Narrow" w:hAnsi="Arial Narrow"/>
      <w:smallCaps/>
    </w:rPr>
  </w:style>
  <w:style w:type="character" w:customStyle="1" w:styleId="Buttons">
    <w:name w:val="Buttons"/>
    <w:basedOn w:val="DefaultParagraphFont"/>
    <w:rsid w:val="004A4530"/>
    <w:rPr>
      <w:b/>
    </w:rPr>
  </w:style>
  <w:style w:type="character" w:customStyle="1" w:styleId="Underlined">
    <w:name w:val="Underlined"/>
    <w:basedOn w:val="DefaultParagraphFont"/>
    <w:rsid w:val="004A4530"/>
    <w:rPr>
      <w:u w:val="single"/>
    </w:rPr>
  </w:style>
  <w:style w:type="paragraph" w:customStyle="1" w:styleId="TableBodyTextRight">
    <w:name w:val="Table Body Text Right"/>
    <w:basedOn w:val="TableBodyText"/>
    <w:rsid w:val="004A4530"/>
    <w:pPr>
      <w:widowControl w:val="0"/>
      <w:autoSpaceDE w:val="0"/>
      <w:autoSpaceDN w:val="0"/>
      <w:adjustRightInd w:val="0"/>
      <w:jc w:val="right"/>
    </w:pPr>
    <w:rPr>
      <w:rFonts w:cs="Arial"/>
      <w:szCs w:val="18"/>
    </w:rPr>
  </w:style>
  <w:style w:type="paragraph" w:customStyle="1" w:styleId="CopyrightText">
    <w:name w:val="Copyright Text"/>
    <w:basedOn w:val="BodyText"/>
    <w:rsid w:val="004A4530"/>
    <w:rPr>
      <w:sz w:val="18"/>
    </w:rPr>
  </w:style>
  <w:style w:type="paragraph" w:customStyle="1" w:styleId="BodySmallRight">
    <w:name w:val="Body Small Right"/>
    <w:basedOn w:val="BodyTextRight"/>
    <w:rsid w:val="004A4530"/>
    <w:rPr>
      <w:sz w:val="18"/>
      <w:szCs w:val="18"/>
    </w:rPr>
  </w:style>
  <w:style w:type="paragraph" w:customStyle="1" w:styleId="MarginEdition">
    <w:name w:val="Margin Edition"/>
    <w:basedOn w:val="MarginNote"/>
    <w:rsid w:val="004A4530"/>
    <w:pPr>
      <w:spacing w:before="0" w:after="0"/>
    </w:pPr>
    <w:rPr>
      <w:rFonts w:ascii="Times New Roman" w:hAnsi="Times New Roman"/>
      <w:color w:val="999999"/>
    </w:rPr>
  </w:style>
  <w:style w:type="paragraph" w:customStyle="1" w:styleId="Spacer">
    <w:name w:val="Spacer"/>
    <w:basedOn w:val="Normal"/>
    <w:rsid w:val="004A4530"/>
    <w:rPr>
      <w:sz w:val="2"/>
      <w:szCs w:val="2"/>
    </w:rPr>
  </w:style>
  <w:style w:type="character" w:customStyle="1" w:styleId="Small">
    <w:name w:val="Small"/>
    <w:basedOn w:val="DefaultParagraphFont"/>
    <w:rsid w:val="004A4530"/>
    <w:rPr>
      <w:sz w:val="16"/>
    </w:rPr>
  </w:style>
  <w:style w:type="paragraph" w:customStyle="1" w:styleId="WideTable">
    <w:name w:val="Wide Table"/>
    <w:basedOn w:val="Normal"/>
    <w:rsid w:val="004A4530"/>
    <w:pPr>
      <w:ind w:left="-1418"/>
    </w:pPr>
    <w:rPr>
      <w:sz w:val="2"/>
      <w:szCs w:val="2"/>
    </w:rPr>
  </w:style>
  <w:style w:type="character" w:styleId="PageNumber">
    <w:name w:val="page number"/>
    <w:basedOn w:val="DefaultParagraphFont"/>
    <w:rsid w:val="004A4530"/>
  </w:style>
  <w:style w:type="paragraph" w:styleId="Quote">
    <w:name w:val="Quote"/>
    <w:basedOn w:val="Heading1"/>
    <w:link w:val="QuoteChar"/>
    <w:qFormat/>
    <w:rsid w:val="004A4530"/>
    <w:rPr>
      <w:b w:val="0"/>
      <w:sz w:val="72"/>
      <w:szCs w:val="72"/>
      <w:lang w:val="en-NZ"/>
    </w:rPr>
  </w:style>
  <w:style w:type="character" w:customStyle="1" w:styleId="QuoteChar">
    <w:name w:val="Quote Char"/>
    <w:basedOn w:val="DefaultParagraphFont"/>
    <w:link w:val="Quote"/>
    <w:rsid w:val="004A4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530"/>
    <w:pPr>
      <w:pageBreakBefore/>
    </w:pPr>
  </w:style>
  <w:style w:type="paragraph" w:customStyle="1" w:styleId="Border">
    <w:name w:val="Border"/>
    <w:basedOn w:val="Normal"/>
    <w:qFormat/>
    <w:rsid w:val="004A4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530"/>
    <w:rPr>
      <w:b/>
      <w:bCs/>
      <w:i/>
      <w:iCs/>
      <w:color w:val="auto"/>
    </w:rPr>
  </w:style>
  <w:style w:type="paragraph" w:styleId="IntenseQuote">
    <w:name w:val="Intense Quote"/>
    <w:basedOn w:val="Normal"/>
    <w:next w:val="Normal"/>
    <w:link w:val="IntenseQuoteChar"/>
    <w:uiPriority w:val="30"/>
    <w:qFormat/>
    <w:rsid w:val="004A4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530"/>
    <w:rPr>
      <w:smallCaps/>
      <w:color w:val="auto"/>
      <w:u w:val="single"/>
    </w:rPr>
  </w:style>
  <w:style w:type="character" w:styleId="IntenseReference">
    <w:name w:val="Intense Reference"/>
    <w:basedOn w:val="DefaultParagraphFont"/>
    <w:uiPriority w:val="32"/>
    <w:qFormat/>
    <w:rsid w:val="004A4530"/>
    <w:rPr>
      <w:b/>
      <w:bCs/>
      <w:smallCaps/>
      <w:color w:val="auto"/>
      <w:spacing w:val="5"/>
      <w:u w:val="single"/>
    </w:rPr>
  </w:style>
  <w:style w:type="paragraph" w:customStyle="1" w:styleId="2ColumnHeading">
    <w:name w:val="2Column Heading"/>
    <w:basedOn w:val="BodyText"/>
    <w:qFormat/>
    <w:rsid w:val="004A4530"/>
    <w:pPr>
      <w:spacing w:after="60"/>
      <w:ind w:left="-2268"/>
    </w:pPr>
    <w:rPr>
      <w:b/>
    </w:rPr>
  </w:style>
  <w:style w:type="paragraph" w:customStyle="1" w:styleId="Heading1TOC">
    <w:name w:val="Heading1 TOC"/>
    <w:basedOn w:val="Normal"/>
    <w:qFormat/>
    <w:rsid w:val="004A4530"/>
    <w:pPr>
      <w:spacing w:before="240" w:after="120"/>
    </w:pPr>
    <w:rPr>
      <w:rFonts w:ascii="Times New Roman" w:hAnsi="Times New Roman"/>
      <w:b/>
      <w:sz w:val="32"/>
    </w:rPr>
  </w:style>
  <w:style w:type="paragraph" w:customStyle="1" w:styleId="Heading2TOC">
    <w:name w:val="Heading2 TOC"/>
    <w:basedOn w:val="Normal"/>
    <w:qFormat/>
    <w:rsid w:val="004A4530"/>
    <w:pPr>
      <w:spacing w:before="240" w:after="60"/>
    </w:pPr>
    <w:rPr>
      <w:rFonts w:ascii="Times New Roman" w:hAnsi="Times New Roman"/>
      <w:b/>
      <w:sz w:val="28"/>
    </w:rPr>
  </w:style>
  <w:style w:type="character" w:customStyle="1" w:styleId="Underline">
    <w:name w:val="Underline"/>
    <w:basedOn w:val="DefaultParagraphFont"/>
    <w:qFormat/>
    <w:rsid w:val="004A4530"/>
    <w:rPr>
      <w:u w:val="single"/>
    </w:rPr>
  </w:style>
  <w:style w:type="character" w:customStyle="1" w:styleId="BoldandItalics">
    <w:name w:val="Bold and Italics"/>
    <w:qFormat/>
    <w:rsid w:val="004A4530"/>
    <w:rPr>
      <w:b/>
      <w:i/>
      <w:u w:val="none"/>
    </w:rPr>
  </w:style>
  <w:style w:type="paragraph" w:styleId="BalloonText">
    <w:name w:val="Balloon Text"/>
    <w:basedOn w:val="Normal"/>
    <w:link w:val="BalloonTextChar"/>
    <w:rsid w:val="004A4530"/>
    <w:rPr>
      <w:rFonts w:ascii="Tahoma" w:hAnsi="Tahoma" w:cs="Tahoma"/>
      <w:sz w:val="16"/>
      <w:szCs w:val="16"/>
    </w:rPr>
  </w:style>
  <w:style w:type="character" w:customStyle="1" w:styleId="BalloonTextChar">
    <w:name w:val="Balloon Text Char"/>
    <w:basedOn w:val="DefaultParagraphFont"/>
    <w:link w:val="BalloonText"/>
    <w:rsid w:val="004A4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5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530"/>
    <w:rPr>
      <w:b/>
      <w:color w:val="660033"/>
      <w:spacing w:val="0"/>
    </w:rPr>
  </w:style>
  <w:style w:type="paragraph" w:customStyle="1" w:styleId="Nameditemlist">
    <w:name w:val="Named item list"/>
    <w:basedOn w:val="BodyText"/>
    <w:qFormat/>
    <w:rsid w:val="004A45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2477</Words>
  <Characters>15274</Characters>
  <Application>Microsoft Office Word</Application>
  <DocSecurity>0</DocSecurity>
  <Lines>860</Lines>
  <Paragraphs>361</Paragraphs>
  <ScaleCrop>false</ScaleCrop>
  <Company>Author-it Software Corporation Ltd.</Company>
  <LinksUpToDate>false</LinksUpToDate>
  <CharactersWithSpaces>17407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TDMMR1007B OPERATE PUMPING SYSTEMS AND ASSOCIATED CONTROL SYSTEMS</dc:title>
  <dc:subject>Approved</dc:subject>
  <dc:creator>Transport &amp; Logistics Industry Skills Council</dc:creator>
  <cp:keywords>Revision Number: 1</cp:keywords>
  <dc:description>Review Date: 12 April 2008</dc:description>
  <cp:lastModifiedBy>TPCMS</cp:lastModifiedBy>
  <cp:revision>3</cp:revision>
  <dcterms:created xsi:type="dcterms:W3CDTF">2014-05-07T05:07:00Z</dcterms:created>
  <dcterms:modified xsi:type="dcterms:W3CDTF">2014-05-07T05:07:00Z</dcterms:modified>
</cp:coreProperties>
</file>