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6C2A" w:rsidP="00DA6C2A">
      <w:pPr>
        <w:pStyle w:val="Title"/>
      </w:pPr>
      <w:r>
        <w:fldChar w:fldCharType="begin"/>
      </w:r>
      <w:r>
        <w:instrText xml:space="preserve"> TITLE   \* MERGEFORMAT </w:instrText>
      </w:r>
      <w:r>
        <w:fldChar w:fldCharType="separate"/>
      </w:r>
      <w:r>
        <w:t>TDMMH107B PLAN A VOYAGE AND CONDUCT NAVIGATION</w:t>
      </w:r>
      <w:r>
        <w:fldChar w:fldCharType="end"/>
      </w:r>
    </w:p>
    <w:p w:rsidR="00DA6C2A" w:rsidP="00DA6C2A">
      <w:pPr>
        <w:pStyle w:val="Version"/>
        <w:sectPr w:rsidSect="00D92F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92F9D" w:rsidP="00D92F9D">
      <w:pPr>
        <w:pStyle w:val="SuperHeading"/>
      </w:pPr>
      <w:r w:rsidRPr="00D92F9D">
        <w:t>TDMMH107B PLAN A VOYAGE AND CONDUCT NAVIGATION</w:t>
      </w:r>
    </w:p>
    <w:p w:rsidR="00000000" w:rsidRPr="00D92F9D" w:rsidP="00D92F9D">
      <w:pPr>
        <w:pStyle w:val="SuperHeading"/>
      </w:pPr>
    </w:p>
    <w:p w:rsidR="00000000" w:rsidRPr="00D92F9D" w:rsidP="00D92F9D">
      <w:pPr>
        <w:pStyle w:val="Heading1"/>
      </w:pPr>
      <w:bookmarkStart w:id="1" w:name="O_151479"/>
      <w:bookmarkEnd w:id="1"/>
      <w:r w:rsidRPr="00D92F9D">
        <w:t>Modification History</w:t>
      </w:r>
    </w:p>
    <w:p w:rsidR="00000000" w:rsidRPr="00D92F9D" w:rsidP="00D92F9D">
      <w:pPr>
        <w:pStyle w:val="BodyText"/>
      </w:pPr>
      <w:r w:rsidRPr="00D92F9D">
        <w:t>Not applicable.</w:t>
      </w:r>
    </w:p>
    <w:p w:rsidR="00000000" w:rsidRPr="00D92F9D" w:rsidP="00D92F9D">
      <w:pPr>
        <w:pStyle w:val="AllowPageBreak"/>
      </w:pPr>
    </w:p>
    <w:p w:rsidR="00000000" w:rsidRPr="00D92F9D" w:rsidP="00D92F9D">
      <w:pPr>
        <w:pStyle w:val="Heading1"/>
      </w:pPr>
      <w:bookmarkStart w:id="2" w:name="O_151480"/>
      <w:bookmarkEnd w:id="2"/>
      <w:r w:rsidRPr="00D92F9D">
        <w:t>Unit Descriptor</w:t>
      </w:r>
    </w:p>
    <w:tbl>
      <w:tblPr>
        <w:tblW w:w="0" w:type="auto"/>
        <w:tblLayout w:type="fixed"/>
        <w:tblCellMar>
          <w:left w:w="62" w:type="dxa"/>
          <w:right w:w="62" w:type="dxa"/>
        </w:tblCellMar>
        <w:tblLook w:val="0000"/>
      </w:tblPr>
      <w:tblGrid>
        <w:gridCol w:w="1974"/>
        <w:gridCol w:w="6481"/>
      </w:tblGrid>
      <w:tr w:rsidTr="00DA6C2A">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F9D" w:rsidP="00D92F9D">
            <w:pPr>
              <w:pStyle w:val="BodyText"/>
            </w:pPr>
            <w:r w:rsidRPr="00D92F9D">
              <w:t>UNIT DESCRIPTOR:</w:t>
            </w:r>
          </w:p>
          <w:p w:rsidR="00000000" w:rsidP="00D92F9D">
            <w:pPr>
              <w:pStyle w:val="BodyText"/>
              <w:rPr>
                <w:lang w:val="en-NZ"/>
              </w:rPr>
            </w:pPr>
            <w:r w:rsidRPr="00D92F9D">
              <w:rPr>
                <w:rStyle w:val="SpecialBold"/>
              </w:rPr>
              <w:t>This unit involves the skills and knowledge required to plan the voyage of a commercial vessel of less than 500 gross tonnage and conduct navigation</w:t>
            </w:r>
            <w:r w:rsidRPr="00D92F9D">
              <w:t xml:space="preserve">, </w:t>
            </w:r>
            <w:r w:rsidRPr="00D92F9D">
              <w:rPr>
                <w:rStyle w:val="SpecialBold"/>
              </w:rPr>
              <w:t>including p</w:t>
            </w:r>
            <w:r w:rsidRPr="00D92F9D">
              <w:rPr>
                <w:rStyle w:val="SpecialBold"/>
              </w:rPr>
              <w:t>lanning and navigation for all conditions by acceptable methods of plotting ocean tracks</w:t>
            </w:r>
            <w:r w:rsidRPr="00D92F9D">
              <w:t xml:space="preserve">, </w:t>
            </w:r>
            <w:r w:rsidRPr="00D92F9D">
              <w:rPr>
                <w:rStyle w:val="SpecialBold"/>
              </w:rPr>
              <w:t>routeing in accordance with the General Principles on Ships' Routeing and reporting as required by the Guidelines and Criteria for Ship Reporting Systems</w:t>
            </w:r>
            <w:r w:rsidRPr="00D92F9D">
              <w:t>.</w:t>
            </w:r>
          </w:p>
        </w:tc>
      </w:tr>
      <w:tr w:rsidTr="00DA6C2A">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D92F9D" w:rsidP="00D92F9D">
            <w:pPr>
              <w:pStyle w:val="BodyText"/>
            </w:pPr>
          </w:p>
        </w:tc>
      </w:tr>
    </w:tbl>
    <w:p w:rsidR="00000000" w:rsidRPr="00D92F9D" w:rsidP="00D92F9D">
      <w:pPr>
        <w:pStyle w:val="BodyText"/>
      </w:pPr>
    </w:p>
    <w:p w:rsidR="00000000" w:rsidRPr="00D92F9D" w:rsidP="00D92F9D">
      <w:pPr>
        <w:pStyle w:val="AllowPageBreak"/>
      </w:pPr>
    </w:p>
    <w:p w:rsidR="00000000" w:rsidRPr="00D92F9D" w:rsidP="00D92F9D">
      <w:pPr>
        <w:pStyle w:val="Heading1"/>
      </w:pPr>
      <w:bookmarkStart w:id="3" w:name="O_151481"/>
      <w:bookmarkEnd w:id="3"/>
      <w:r w:rsidRPr="00D92F9D">
        <w:t>Application of the Unit</w:t>
      </w:r>
    </w:p>
    <w:tbl>
      <w:tblPr>
        <w:tblW w:w="0" w:type="auto"/>
        <w:tblLayout w:type="fixed"/>
        <w:tblCellMar>
          <w:left w:w="62" w:type="dxa"/>
          <w:right w:w="62" w:type="dxa"/>
        </w:tblCellMar>
        <w:tblLook w:val="0000"/>
      </w:tblPr>
      <w:tblGrid>
        <w:gridCol w:w="1974"/>
        <w:gridCol w:w="6481"/>
      </w:tblGrid>
      <w:tr w:rsidTr="00DA6C2A">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F9D">
            <w:pPr>
              <w:pStyle w:val="BodyText"/>
              <w:rPr>
                <w:lang w:val="en-NZ"/>
              </w:rPr>
            </w:pPr>
            <w:r w:rsidRPr="00D92F9D">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F9D" w:rsidP="00D92F9D">
            <w:pPr>
              <w:pStyle w:val="BodyText"/>
            </w:pPr>
            <w:r w:rsidRPr="00D92F9D">
              <w:t>The unit has application in qualifications for Master on a vessel of 500 gross tonnage or more operating in international waters, i.e. Advanced Diploma of Transport&amp;Distribution(Maritime Opera</w:t>
            </w:r>
            <w:r w:rsidRPr="00D92F9D">
              <w:t>tions - Master Unlimited).</w:t>
            </w:r>
          </w:p>
        </w:tc>
      </w:tr>
    </w:tbl>
    <w:p w:rsidR="00000000" w:rsidRPr="00D92F9D" w:rsidP="00D92F9D">
      <w:pPr>
        <w:pStyle w:val="BodyText"/>
      </w:pPr>
    </w:p>
    <w:p w:rsidR="00000000" w:rsidRPr="00D92F9D" w:rsidP="00D92F9D">
      <w:pPr>
        <w:pStyle w:val="AllowPageBreak"/>
      </w:pPr>
    </w:p>
    <w:p w:rsidR="00000000" w:rsidRPr="00D92F9D" w:rsidP="00D92F9D">
      <w:pPr>
        <w:pStyle w:val="Heading1"/>
      </w:pPr>
      <w:bookmarkStart w:id="4" w:name="O_151482"/>
      <w:bookmarkEnd w:id="4"/>
      <w:r w:rsidRPr="00D92F9D">
        <w:t>Licensing/Regulatory Information</w:t>
      </w:r>
    </w:p>
    <w:tbl>
      <w:tblPr>
        <w:tblW w:w="0" w:type="auto"/>
        <w:tblLayout w:type="fixed"/>
        <w:tblCellMar>
          <w:left w:w="62" w:type="dxa"/>
          <w:right w:w="62" w:type="dxa"/>
        </w:tblCellMar>
        <w:tblLook w:val="0000"/>
      </w:tblPr>
      <w:tblGrid>
        <w:gridCol w:w="1974"/>
        <w:gridCol w:w="6481"/>
      </w:tblGrid>
      <w:tr w:rsidTr="00DA6C2A">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F9D">
            <w:pPr>
              <w:pStyle w:val="BodyText"/>
              <w:rPr>
                <w:lang w:val="en-NZ"/>
              </w:rPr>
            </w:pPr>
            <w:r w:rsidRPr="00D92F9D">
              <w:rPr>
                <w:rStyle w:val="SpecialBold"/>
              </w:rPr>
              <w:t>Licensing</w:t>
            </w:r>
            <w:r w:rsidRPr="00D92F9D">
              <w:t>/</w:t>
            </w:r>
            <w:r w:rsidRPr="00D92F9D">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F9D" w:rsidP="00D92F9D">
            <w:pPr>
              <w:pStyle w:val="BodyText"/>
            </w:pPr>
            <w:r w:rsidRPr="00D92F9D">
              <w:t xml:space="preserve">The unit is consistent with the relevant sections of STCW 95, the International Ship and Port Facility Security (ISPS) Code and Marine Orders </w:t>
            </w:r>
            <w:r w:rsidRPr="00D92F9D">
              <w:t>under the Australian Navigation Act 1912, describing requirements for a Master on a vessel of less than 500 gross tonnage operating in international waters.</w:t>
            </w:r>
          </w:p>
        </w:tc>
      </w:tr>
    </w:tbl>
    <w:p w:rsidR="00000000" w:rsidRPr="00D92F9D" w:rsidP="00D92F9D">
      <w:pPr>
        <w:pStyle w:val="BodyText"/>
      </w:pPr>
    </w:p>
    <w:p w:rsidR="00000000" w:rsidRPr="00D92F9D" w:rsidP="00D92F9D">
      <w:pPr>
        <w:pStyle w:val="AllowPageBreak"/>
      </w:pPr>
    </w:p>
    <w:p w:rsidR="00000000" w:rsidRPr="00D92F9D" w:rsidP="00D92F9D">
      <w:pPr>
        <w:pStyle w:val="Heading1"/>
      </w:pPr>
      <w:bookmarkStart w:id="5" w:name="O_151484"/>
      <w:bookmarkEnd w:id="5"/>
      <w:r w:rsidRPr="00D92F9D">
        <w:t>Pre-Requisites</w:t>
      </w:r>
    </w:p>
    <w:p w:rsidR="00000000" w:rsidRPr="00D92F9D" w:rsidP="00D92F9D">
      <w:pPr>
        <w:pStyle w:val="BodyText"/>
      </w:pPr>
      <w:r w:rsidRPr="00D92F9D">
        <w:t>Not applicable.</w:t>
      </w:r>
    </w:p>
    <w:p w:rsidR="00000000" w:rsidRPr="00D92F9D" w:rsidP="00D92F9D">
      <w:pPr>
        <w:pStyle w:val="AllowPageBreak"/>
      </w:pPr>
    </w:p>
    <w:p w:rsidR="00000000" w:rsidRPr="00D92F9D" w:rsidP="00D92F9D">
      <w:pPr>
        <w:pStyle w:val="Heading1"/>
      </w:pPr>
      <w:bookmarkStart w:id="6" w:name="O_151483"/>
      <w:bookmarkEnd w:id="6"/>
      <w:r w:rsidRPr="00D92F9D">
        <w:t>Employability Skills Information</w:t>
      </w:r>
    </w:p>
    <w:p w:rsidR="00000000" w:rsidRPr="00D92F9D" w:rsidP="00D92F9D">
      <w:pPr>
        <w:pStyle w:val="BodyText"/>
      </w:pPr>
      <w:r w:rsidRPr="00D92F9D">
        <w:t>Not applicable.</w:t>
      </w:r>
    </w:p>
    <w:p w:rsidR="00000000" w:rsidRPr="00D92F9D" w:rsidP="00D92F9D">
      <w:pPr>
        <w:pStyle w:val="AllowPageBreak"/>
      </w:pPr>
    </w:p>
    <w:p w:rsidR="00000000" w:rsidRPr="00D92F9D" w:rsidP="00D92F9D">
      <w:pPr>
        <w:pStyle w:val="Heading1"/>
      </w:pPr>
      <w:bookmarkStart w:id="7" w:name="O_151485"/>
      <w:bookmarkEnd w:id="7"/>
      <w:r w:rsidRPr="00D92F9D">
        <w:t>Elements and Performance Criteria Pre-Content</w:t>
      </w:r>
    </w:p>
    <w:tbl>
      <w:tblPr>
        <w:tblW w:w="0" w:type="auto"/>
        <w:tblLayout w:type="fixed"/>
        <w:tblCellMar>
          <w:left w:w="62" w:type="dxa"/>
          <w:right w:w="62" w:type="dxa"/>
        </w:tblCellMar>
        <w:tblLook w:val="0000"/>
      </w:tblPr>
      <w:tblGrid>
        <w:gridCol w:w="1946"/>
        <w:gridCol w:w="6511"/>
      </w:tblGrid>
      <w:tr w:rsidTr="00DA6C2A">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D92F9D" w:rsidP="00D92F9D">
            <w:pPr>
              <w:pStyle w:val="BodyText"/>
            </w:pPr>
            <w:r w:rsidRPr="00D92F9D">
              <w:rPr>
                <w:rStyle w:val="Emphasis"/>
              </w:rPr>
              <w:t>Elements describe the essential outcomes of a unit of competency</w:t>
            </w:r>
            <w:r w:rsidRPr="00D92F9D">
              <w:t>.</w:t>
            </w:r>
          </w:p>
        </w:tc>
        <w:tc>
          <w:tcPr>
            <w:tcW w:w="6511" w:type="dxa"/>
            <w:tcBorders>
              <w:top w:val="single" w:sz="6" w:space="0" w:color="auto"/>
              <w:left w:val="single" w:sz="6" w:space="0" w:color="auto"/>
              <w:bottom w:val="nil"/>
              <w:right w:val="nil"/>
            </w:tcBorders>
            <w:tcMar>
              <w:top w:w="0" w:type="dxa"/>
              <w:left w:w="62" w:type="dxa"/>
              <w:bottom w:w="0" w:type="dxa"/>
              <w:right w:w="62" w:type="dxa"/>
            </w:tcMar>
          </w:tcPr>
          <w:p w:rsidR="00000000" w:rsidRPr="00D92F9D" w:rsidP="00D92F9D">
            <w:pPr>
              <w:pStyle w:val="BodyText"/>
            </w:pPr>
            <w:r w:rsidRPr="00D92F9D">
              <w:rPr>
                <w:rStyle w:val="Emphasis"/>
              </w:rPr>
              <w:t>Performance Criteria describe the required performance needed to demonstrate achievement of the element</w:t>
            </w:r>
            <w:r w:rsidRPr="00D92F9D">
              <w:t xml:space="preserve">. </w:t>
            </w:r>
            <w:r w:rsidRPr="00D92F9D">
              <w:rPr>
                <w:rStyle w:val="Emphasis"/>
              </w:rPr>
              <w:t>Asses</w:t>
            </w:r>
            <w:r w:rsidRPr="00D92F9D">
              <w:rPr>
                <w:rStyle w:val="Emphasis"/>
              </w:rPr>
              <w:t>sment of performance is to be consistent with the Evidence Guide</w:t>
            </w:r>
            <w:r w:rsidRPr="00D92F9D">
              <w:t>.</w:t>
            </w:r>
          </w:p>
        </w:tc>
      </w:tr>
    </w:tbl>
    <w:p w:rsidR="00000000" w:rsidRPr="00D92F9D" w:rsidP="00D92F9D">
      <w:pPr>
        <w:pStyle w:val="BodyText"/>
      </w:pPr>
    </w:p>
    <w:p w:rsidR="00000000" w:rsidRPr="00D92F9D" w:rsidP="00D92F9D">
      <w:pPr>
        <w:pStyle w:val="AllowPageBreak"/>
      </w:pPr>
    </w:p>
    <w:p w:rsidR="00000000" w:rsidRPr="00D92F9D" w:rsidP="00D92F9D">
      <w:pPr>
        <w:pStyle w:val="Heading1"/>
      </w:pPr>
      <w:bookmarkStart w:id="8" w:name="O_151486"/>
      <w:bookmarkEnd w:id="8"/>
      <w:r w:rsidRPr="00D92F9D">
        <w:t>Elements and Performance Criteria</w:t>
      </w:r>
    </w:p>
    <w:tbl>
      <w:tblPr>
        <w:tblW w:w="0" w:type="auto"/>
        <w:tblLayout w:type="fixed"/>
        <w:tblCellMar>
          <w:left w:w="62" w:type="dxa"/>
          <w:right w:w="62" w:type="dxa"/>
        </w:tblCellMar>
        <w:tblLook w:val="0000"/>
      </w:tblPr>
      <w:tblGrid>
        <w:gridCol w:w="340"/>
        <w:gridCol w:w="1606"/>
        <w:gridCol w:w="360"/>
        <w:gridCol w:w="6030"/>
      </w:tblGrid>
      <w:tr w:rsidTr="00DA6C2A">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D92F9D" w:rsidP="00D92F9D">
            <w:pPr>
              <w:pStyle w:val="BodyText"/>
            </w:pPr>
            <w:r w:rsidRPr="00D92F9D">
              <w:rPr>
                <w:rStyle w:val="SpecialBold"/>
              </w:rPr>
              <w:t>ELEMENT</w:t>
            </w:r>
          </w:p>
        </w:tc>
        <w:tc>
          <w:tcPr>
            <w:tcW w:w="639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D92F9D">
            <w:pPr>
              <w:pStyle w:val="BodyText"/>
              <w:rPr>
                <w:lang w:val="en-NZ"/>
              </w:rPr>
            </w:pPr>
            <w:r w:rsidRPr="00D92F9D">
              <w:rPr>
                <w:rStyle w:val="SpecialBold"/>
              </w:rPr>
              <w:t>PERFORMANCE CRITERIA</w:t>
            </w:r>
          </w:p>
        </w:tc>
      </w:tr>
      <w:tr w:rsidTr="00DA6C2A">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D92F9D" w:rsidP="00D92F9D">
            <w:pPr>
              <w:pStyle w:val="BodyText"/>
            </w:pPr>
            <w:r w:rsidRPr="00D92F9D">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D92F9D">
            <w:pPr>
              <w:pStyle w:val="BodyText"/>
              <w:rPr>
                <w:lang w:val="en-NZ"/>
              </w:rPr>
            </w:pPr>
            <w:r w:rsidRPr="00D92F9D">
              <w:rPr>
                <w:rStyle w:val="SpecialBold"/>
              </w:rPr>
              <w:t>Maintain navigational charts</w:t>
            </w:r>
            <w:r w:rsidRPr="00D92F9D">
              <w:t xml:space="preserve">, </w:t>
            </w:r>
            <w:r w:rsidRPr="00D92F9D">
              <w:rPr>
                <w:rStyle w:val="SpecialBold"/>
              </w:rPr>
              <w:t>nautical publications</w:t>
            </w:r>
            <w:r w:rsidRPr="00D92F9D">
              <w:t xml:space="preserve"> </w:t>
            </w:r>
            <w:r w:rsidRPr="00D92F9D">
              <w:rPr>
                <w:rStyle w:val="SpecialBold"/>
              </w:rPr>
              <w:t>and related documentation</w:t>
            </w:r>
          </w:p>
        </w:tc>
        <w:tc>
          <w:tcPr>
            <w:tcW w:w="360" w:type="dxa"/>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a</w:t>
            </w:r>
          </w:p>
        </w:tc>
        <w:tc>
          <w:tcPr>
            <w:tcW w:w="6030"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 xml:space="preserve">Navigational charts, nautical publications and related documentation are stored and maintained in accordance with company procedures and chart/publication publisher's instructions </w:t>
            </w:r>
          </w:p>
        </w:tc>
      </w:tr>
      <w:tr w:rsidTr="00DA6C2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b</w:t>
            </w:r>
          </w:p>
        </w:tc>
        <w:tc>
          <w:tcPr>
            <w:tcW w:w="6030"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Navigational charts, na</w:t>
            </w:r>
            <w:r w:rsidRPr="00D92F9D">
              <w:t>utical publications and related documentation are filed in accordance with company procedures</w:t>
            </w:r>
          </w:p>
        </w:tc>
      </w:tr>
      <w:tr w:rsidTr="00DA6C2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c</w:t>
            </w:r>
          </w:p>
        </w:tc>
        <w:tc>
          <w:tcPr>
            <w:tcW w:w="6030"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An inventory of navigational charts, nautical publications and related documentation is established and kept as required by company procedures</w:t>
            </w:r>
          </w:p>
        </w:tc>
      </w:tr>
      <w:tr w:rsidTr="00DA6C2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d</w:t>
            </w:r>
          </w:p>
        </w:tc>
        <w:tc>
          <w:tcPr>
            <w:tcW w:w="6030"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Chart correction records are kept and applied to ensure charts in use reflect up to date information</w:t>
            </w:r>
          </w:p>
        </w:tc>
      </w:tr>
      <w:tr w:rsidTr="00DA6C2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e</w:t>
            </w:r>
          </w:p>
        </w:tc>
        <w:tc>
          <w:tcPr>
            <w:tcW w:w="6030"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Navigational charts, nautical publications and related documentation are handled and used in ways that ensure continued availability, utility and leng</w:t>
            </w:r>
            <w:r w:rsidRPr="00D92F9D">
              <w:t>th of life</w:t>
            </w:r>
          </w:p>
        </w:tc>
      </w:tr>
      <w:tr w:rsidTr="00DA6C2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f</w:t>
            </w:r>
          </w:p>
        </w:tc>
        <w:tc>
          <w:tcPr>
            <w:tcW w:w="6030" w:type="dxa"/>
            <w:tcBorders>
              <w:top w:val="nil"/>
              <w:left w:val="nil"/>
              <w:bottom w:val="nil"/>
              <w:right w:val="nil"/>
            </w:tcBorders>
            <w:tcMar>
              <w:top w:w="0" w:type="dxa"/>
              <w:left w:w="62" w:type="dxa"/>
              <w:bottom w:w="0" w:type="dxa"/>
              <w:right w:w="62" w:type="dxa"/>
            </w:tcMar>
          </w:tcPr>
          <w:p w:rsidR="00000000" w:rsidRPr="00D92F9D" w:rsidP="00D92F9D">
            <w:pPr>
              <w:pStyle w:val="BodyText"/>
            </w:pPr>
            <w:r w:rsidRPr="00D92F9D">
              <w:t>Navigational charts, nautical publications and related documentation are appropriately ordered/updated from relevant sources to ensure that available data needed for voyage planning and identification of navigational hazards is current</w:t>
            </w:r>
          </w:p>
        </w:tc>
      </w:tr>
    </w:tbl>
    <w:p w:rsidR="00000000" w:rsidRPr="00D92F9D" w:rsidP="00D92F9D">
      <w:pPr>
        <w:pStyle w:val="BodyText"/>
      </w:pPr>
    </w:p>
    <w:tbl>
      <w:tblPr>
        <w:tblW w:w="0" w:type="auto"/>
        <w:tblLayout w:type="fixed"/>
        <w:tblCellMar>
          <w:left w:w="62" w:type="dxa"/>
          <w:right w:w="62" w:type="dxa"/>
        </w:tblCellMar>
        <w:tblLook w:val="0000"/>
      </w:tblPr>
      <w:tblGrid>
        <w:gridCol w:w="340"/>
        <w:gridCol w:w="1604"/>
        <w:gridCol w:w="340"/>
        <w:gridCol w:w="20"/>
        <w:gridCol w:w="6004"/>
        <w:gridCol w:w="30"/>
      </w:tblGrid>
      <w:tr w:rsidTr="00DA6C2A">
        <w:tblPrEx>
          <w:tblW w:w="0" w:type="auto"/>
          <w:tblLayout w:type="fixed"/>
          <w:tblCellMar>
            <w:left w:w="62" w:type="dxa"/>
            <w:right w:w="62" w:type="dxa"/>
          </w:tblCellMar>
          <w:tblLook w:val="0000"/>
        </w:tblPrEx>
        <w:trPr>
          <w:gridAfter w:val="1"/>
          <w:wAfter w:w="30"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D92F9D" w:rsidP="00D92F9D">
            <w:pPr>
              <w:pStyle w:val="BodyText"/>
            </w:pPr>
          </w:p>
          <w:p w:rsidR="00000000" w:rsidRPr="00D92F9D" w:rsidP="00D92F9D">
            <w:pPr>
              <w:pStyle w:val="BodyText"/>
            </w:pPr>
            <w:r w:rsidRPr="00D92F9D">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D92F9D">
            <w:pPr>
              <w:pStyle w:val="BodyText"/>
              <w:rPr>
                <w:lang w:val="en-NZ"/>
              </w:rPr>
            </w:pPr>
            <w:r w:rsidRPr="00D92F9D">
              <w:rPr>
                <w:rStyle w:val="SpecialBold"/>
              </w:rPr>
              <w:t>PERFORMANCE CRITERIA</w:t>
            </w:r>
          </w:p>
        </w:tc>
      </w:tr>
      <w:tr w:rsidTr="00DA6C2A">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D92F9D">
            <w:pPr>
              <w:pStyle w:val="BodyText"/>
              <w:rPr>
                <w:lang w:val="en-NZ"/>
              </w:rPr>
            </w:pPr>
          </w:p>
        </w:tc>
      </w:tr>
      <w:tr w:rsidTr="00DA6C2A">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D92F9D" w:rsidP="00D92F9D">
            <w:pPr>
              <w:pStyle w:val="BodyText"/>
            </w:pPr>
            <w:r w:rsidRPr="00D92F9D">
              <w:rPr>
                <w:rStyle w:val="SpecialBold"/>
              </w:rPr>
              <w:t>2</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D92F9D">
            <w:pPr>
              <w:pStyle w:val="BodyText"/>
              <w:rPr>
                <w:lang w:val="en-NZ"/>
              </w:rPr>
            </w:pPr>
            <w:r w:rsidRPr="00D92F9D">
              <w:rPr>
                <w:rStyle w:val="SpecialBold"/>
              </w:rPr>
              <w:t>Plan route for voyage</w:t>
            </w:r>
          </w:p>
        </w:tc>
        <w:tc>
          <w:tcPr>
            <w:tcW w:w="340" w:type="dxa"/>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a</w:t>
            </w:r>
          </w:p>
        </w:tc>
        <w:tc>
          <w:tcPr>
            <w:tcW w:w="6054" w:type="dxa"/>
            <w:gridSpan w:val="3"/>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Navigational hazards relevant to a proposed voyage are identified using relevant navigational charts, nautical publications and related documentation</w:t>
            </w:r>
          </w:p>
        </w:tc>
      </w:tr>
      <w:tr w:rsidTr="00DA6C2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b</w:t>
            </w:r>
          </w:p>
        </w:tc>
        <w:tc>
          <w:tcPr>
            <w:tcW w:w="6054" w:type="dxa"/>
            <w:gridSpan w:val="3"/>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The route for a voyage is determ</w:t>
            </w:r>
            <w:r w:rsidRPr="00D92F9D">
              <w:t>ined as per operational instructions and navigational principles and taking due account of identified navigational hazards</w:t>
            </w:r>
          </w:p>
        </w:tc>
      </w:tr>
      <w:tr w:rsidTr="00DA6C2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c</w:t>
            </w:r>
          </w:p>
        </w:tc>
        <w:tc>
          <w:tcPr>
            <w:tcW w:w="6054" w:type="dxa"/>
            <w:gridSpan w:val="3"/>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Critical points along the proposed route of the voyage are identified and recorded</w:t>
            </w:r>
          </w:p>
        </w:tc>
      </w:tr>
      <w:tr w:rsidTr="00DA6C2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d</w:t>
            </w:r>
          </w:p>
        </w:tc>
        <w:tc>
          <w:tcPr>
            <w:tcW w:w="6054" w:type="dxa"/>
            <w:gridSpan w:val="3"/>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Actions to deal with the identified critical points are developed in accordance with navigational principles and practice and company procedures</w:t>
            </w:r>
          </w:p>
        </w:tc>
      </w:tr>
      <w:tr w:rsidTr="00DA6C2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D92F9D">
            <w:pPr>
              <w:pStyle w:val="BodyText"/>
              <w:rPr>
                <w:lang w:val="en-NZ"/>
              </w:rPr>
            </w:pPr>
            <w:r w:rsidRPr="00D92F9D">
              <w:t>e</w:t>
            </w:r>
          </w:p>
        </w:tc>
        <w:tc>
          <w:tcPr>
            <w:tcW w:w="6054" w:type="dxa"/>
            <w:gridSpan w:val="3"/>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Potential navigational contingencies and problems that may occur along the planned route are identified an</w:t>
            </w:r>
            <w:r w:rsidRPr="00D92F9D">
              <w:t>d strategies for dealing with them are developed and recorded</w:t>
            </w:r>
          </w:p>
        </w:tc>
      </w:tr>
      <w:tr w:rsidTr="00DA6C2A">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D92F9D">
            <w:pPr>
              <w:pStyle w:val="BodyText"/>
              <w:rPr>
                <w:lang w:val="en-NZ"/>
              </w:rPr>
            </w:pPr>
          </w:p>
        </w:tc>
      </w:tr>
      <w:tr w:rsidTr="00DA6C2A">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D92F9D" w:rsidP="00D92F9D">
            <w:pPr>
              <w:pStyle w:val="BodyText"/>
            </w:pPr>
            <w:r w:rsidRPr="00D92F9D">
              <w:rPr>
                <w:rStyle w:val="SpecialBold"/>
              </w:rPr>
              <w:t>3</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D92F9D">
            <w:pPr>
              <w:pStyle w:val="BodyText"/>
              <w:rPr>
                <w:lang w:val="en-NZ"/>
              </w:rPr>
            </w:pPr>
            <w:r w:rsidRPr="00D92F9D">
              <w:rPr>
                <w:rStyle w:val="SpecialBold"/>
              </w:rPr>
              <w:t>Fix vessel's position</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a</w:t>
            </w:r>
          </w:p>
        </w:tc>
        <w:tc>
          <w:tcPr>
            <w:tcW w:w="6034" w:type="dxa"/>
            <w:gridSpan w:val="2"/>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 xml:space="preserve">Primary position fixing method is selected in accordance with prevailing conditions </w:t>
            </w:r>
          </w:p>
        </w:tc>
      </w:tr>
      <w:tr w:rsidTr="00DA6C2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b</w:t>
            </w:r>
          </w:p>
        </w:tc>
        <w:tc>
          <w:tcPr>
            <w:tcW w:w="6034" w:type="dxa"/>
            <w:gridSpan w:val="2"/>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Position is fixed using the selected method</w:t>
            </w:r>
          </w:p>
        </w:tc>
      </w:tr>
      <w:tr w:rsidTr="00DA6C2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c</w:t>
            </w:r>
          </w:p>
        </w:tc>
        <w:tc>
          <w:tcPr>
            <w:tcW w:w="6034" w:type="dxa"/>
            <w:gridSpan w:val="2"/>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Appropriate allowance is made for random, instrument, system and data errors</w:t>
            </w:r>
          </w:p>
        </w:tc>
      </w:tr>
      <w:tr w:rsidTr="00DA6C2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d</w:t>
            </w:r>
          </w:p>
        </w:tc>
        <w:tc>
          <w:tcPr>
            <w:tcW w:w="6034" w:type="dxa"/>
            <w:gridSpan w:val="2"/>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Time interval between fixes is appropriate to the prevailing navigational conditions</w:t>
            </w:r>
          </w:p>
        </w:tc>
      </w:tr>
      <w:tr w:rsidTr="00DA6C2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e</w:t>
            </w:r>
          </w:p>
        </w:tc>
        <w:tc>
          <w:tcPr>
            <w:tcW w:w="6034" w:type="dxa"/>
            <w:gridSpan w:val="2"/>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Verification of primary position fixing is regularly carried out using appropriate m</w:t>
            </w:r>
            <w:r w:rsidRPr="00D92F9D">
              <w:t>ethods</w:t>
            </w:r>
          </w:p>
        </w:tc>
      </w:tr>
      <w:tr w:rsidTr="00DA6C2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f</w:t>
            </w:r>
          </w:p>
        </w:tc>
        <w:tc>
          <w:tcPr>
            <w:tcW w:w="6034" w:type="dxa"/>
            <w:gridSpan w:val="2"/>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Performance checks and tests of navigation position fixing instruments and systems are carried out in accordance with company procedures and manufacturer's instructions</w:t>
            </w:r>
          </w:p>
        </w:tc>
      </w:tr>
      <w:tr w:rsidTr="00DA6C2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g</w:t>
            </w:r>
          </w:p>
        </w:tc>
        <w:tc>
          <w:tcPr>
            <w:tcW w:w="6034" w:type="dxa"/>
            <w:gridSpan w:val="2"/>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Position of vessel is recorded as per procedures and regulatory requirements</w:t>
            </w:r>
          </w:p>
        </w:tc>
      </w:tr>
      <w:tr w:rsidTr="00DA6C2A">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D92F9D">
            <w:pPr>
              <w:pStyle w:val="BodyText"/>
              <w:rPr>
                <w:lang w:val="en-NZ"/>
              </w:rPr>
            </w:pPr>
          </w:p>
        </w:tc>
      </w:tr>
      <w:tr w:rsidTr="00DA6C2A">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D92F9D" w:rsidP="00D92F9D">
            <w:pPr>
              <w:pStyle w:val="BodyText"/>
            </w:pPr>
            <w:r w:rsidRPr="00D92F9D">
              <w:rPr>
                <w:rStyle w:val="SpecialBold"/>
              </w:rPr>
              <w:t>4</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D92F9D">
            <w:pPr>
              <w:pStyle w:val="BodyText"/>
              <w:rPr>
                <w:lang w:val="en-NZ"/>
              </w:rPr>
            </w:pPr>
            <w:r w:rsidRPr="00D92F9D">
              <w:rPr>
                <w:rStyle w:val="SpecialBold"/>
              </w:rPr>
              <w:t>Document and report planned route</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a</w:t>
            </w:r>
          </w:p>
        </w:tc>
        <w:tc>
          <w:tcPr>
            <w:tcW w:w="6034" w:type="dxa"/>
            <w:gridSpan w:val="2"/>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Planned route for a vessel's voyage is recorded and reported in accordance with company procedures and regulatory requirements</w:t>
            </w:r>
          </w:p>
        </w:tc>
      </w:tr>
      <w:tr w:rsidTr="00DA6C2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b</w:t>
            </w:r>
          </w:p>
        </w:tc>
        <w:tc>
          <w:tcPr>
            <w:tcW w:w="6034" w:type="dxa"/>
            <w:gridSpan w:val="2"/>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Plans and strategies for dealing with critical situations and contingencies along the route of a voyage are recorded</w:t>
            </w:r>
          </w:p>
        </w:tc>
      </w:tr>
      <w:tr w:rsidTr="00DA6C2A">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D92F9D">
            <w:pPr>
              <w:pStyle w:val="BodyText"/>
              <w:rPr>
                <w:lang w:val="en-NZ"/>
              </w:rPr>
            </w:pPr>
          </w:p>
        </w:tc>
      </w:tr>
      <w:tr w:rsidTr="00DA6C2A">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D92F9D" w:rsidP="00D92F9D">
            <w:pPr>
              <w:pStyle w:val="BodyText"/>
            </w:pPr>
            <w:r w:rsidRPr="00D92F9D">
              <w:rPr>
                <w:rStyle w:val="SpecialBold"/>
              </w:rPr>
              <w:t>5</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D92F9D">
            <w:pPr>
              <w:pStyle w:val="BodyText"/>
              <w:rPr>
                <w:lang w:val="en-NZ"/>
              </w:rPr>
            </w:pPr>
            <w:r w:rsidRPr="00D92F9D">
              <w:rPr>
                <w:rStyle w:val="SpecialBold"/>
              </w:rPr>
              <w:t>Maintain and adjust vessel's course</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a</w:t>
            </w:r>
          </w:p>
        </w:tc>
        <w:tc>
          <w:tcPr>
            <w:tcW w:w="6034" w:type="dxa"/>
            <w:gridSpan w:val="2"/>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Required alterations to the vessel's course or speed are made taking into account prevailing weather and sea conditions, the proximity and course of other vessels, navigational hazards and overall passage plan requirements</w:t>
            </w:r>
          </w:p>
        </w:tc>
      </w:tr>
      <w:tr w:rsidTr="00DA6C2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b</w:t>
            </w:r>
          </w:p>
        </w:tc>
        <w:tc>
          <w:tcPr>
            <w:tcW w:w="6034" w:type="dxa"/>
            <w:gridSpan w:val="2"/>
            <w:tcBorders>
              <w:top w:val="nil"/>
              <w:left w:val="nil"/>
              <w:bottom w:val="nil"/>
              <w:right w:val="nil"/>
            </w:tcBorders>
            <w:tcMar>
              <w:top w:w="0" w:type="dxa"/>
              <w:left w:w="62" w:type="dxa"/>
              <w:bottom w:w="0" w:type="dxa"/>
              <w:right w:w="62" w:type="dxa"/>
            </w:tcMar>
          </w:tcPr>
          <w:p w:rsidR="00000000" w:rsidRPr="00D92F9D" w:rsidP="00D92F9D">
            <w:pPr>
              <w:pStyle w:val="BodyText"/>
            </w:pPr>
            <w:r w:rsidRPr="00D92F9D">
              <w:t>Alterations to the vessel's course and speed comply with Australian and international regulations for the avoidance of collision at sea</w:t>
            </w:r>
          </w:p>
        </w:tc>
      </w:tr>
    </w:tbl>
    <w:p w:rsidR="00000000" w:rsidRPr="00D92F9D" w:rsidP="00D92F9D">
      <w:pPr>
        <w:pStyle w:val="BodyText"/>
      </w:pPr>
    </w:p>
    <w:tbl>
      <w:tblPr>
        <w:tblW w:w="0" w:type="auto"/>
        <w:tblLayout w:type="fixed"/>
        <w:tblCellMar>
          <w:left w:w="62" w:type="dxa"/>
          <w:right w:w="62" w:type="dxa"/>
        </w:tblCellMar>
        <w:tblLook w:val="0000"/>
      </w:tblPr>
      <w:tblGrid>
        <w:gridCol w:w="340"/>
        <w:gridCol w:w="1604"/>
        <w:gridCol w:w="360"/>
        <w:gridCol w:w="6004"/>
        <w:gridCol w:w="30"/>
      </w:tblGrid>
      <w:tr w:rsidTr="00DA6C2A">
        <w:tblPrEx>
          <w:tblW w:w="0" w:type="auto"/>
          <w:tblLayout w:type="fixed"/>
          <w:tblCellMar>
            <w:left w:w="62" w:type="dxa"/>
            <w:right w:w="62" w:type="dxa"/>
          </w:tblCellMar>
          <w:tblLook w:val="0000"/>
        </w:tblPrEx>
        <w:trPr>
          <w:gridAfter w:val="1"/>
          <w:wAfter w:w="30"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D92F9D" w:rsidP="00D92F9D">
            <w:pPr>
              <w:pStyle w:val="BodyText"/>
            </w:pPr>
          </w:p>
          <w:p w:rsidR="00000000" w:rsidRPr="00D92F9D" w:rsidP="00D92F9D">
            <w:pPr>
              <w:pStyle w:val="BodyText"/>
            </w:pPr>
            <w:r w:rsidRPr="00D92F9D">
              <w:rPr>
                <w:rStyle w:val="SpecialBold"/>
              </w:rPr>
              <w:t>ELEMENT</w:t>
            </w:r>
          </w:p>
        </w:tc>
        <w:tc>
          <w:tcPr>
            <w:tcW w:w="6364"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D92F9D">
            <w:pPr>
              <w:pStyle w:val="BodyText"/>
              <w:rPr>
                <w:lang w:val="en-NZ"/>
              </w:rPr>
            </w:pPr>
            <w:r w:rsidRPr="00D92F9D">
              <w:rPr>
                <w:rStyle w:val="SpecialBold"/>
              </w:rPr>
              <w:t>PERFORMANCE CRITERIA</w:t>
            </w:r>
          </w:p>
        </w:tc>
      </w:tr>
      <w:tr w:rsidTr="00DA6C2A">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D92F9D" w:rsidP="00D92F9D">
            <w:pPr>
              <w:pStyle w:val="BodyText"/>
            </w:pPr>
          </w:p>
          <w:p w:rsidR="00000000" w:rsidP="00D92F9D">
            <w:pPr>
              <w:pStyle w:val="BodyText"/>
              <w:rPr>
                <w:lang w:val="en-NZ"/>
              </w:rPr>
            </w:pPr>
            <w:r w:rsidRPr="00D92F9D">
              <w:rPr>
                <w:rStyle w:val="SpecialBold"/>
              </w:rPr>
              <w:t>5</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RPr="00D92F9D" w:rsidP="00D92F9D">
            <w:pPr>
              <w:pStyle w:val="BodyText"/>
            </w:pPr>
          </w:p>
          <w:p w:rsidR="00000000" w:rsidRPr="00D92F9D" w:rsidP="00D92F9D">
            <w:pPr>
              <w:pStyle w:val="BodyText"/>
            </w:pPr>
            <w:r w:rsidRPr="00D92F9D">
              <w:rPr>
                <w:rStyle w:val="SpecialBold"/>
              </w:rPr>
              <w:t>Maintain and adjust vessel's course</w:t>
            </w:r>
          </w:p>
          <w:p w:rsidR="00000000" w:rsidP="00D92F9D">
            <w:pPr>
              <w:pStyle w:val="BodyText"/>
              <w:rPr>
                <w:lang w:val="en-NZ"/>
              </w:rPr>
            </w:pPr>
            <w:r w:rsidRPr="00D92F9D">
              <w:t>(</w:t>
            </w:r>
            <w:r w:rsidRPr="00D92F9D">
              <w:rPr>
                <w:rStyle w:val="SpecialBold"/>
              </w:rPr>
              <w:t>continued</w:t>
            </w:r>
            <w:r w:rsidRPr="00D92F9D">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rsidRPr="00D92F9D" w:rsidP="00D92F9D">
            <w:pPr>
              <w:pStyle w:val="BodyText"/>
            </w:pPr>
          </w:p>
          <w:p w:rsidR="00000000" w:rsidP="00D92F9D">
            <w:pPr>
              <w:pStyle w:val="BodyText"/>
              <w:rPr>
                <w:lang w:val="en-NZ"/>
              </w:rPr>
            </w:pPr>
            <w:r w:rsidRPr="00D92F9D">
              <w:t>c</w:t>
            </w:r>
          </w:p>
        </w:tc>
        <w:tc>
          <w:tcPr>
            <w:tcW w:w="6034" w:type="dxa"/>
            <w:gridSpan w:val="2"/>
            <w:tcBorders>
              <w:top w:val="nil"/>
              <w:left w:val="nil"/>
              <w:bottom w:val="nil"/>
              <w:right w:val="nil"/>
            </w:tcBorders>
            <w:tcMar>
              <w:top w:w="0" w:type="dxa"/>
              <w:left w:w="62" w:type="dxa"/>
              <w:bottom w:w="0" w:type="dxa"/>
              <w:right w:w="62" w:type="dxa"/>
            </w:tcMar>
          </w:tcPr>
          <w:p w:rsidR="00000000" w:rsidRPr="00D92F9D" w:rsidP="00D92F9D">
            <w:pPr>
              <w:pStyle w:val="BodyText"/>
            </w:pPr>
          </w:p>
          <w:p w:rsidR="00000000" w:rsidP="00D92F9D">
            <w:pPr>
              <w:pStyle w:val="BodyText"/>
              <w:rPr>
                <w:lang w:val="en-NZ"/>
              </w:rPr>
            </w:pPr>
            <w:r w:rsidRPr="00D92F9D">
              <w:t>Alterations to the vessel's course and speed are appropriate to prevailing circumstances and conditions</w:t>
            </w:r>
          </w:p>
        </w:tc>
      </w:tr>
      <w:tr w:rsidTr="00DA6C2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d</w:t>
            </w:r>
          </w:p>
        </w:tc>
        <w:tc>
          <w:tcPr>
            <w:tcW w:w="6034" w:type="dxa"/>
            <w:gridSpan w:val="2"/>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 xml:space="preserve">Alterations to the vessel's course and speed are effective and do not put at risk the safety of the vessel or its passengers and crew or that </w:t>
            </w:r>
            <w:r w:rsidRPr="00D92F9D">
              <w:t>of other vessels, passengers or crew</w:t>
            </w:r>
          </w:p>
        </w:tc>
      </w:tr>
      <w:tr w:rsidTr="00DA6C2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e</w:t>
            </w:r>
          </w:p>
        </w:tc>
        <w:tc>
          <w:tcPr>
            <w:tcW w:w="6034" w:type="dxa"/>
            <w:gridSpan w:val="2"/>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Signals relevant for navigational manoeuvres are made at the appropriate time in accordance with Australian and international regulations</w:t>
            </w:r>
          </w:p>
        </w:tc>
      </w:tr>
      <w:tr w:rsidTr="00DA6C2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f</w:t>
            </w:r>
          </w:p>
        </w:tc>
        <w:tc>
          <w:tcPr>
            <w:tcW w:w="6034" w:type="dxa"/>
            <w:gridSpan w:val="2"/>
            <w:tcBorders>
              <w:top w:val="nil"/>
              <w:left w:val="nil"/>
              <w:bottom w:val="nil"/>
              <w:right w:val="nil"/>
            </w:tcBorders>
            <w:tcMar>
              <w:top w:w="0" w:type="dxa"/>
              <w:left w:w="62" w:type="dxa"/>
              <w:bottom w:w="0" w:type="dxa"/>
              <w:right w:w="62" w:type="dxa"/>
            </w:tcMar>
          </w:tcPr>
          <w:p w:rsidR="00000000" w:rsidRPr="00D92F9D" w:rsidP="00D92F9D">
            <w:pPr>
              <w:pStyle w:val="BodyText"/>
            </w:pPr>
            <w:r w:rsidRPr="00D92F9D">
              <w:t>Operational limits of vessel propulsion, steering, power systems and overall trim and stability are not exceeded during navigational manoeuvres</w:t>
            </w:r>
          </w:p>
        </w:tc>
      </w:tr>
    </w:tbl>
    <w:p w:rsidR="00000000" w:rsidRPr="00D92F9D" w:rsidP="00D92F9D">
      <w:pPr>
        <w:pStyle w:val="BodyText"/>
      </w:pPr>
    </w:p>
    <w:p w:rsidR="00000000" w:rsidRPr="00D92F9D" w:rsidP="00D92F9D">
      <w:pPr>
        <w:pStyle w:val="AllowPageBreak"/>
      </w:pPr>
    </w:p>
    <w:p w:rsidR="00000000" w:rsidRPr="00D92F9D" w:rsidP="00D92F9D">
      <w:pPr>
        <w:pStyle w:val="Heading1"/>
      </w:pPr>
      <w:bookmarkStart w:id="9" w:name="O_151487"/>
      <w:bookmarkEnd w:id="9"/>
      <w:r w:rsidRPr="00D92F9D">
        <w:t>Required Skills and Knowledge</w:t>
      </w:r>
    </w:p>
    <w:tbl>
      <w:tblPr>
        <w:tblW w:w="0" w:type="auto"/>
        <w:tblLayout w:type="fixed"/>
        <w:tblCellMar>
          <w:left w:w="62" w:type="dxa"/>
          <w:right w:w="62" w:type="dxa"/>
        </w:tblCellMar>
        <w:tblLook w:val="0000"/>
      </w:tblPr>
      <w:tblGrid>
        <w:gridCol w:w="423"/>
        <w:gridCol w:w="7906"/>
        <w:gridCol w:w="9"/>
      </w:tblGrid>
      <w:tr w:rsidTr="00DA6C2A">
        <w:tblPrEx>
          <w:tblW w:w="0" w:type="auto"/>
          <w:tblLayout w:type="fixed"/>
          <w:tblCellMar>
            <w:left w:w="62" w:type="dxa"/>
            <w:right w:w="62" w:type="dxa"/>
          </w:tblCellMar>
          <w:tblLook w:val="0000"/>
        </w:tblPrEx>
        <w:trPr>
          <w:tblHeader/>
        </w:trPr>
        <w:tc>
          <w:tcPr>
            <w:tcW w:w="8338" w:type="dxa"/>
            <w:gridSpan w:val="3"/>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rPr>
                <w:rStyle w:val="SpecialBold"/>
              </w:rPr>
              <w:t>REQUIRED KNOWLEDGE</w:t>
            </w:r>
          </w:p>
        </w:tc>
      </w:tr>
      <w:tr w:rsidTr="00DA6C2A">
        <w:tblPrEx>
          <w:tblW w:w="0" w:type="auto"/>
          <w:tblLayout w:type="fixed"/>
          <w:tblCellMar>
            <w:left w:w="62" w:type="dxa"/>
            <w:right w:w="62" w:type="dxa"/>
          </w:tblCellMar>
          <w:tblLook w:val="0000"/>
        </w:tblPrEx>
        <w:tc>
          <w:tcPr>
            <w:tcW w:w="8338" w:type="dxa"/>
            <w:gridSpan w:val="3"/>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rPr>
                <w:rStyle w:val="Emphasis"/>
              </w:rPr>
              <w:t>This describes the knowledge required for this unit</w:t>
            </w:r>
            <w:r w:rsidRPr="00D92F9D">
              <w:t>.</w:t>
            </w:r>
          </w:p>
        </w:tc>
      </w:tr>
      <w:tr w:rsidTr="00DA6C2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1</w:t>
            </w:r>
          </w:p>
        </w:tc>
        <w:tc>
          <w:tcPr>
            <w:tcW w:w="7915" w:type="dxa"/>
            <w:gridSpan w:val="2"/>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Relevant sections of IMO STCW 95 Convention and Code and AMSA Marine Orders applicable for vessels of 500 gross tonnage and over</w:t>
            </w:r>
          </w:p>
        </w:tc>
      </w:tr>
      <w:tr w:rsidTr="00DA6C2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2</w:t>
            </w:r>
          </w:p>
        </w:tc>
        <w:tc>
          <w:tcPr>
            <w:tcW w:w="7915" w:type="dxa"/>
            <w:gridSpan w:val="2"/>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Common methods of time measurement</w:t>
            </w:r>
          </w:p>
        </w:tc>
      </w:tr>
      <w:tr w:rsidTr="00DA6C2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3</w:t>
            </w:r>
          </w:p>
        </w:tc>
        <w:tc>
          <w:tcPr>
            <w:tcW w:w="7915" w:type="dxa"/>
            <w:gridSpan w:val="2"/>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Methods used to approximate to the shape of the earth</w:t>
            </w:r>
          </w:p>
        </w:tc>
      </w:tr>
      <w:tr w:rsidTr="00DA6C2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4</w:t>
            </w:r>
          </w:p>
        </w:tc>
        <w:tc>
          <w:tcPr>
            <w:tcW w:w="7915" w:type="dxa"/>
            <w:gridSpan w:val="2"/>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Procedures for fixing a celestial object's position with reference to a horizon-based system of coordinates</w:t>
            </w:r>
          </w:p>
        </w:tc>
      </w:tr>
      <w:tr w:rsidTr="00DA6C2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5</w:t>
            </w:r>
          </w:p>
        </w:tc>
        <w:tc>
          <w:tcPr>
            <w:tcW w:w="7915" w:type="dxa"/>
            <w:gridSpan w:val="2"/>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Procedures for converting on set of coordinates to another</w:t>
            </w:r>
          </w:p>
        </w:tc>
      </w:tr>
      <w:tr w:rsidTr="00DA6C2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6</w:t>
            </w:r>
          </w:p>
        </w:tc>
        <w:tc>
          <w:tcPr>
            <w:tcW w:w="7915" w:type="dxa"/>
            <w:gridSpan w:val="2"/>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Common astronomical phenom</w:t>
            </w:r>
            <w:r w:rsidRPr="00D92F9D">
              <w:t>ena as described in the Nautical Almanac, including: the phases of the moon, twilight, solar eclipses, lunar eclipses, visible sunrise/set, tabulated times for sunrise/set, theoretical sunrise/set</w:t>
            </w:r>
          </w:p>
        </w:tc>
      </w:tr>
      <w:tr w:rsidTr="00DA6C2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7</w:t>
            </w:r>
          </w:p>
        </w:tc>
        <w:tc>
          <w:tcPr>
            <w:tcW w:w="7915" w:type="dxa"/>
            <w:gridSpan w:val="2"/>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Procedures for the calculation of the height of tide for</w:t>
            </w:r>
            <w:r w:rsidRPr="00D92F9D">
              <w:t xml:space="preserve"> a given time at any place listed using tide tables</w:t>
            </w:r>
          </w:p>
        </w:tc>
      </w:tr>
      <w:tr w:rsidTr="00DA6C2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8</w:t>
            </w:r>
          </w:p>
        </w:tc>
        <w:tc>
          <w:tcPr>
            <w:tcW w:w="7915" w:type="dxa"/>
            <w:gridSpan w:val="2"/>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Procedures for the use of Nautical Almanac data and information when planning and conducting a voyage, including calculation of errors due to common navigational approximations</w:t>
            </w:r>
          </w:p>
        </w:tc>
      </w:tr>
      <w:tr w:rsidTr="00DA6C2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9</w:t>
            </w:r>
          </w:p>
        </w:tc>
        <w:tc>
          <w:tcPr>
            <w:tcW w:w="7915" w:type="dxa"/>
            <w:gridSpan w:val="2"/>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Equilibrium theory of</w:t>
            </w:r>
            <w:r w:rsidRPr="00D92F9D">
              <w:t xml:space="preserve"> tides for the major tide raising constituents</w:t>
            </w:r>
          </w:p>
        </w:tc>
      </w:tr>
      <w:tr w:rsidTr="00DA6C2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10</w:t>
            </w:r>
          </w:p>
        </w:tc>
        <w:tc>
          <w:tcPr>
            <w:tcW w:w="7906"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Typical errors in common position fixing systems and their effect on observed positions</w:t>
            </w:r>
          </w:p>
        </w:tc>
      </w:tr>
      <w:tr w:rsidTr="00DA6C2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11</w:t>
            </w:r>
          </w:p>
        </w:tc>
        <w:tc>
          <w:tcPr>
            <w:tcW w:w="7906"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Requirements for effective passage planning, including contingency planning</w:t>
            </w:r>
          </w:p>
        </w:tc>
      </w:tr>
      <w:tr w:rsidTr="00DA6C2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12</w:t>
            </w:r>
          </w:p>
        </w:tc>
        <w:tc>
          <w:tcPr>
            <w:tcW w:w="7906"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Information required for a typical effective passage plan</w:t>
            </w:r>
          </w:p>
        </w:tc>
      </w:tr>
      <w:tr w:rsidTr="00DA6C2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13</w:t>
            </w:r>
          </w:p>
        </w:tc>
        <w:tc>
          <w:tcPr>
            <w:tcW w:w="7906"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Ordering procedures for navigational charts, nautical publications and related documentation</w:t>
            </w:r>
          </w:p>
        </w:tc>
      </w:tr>
      <w:tr w:rsidTr="00DA6C2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14</w:t>
            </w:r>
          </w:p>
        </w:tc>
        <w:tc>
          <w:tcPr>
            <w:tcW w:w="7906"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Procedures for filing and maintaining navigational charts, nautical publications and related docu</w:t>
            </w:r>
            <w:r w:rsidRPr="00D92F9D">
              <w:t>mentation in serviceable condition</w:t>
            </w:r>
          </w:p>
        </w:tc>
      </w:tr>
      <w:tr w:rsidTr="00DA6C2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15</w:t>
            </w:r>
          </w:p>
        </w:tc>
        <w:tc>
          <w:tcPr>
            <w:tcW w:w="7906"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Vessel reporting systems and their use in planning and conducting a voyage</w:t>
            </w:r>
          </w:p>
        </w:tc>
      </w:tr>
      <w:tr w:rsidTr="00DA6C2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16</w:t>
            </w:r>
          </w:p>
        </w:tc>
        <w:tc>
          <w:tcPr>
            <w:tcW w:w="7906"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Special techniques required for navigation in high latitudes</w:t>
            </w:r>
          </w:p>
        </w:tc>
      </w:tr>
      <w:tr w:rsidTr="00DA6C2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17</w:t>
            </w:r>
          </w:p>
        </w:tc>
        <w:tc>
          <w:tcPr>
            <w:tcW w:w="7906" w:type="dxa"/>
            <w:tcBorders>
              <w:top w:val="nil"/>
              <w:left w:val="nil"/>
              <w:bottom w:val="nil"/>
              <w:right w:val="nil"/>
            </w:tcBorders>
            <w:tcMar>
              <w:top w:w="0" w:type="dxa"/>
              <w:left w:w="62" w:type="dxa"/>
              <w:bottom w:w="0" w:type="dxa"/>
              <w:right w:w="62" w:type="dxa"/>
            </w:tcMar>
          </w:tcPr>
          <w:p w:rsidR="00000000" w:rsidRPr="00D92F9D" w:rsidP="00D92F9D">
            <w:pPr>
              <w:pStyle w:val="BodyText"/>
            </w:pPr>
            <w:r w:rsidRPr="00D92F9D">
              <w:t>Maritime communication techniques, including issuing of helm and engine o</w:t>
            </w:r>
            <w:r w:rsidRPr="00D92F9D">
              <w:t>rders and tug communications</w:t>
            </w:r>
          </w:p>
        </w:tc>
      </w:tr>
    </w:tbl>
    <w:p w:rsidR="00000000" w:rsidRPr="00D92F9D" w:rsidP="00D92F9D">
      <w:pPr>
        <w:pStyle w:val="BodyText"/>
      </w:pPr>
    </w:p>
    <w:tbl>
      <w:tblPr>
        <w:tblW w:w="0" w:type="auto"/>
        <w:tblLayout w:type="fixed"/>
        <w:tblCellMar>
          <w:left w:w="62" w:type="dxa"/>
          <w:right w:w="62" w:type="dxa"/>
        </w:tblCellMar>
        <w:tblLook w:val="0000"/>
      </w:tblPr>
      <w:tblGrid>
        <w:gridCol w:w="423"/>
        <w:gridCol w:w="7906"/>
      </w:tblGrid>
      <w:tr w:rsidTr="00DA6C2A">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RPr="00D92F9D" w:rsidP="00D92F9D">
            <w:pPr>
              <w:pStyle w:val="BodyText"/>
            </w:pPr>
          </w:p>
          <w:p w:rsidR="00000000" w:rsidP="00D92F9D">
            <w:pPr>
              <w:pStyle w:val="BodyText"/>
              <w:rPr>
                <w:lang w:val="en-NZ"/>
              </w:rPr>
            </w:pPr>
            <w:r w:rsidRPr="00D92F9D">
              <w:rPr>
                <w:rStyle w:val="SpecialBold"/>
              </w:rPr>
              <w:t>REQUIRED SKILLS</w:t>
            </w:r>
          </w:p>
        </w:tc>
      </w:tr>
      <w:tr w:rsidTr="00DA6C2A">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rPr>
                <w:rStyle w:val="Emphasis"/>
              </w:rPr>
              <w:t>This describes the basic skills required for this unit</w:t>
            </w:r>
            <w:r w:rsidRPr="00D92F9D">
              <w:t>.</w:t>
            </w:r>
          </w:p>
        </w:tc>
      </w:tr>
      <w:tr w:rsidTr="00DA6C2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1</w:t>
            </w:r>
          </w:p>
        </w:tc>
        <w:tc>
          <w:tcPr>
            <w:tcW w:w="7906"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Use verbal communication skills required when planning and navigating a passage within limits of responsibility of a Master (Unlimited)</w:t>
            </w:r>
          </w:p>
        </w:tc>
      </w:tr>
      <w:tr w:rsidTr="00DA6C2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2</w:t>
            </w:r>
          </w:p>
        </w:tc>
        <w:tc>
          <w:tcPr>
            <w:tcW w:w="7906"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Read and interpret charts and other published information relevant to planning and navigating a passage within limits of responsibility of a Master (Unlimited)</w:t>
            </w:r>
          </w:p>
        </w:tc>
      </w:tr>
      <w:tr w:rsidTr="00DA6C2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3</w:t>
            </w:r>
          </w:p>
        </w:tc>
        <w:tc>
          <w:tcPr>
            <w:tcW w:w="7906"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Read and interpret instrument and equipment readings and indications relevant to planning and</w:t>
            </w:r>
            <w:r w:rsidRPr="00D92F9D">
              <w:t xml:space="preserve"> navigating a passage within limits of responsibility of a Master (Unlimited)</w:t>
            </w:r>
          </w:p>
        </w:tc>
      </w:tr>
      <w:tr w:rsidTr="00DA6C2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4</w:t>
            </w:r>
          </w:p>
        </w:tc>
        <w:tc>
          <w:tcPr>
            <w:tcW w:w="7906"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Complete any required operational records</w:t>
            </w:r>
          </w:p>
        </w:tc>
      </w:tr>
      <w:tr w:rsidTr="00DA6C2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5</w:t>
            </w:r>
          </w:p>
        </w:tc>
        <w:tc>
          <w:tcPr>
            <w:tcW w:w="7906"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Work safely and collaboratively with others when planning and navigating a passage</w:t>
            </w:r>
          </w:p>
        </w:tc>
      </w:tr>
      <w:tr w:rsidTr="00DA6C2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6</w:t>
            </w:r>
          </w:p>
        </w:tc>
        <w:tc>
          <w:tcPr>
            <w:tcW w:w="7906"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Select and use relevant equipment required w</w:t>
            </w:r>
            <w:r w:rsidRPr="00D92F9D">
              <w:t>hen planning and navigating a passage as per standard operating procedures</w:t>
            </w:r>
          </w:p>
        </w:tc>
      </w:tr>
      <w:tr w:rsidTr="00DA6C2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7</w:t>
            </w:r>
          </w:p>
        </w:tc>
        <w:tc>
          <w:tcPr>
            <w:tcW w:w="7906"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Recognise faulty equipment and readings and take appropriate action as per standard operating procedures</w:t>
            </w:r>
          </w:p>
        </w:tc>
      </w:tr>
      <w:tr w:rsidTr="00DA6C2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8</w:t>
            </w:r>
          </w:p>
        </w:tc>
        <w:tc>
          <w:tcPr>
            <w:tcW w:w="7906"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Recognise problems that may be experienced when planning and navigatin</w:t>
            </w:r>
            <w:r w:rsidRPr="00D92F9D">
              <w:t>g a passage and take appropriate action</w:t>
            </w:r>
          </w:p>
        </w:tc>
      </w:tr>
      <w:tr w:rsidTr="00DA6C2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9</w:t>
            </w:r>
          </w:p>
        </w:tc>
        <w:tc>
          <w:tcPr>
            <w:tcW w:w="7906"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Adapt to differences in vessels, equipment and related standard operating procedures</w:t>
            </w:r>
          </w:p>
        </w:tc>
      </w:tr>
      <w:tr w:rsidTr="00DA6C2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10</w:t>
            </w:r>
          </w:p>
        </w:tc>
        <w:tc>
          <w:tcPr>
            <w:tcW w:w="7906" w:type="dxa"/>
            <w:tcBorders>
              <w:top w:val="nil"/>
              <w:left w:val="nil"/>
              <w:bottom w:val="nil"/>
              <w:right w:val="nil"/>
            </w:tcBorders>
            <w:tcMar>
              <w:top w:w="0" w:type="dxa"/>
              <w:left w:w="62" w:type="dxa"/>
              <w:bottom w:w="0" w:type="dxa"/>
              <w:right w:w="62" w:type="dxa"/>
            </w:tcMar>
          </w:tcPr>
          <w:p w:rsidR="00000000" w:rsidRPr="00D92F9D" w:rsidP="00D92F9D">
            <w:pPr>
              <w:pStyle w:val="BodyText"/>
            </w:pPr>
            <w:r w:rsidRPr="00D92F9D">
              <w:t>Plan and navigate a passage for a vessel within limits of responsibility of a Master (Unlimited)</w:t>
            </w:r>
          </w:p>
        </w:tc>
      </w:tr>
    </w:tbl>
    <w:p w:rsidR="00DA6C2A" w:rsidP="00D92F9D">
      <w:pPr>
        <w:pStyle w:val="BodyText"/>
      </w:pPr>
      <w:r w:rsidRPr="00D92F9D">
        <w:t xml:space="preserve"> </w:t>
      </w:r>
    </w:p>
    <w:p w:rsidR="00DA6C2A" w:rsidP="00D92F9D">
      <w:pPr>
        <w:pStyle w:val="BodyText"/>
      </w:pPr>
    </w:p>
    <w:p w:rsidR="00000000" w:rsidRPr="00D92F9D" w:rsidP="00D92F9D">
      <w:pPr>
        <w:pStyle w:val="Heading1"/>
      </w:pPr>
      <w:bookmarkStart w:id="10" w:name="O_151488"/>
      <w:bookmarkEnd w:id="10"/>
      <w:r w:rsidRPr="00D92F9D">
        <w:t>Evidence Guide</w:t>
      </w:r>
    </w:p>
    <w:p w:rsidR="00000000" w:rsidRPr="00D92F9D" w:rsidP="00D92F9D">
      <w:pPr>
        <w:pStyle w:val="BodyText"/>
      </w:pPr>
      <w:r w:rsidRPr="00D92F9D">
        <w:t>Not applicable.</w:t>
      </w:r>
    </w:p>
    <w:p w:rsidR="00000000" w:rsidRPr="00D92F9D" w:rsidP="00D92F9D">
      <w:pPr>
        <w:pStyle w:val="AllowPageBreak"/>
      </w:pPr>
    </w:p>
    <w:p w:rsidR="00000000" w:rsidRPr="00D92F9D" w:rsidP="00D92F9D">
      <w:pPr>
        <w:pStyle w:val="Heading1"/>
      </w:pPr>
      <w:bookmarkStart w:id="11" w:name="O_151489"/>
      <w:bookmarkEnd w:id="11"/>
      <w:r w:rsidRPr="00D92F9D">
        <w:t>Range Statement</w:t>
      </w:r>
    </w:p>
    <w:tbl>
      <w:tblPr>
        <w:tblW w:w="0" w:type="auto"/>
        <w:tblLayout w:type="fixed"/>
        <w:tblCellMar>
          <w:left w:w="62" w:type="dxa"/>
          <w:right w:w="62" w:type="dxa"/>
        </w:tblCellMar>
        <w:tblLook w:val="0000"/>
      </w:tblPr>
      <w:tblGrid>
        <w:gridCol w:w="340"/>
        <w:gridCol w:w="6"/>
        <w:gridCol w:w="1744"/>
        <w:gridCol w:w="357"/>
        <w:gridCol w:w="11"/>
        <w:gridCol w:w="3603"/>
        <w:gridCol w:w="2414"/>
        <w:gridCol w:w="18"/>
        <w:gridCol w:w="28"/>
      </w:tblGrid>
      <w:tr w:rsidTr="00DA6C2A">
        <w:tblPrEx>
          <w:tblW w:w="0" w:type="auto"/>
          <w:tblLayout w:type="fixed"/>
          <w:tblCellMar>
            <w:left w:w="62" w:type="dxa"/>
            <w:right w:w="62" w:type="dxa"/>
          </w:tblCellMar>
          <w:tblLook w:val="0000"/>
        </w:tblPrEx>
        <w:trPr>
          <w:gridAfter w:val="3"/>
          <w:wAfter w:w="2460" w:type="dxa"/>
          <w:tblHeader/>
        </w:trPr>
        <w:tc>
          <w:tcPr>
            <w:tcW w:w="6061"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D92F9D" w:rsidP="00D92F9D">
            <w:pPr>
              <w:pStyle w:val="BodyText"/>
            </w:pPr>
            <w:r w:rsidRPr="00D92F9D">
              <w:rPr>
                <w:rStyle w:val="SpecialBold"/>
              </w:rPr>
              <w:t xml:space="preserve">Range Statement </w:t>
            </w:r>
          </w:p>
          <w:p w:rsidR="00000000" w:rsidP="00D92F9D">
            <w:pPr>
              <w:pStyle w:val="BodyText"/>
              <w:rPr>
                <w:lang w:val="en-NZ"/>
              </w:rPr>
            </w:pPr>
            <w:r w:rsidRPr="00D92F9D">
              <w:rPr>
                <w:rStyle w:val="SpecialBold"/>
              </w:rPr>
              <w:t>TDMMH106B PLAN A VOYAGE AND CONDUCT NAVIGATION</w:t>
            </w:r>
          </w:p>
        </w:tc>
      </w:tr>
      <w:tr w:rsidTr="00DA6C2A">
        <w:tblPrEx>
          <w:tblW w:w="0" w:type="auto"/>
          <w:tblLayout w:type="fixed"/>
          <w:tblCellMar>
            <w:left w:w="62" w:type="dxa"/>
            <w:right w:w="62" w:type="dxa"/>
          </w:tblCellMar>
          <w:tblLook w:val="0000"/>
        </w:tblPrEx>
        <w:tc>
          <w:tcPr>
            <w:tcW w:w="8521" w:type="dxa"/>
            <w:gridSpan w:val="9"/>
            <w:tcBorders>
              <w:top w:val="single" w:sz="6" w:space="0" w:color="auto"/>
              <w:left w:val="nil"/>
              <w:bottom w:val="nil"/>
              <w:right w:val="nil"/>
            </w:tcBorders>
            <w:tcMar>
              <w:top w:w="0" w:type="dxa"/>
              <w:left w:w="62" w:type="dxa"/>
              <w:bottom w:w="0" w:type="dxa"/>
              <w:right w:w="62" w:type="dxa"/>
            </w:tcMar>
          </w:tcPr>
          <w:p w:rsidR="00000000" w:rsidRPr="00D92F9D" w:rsidP="00D92F9D">
            <w:pPr>
              <w:pStyle w:val="BodyText"/>
            </w:pPr>
          </w:p>
          <w:p w:rsidR="00000000" w:rsidP="00D92F9D">
            <w:pPr>
              <w:pStyle w:val="BodyText"/>
              <w:rPr>
                <w:lang w:val="en-NZ"/>
              </w:rPr>
            </w:pPr>
            <w:r w:rsidRPr="00D92F9D">
              <w:rPr>
                <w:rStyle w:val="Emphasis"/>
              </w:rPr>
              <w:t>The Range Statement relates to the unit of competency as a whole</w:t>
            </w:r>
            <w:r w:rsidRPr="00D92F9D">
              <w:t xml:space="preserve">. </w:t>
            </w:r>
            <w:r w:rsidRPr="00D92F9D">
              <w:rPr>
                <w:rStyle w:val="Emphasis"/>
              </w:rPr>
              <w:t>It allows for different work environments and situations that may affect performance</w:t>
            </w:r>
            <w:r w:rsidRPr="00D92F9D">
              <w:t>.</w:t>
            </w:r>
          </w:p>
        </w:tc>
      </w:tr>
      <w:tr w:rsidTr="00DA6C2A">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D92F9D" w:rsidP="00D92F9D">
            <w:pPr>
              <w:pStyle w:val="BodyText"/>
            </w:pPr>
            <w:r w:rsidRPr="00D92F9D">
              <w:rPr>
                <w:rStyle w:val="SpecialBold"/>
              </w:rPr>
              <w:t>VARIABLE</w:t>
            </w:r>
          </w:p>
        </w:tc>
        <w:tc>
          <w:tcPr>
            <w:tcW w:w="6431" w:type="dxa"/>
            <w:gridSpan w:val="6"/>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rPr>
                <w:rStyle w:val="SpecialBold"/>
              </w:rPr>
              <w:t>SCOPE</w:t>
            </w:r>
          </w:p>
        </w:tc>
      </w:tr>
      <w:tr w:rsidTr="00DA6C2A">
        <w:tblPrEx>
          <w:tblW w:w="0" w:type="auto"/>
          <w:tblLayout w:type="fixed"/>
          <w:tblCellMar>
            <w:left w:w="62" w:type="dxa"/>
            <w:right w:w="62" w:type="dxa"/>
          </w:tblCellMar>
          <w:tblLook w:val="0000"/>
        </w:tblPrEx>
        <w:tc>
          <w:tcPr>
            <w:tcW w:w="8521" w:type="dxa"/>
            <w:gridSpan w:val="9"/>
            <w:tcBorders>
              <w:top w:val="nil"/>
              <w:left w:val="nil"/>
              <w:bottom w:val="single" w:sz="6" w:space="0" w:color="auto"/>
              <w:right w:val="nil"/>
            </w:tcBorders>
            <w:tcMar>
              <w:top w:w="0" w:type="dxa"/>
              <w:left w:w="62" w:type="dxa"/>
              <w:bottom w:w="0" w:type="dxa"/>
              <w:right w:w="62" w:type="dxa"/>
            </w:tcMar>
          </w:tcPr>
          <w:p w:rsidR="00000000" w:rsidP="00D92F9D">
            <w:pPr>
              <w:pStyle w:val="BodyText"/>
              <w:rPr>
                <w:lang w:val="en-NZ"/>
              </w:rPr>
            </w:pPr>
            <w:r w:rsidRPr="00D92F9D">
              <w:rPr>
                <w:rStyle w:val="SpecialBold"/>
              </w:rPr>
              <w:t>1</w:t>
            </w:r>
            <w:r w:rsidRPr="00D92F9D">
              <w:t>.</w:t>
            </w:r>
            <w:r w:rsidRPr="00D92F9D">
              <w:tab/>
            </w:r>
            <w:r w:rsidRPr="00D92F9D">
              <w:rPr>
                <w:rStyle w:val="SpecialBold"/>
              </w:rPr>
              <w:t>GENERAL CONTEXT</w:t>
            </w:r>
          </w:p>
        </w:tc>
      </w:tr>
      <w:tr w:rsidTr="00DA6C2A">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A6C2A">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D92F9D" w:rsidP="00D92F9D">
            <w:pPr>
              <w:pStyle w:val="BodyText"/>
            </w:pPr>
            <w:r w:rsidRPr="00D92F9D">
              <w:rPr>
                <w:rStyle w:val="SpecialBold"/>
              </w:rPr>
              <w:t>a</w:t>
            </w:r>
            <w:r w:rsidRPr="00D92F9D">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D92F9D">
            <w:pPr>
              <w:pStyle w:val="BodyText"/>
              <w:rPr>
                <w:lang w:val="en-NZ"/>
              </w:rPr>
            </w:pPr>
            <w:r w:rsidRPr="00D92F9D">
              <w:rPr>
                <w:rStyle w:val="SpecialBold"/>
              </w:rPr>
              <w:t>Work must be carried out</w:t>
            </w:r>
            <w:r w:rsidRPr="00D92F9D">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D92F9D">
            <w:pPr>
              <w:pStyle w:val="BodyText"/>
              <w:rPr>
                <w:lang w:val="en-NZ"/>
              </w:rPr>
            </w:pPr>
            <w:r w:rsidRPr="00D92F9D">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D92F9D">
            <w:pPr>
              <w:pStyle w:val="BodyText"/>
              <w:rPr>
                <w:lang w:val="en-NZ"/>
              </w:rPr>
            </w:pPr>
            <w:r w:rsidRPr="00D92F9D">
              <w:t>in compliance with relevant sections of applicable maritime regulations</w:t>
            </w:r>
          </w:p>
        </w:tc>
      </w:tr>
      <w:tr w:rsidTr="00DA6C2A">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A6C2A">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D92F9D" w:rsidP="00D92F9D">
            <w:pPr>
              <w:pStyle w:val="BodyText"/>
            </w:pPr>
            <w:r w:rsidRPr="00D92F9D">
              <w:rPr>
                <w:rStyle w:val="SpecialBold"/>
              </w:rPr>
              <w:t>b</w:t>
            </w:r>
            <w:r w:rsidRPr="00D92F9D">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D92F9D">
            <w:pPr>
              <w:pStyle w:val="BodyText"/>
              <w:rPr>
                <w:lang w:val="en-NZ"/>
              </w:rPr>
            </w:pPr>
            <w:r w:rsidRPr="00D92F9D">
              <w:rPr>
                <w:rStyle w:val="SpecialBold"/>
              </w:rPr>
              <w:t>Work is performed</w:t>
            </w:r>
            <w:r w:rsidRPr="00D92F9D">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D92F9D">
            <w:pPr>
              <w:pStyle w:val="BodyText"/>
              <w:rPr>
                <w:lang w:val="en-NZ"/>
              </w:rPr>
            </w:pPr>
            <w:r w:rsidRPr="00D92F9D">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D92F9D">
            <w:pPr>
              <w:pStyle w:val="BodyText"/>
              <w:rPr>
                <w:lang w:val="en-NZ"/>
              </w:rPr>
            </w:pPr>
            <w:r w:rsidRPr="00D92F9D">
              <w:t>relatively independently under broad operational requirements, with accountability and responsibility for self and others in achieving the prescribed outcomes</w:t>
            </w:r>
          </w:p>
        </w:tc>
      </w:tr>
      <w:tr w:rsidTr="00DA6C2A">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A6C2A">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D92F9D" w:rsidP="00D92F9D">
            <w:pPr>
              <w:pStyle w:val="BodyText"/>
            </w:pPr>
            <w:r w:rsidRPr="00D92F9D">
              <w:rPr>
                <w:rStyle w:val="SpecialBold"/>
              </w:rPr>
              <w:t>c</w:t>
            </w:r>
            <w:r w:rsidRPr="00D92F9D">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D92F9D">
            <w:pPr>
              <w:pStyle w:val="BodyText"/>
              <w:rPr>
                <w:lang w:val="en-NZ"/>
              </w:rPr>
            </w:pPr>
            <w:r w:rsidRPr="00D92F9D">
              <w:rPr>
                <w:rStyle w:val="SpecialBold"/>
              </w:rPr>
              <w:t>Work involves</w:t>
            </w:r>
            <w:r w:rsidRPr="00D92F9D">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D92F9D">
            <w:pPr>
              <w:pStyle w:val="BodyText"/>
              <w:rPr>
                <w:lang w:val="en-NZ"/>
              </w:rPr>
            </w:pPr>
            <w:r w:rsidRPr="00D92F9D">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D92F9D">
            <w:pPr>
              <w:pStyle w:val="BodyText"/>
              <w:rPr>
                <w:lang w:val="en-NZ"/>
              </w:rPr>
            </w:pPr>
            <w:r w:rsidRPr="00D92F9D">
              <w:t>the application of a significant range of fundamental navigational principles and procedures across a wide variety of navigational contexts, including navigation at high latitudes. Contribution to the development of a plan for a voyage is required with app</w:t>
            </w:r>
            <w:r w:rsidRPr="00D92F9D">
              <w:t>ropriate allowance for possible contingencies</w:t>
            </w:r>
          </w:p>
        </w:tc>
      </w:tr>
      <w:tr w:rsidTr="00DA6C2A">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A6C2A">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D92F9D" w:rsidP="00D92F9D">
            <w:pPr>
              <w:pStyle w:val="BodyText"/>
            </w:pPr>
            <w:r w:rsidRPr="00D92F9D">
              <w:rPr>
                <w:rStyle w:val="SpecialBold"/>
              </w:rPr>
              <w:t>d</w:t>
            </w:r>
            <w:r w:rsidRPr="00D92F9D">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D92F9D">
            <w:pPr>
              <w:pStyle w:val="BodyText"/>
              <w:rPr>
                <w:lang w:val="en-NZ"/>
              </w:rPr>
            </w:pPr>
            <w:r w:rsidRPr="00D92F9D">
              <w:rPr>
                <w:rStyle w:val="SpecialBold"/>
              </w:rPr>
              <w:t>Work requires</w:t>
            </w:r>
            <w:r w:rsidRPr="00D92F9D">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1</w:t>
            </w:r>
          </w:p>
        </w:tc>
        <w:tc>
          <w:tcPr>
            <w:tcW w:w="6017" w:type="dxa"/>
            <w:gridSpan w:val="2"/>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significant judgement in planning, technical and leadership functions related to planning and conducting a voyage for a vessel of 500 gross tonnage or more</w:t>
            </w:r>
          </w:p>
        </w:tc>
      </w:tr>
      <w:tr w:rsidTr="00DA6C2A">
        <w:tblPrEx>
          <w:tblW w:w="0" w:type="auto"/>
          <w:tblLayout w:type="fixed"/>
          <w:tblCellMar>
            <w:left w:w="62" w:type="dxa"/>
            <w:right w:w="62" w:type="dxa"/>
          </w:tblCellMar>
          <w:tblLook w:val="0000"/>
        </w:tblPrEx>
        <w:trPr>
          <w:gridAfter w:val="2"/>
          <w:wAfter w:w="46" w:type="dxa"/>
        </w:trPr>
        <w:tc>
          <w:tcPr>
            <w:tcW w:w="8475" w:type="dxa"/>
            <w:gridSpan w:val="7"/>
            <w:tcBorders>
              <w:top w:val="nil"/>
              <w:left w:val="nil"/>
              <w:bottom w:val="single" w:sz="6" w:space="0" w:color="auto"/>
              <w:right w:val="nil"/>
            </w:tcBorders>
            <w:tcMar>
              <w:top w:w="0" w:type="dxa"/>
              <w:left w:w="62" w:type="dxa"/>
              <w:bottom w:w="0" w:type="dxa"/>
              <w:right w:w="62" w:type="dxa"/>
            </w:tcMar>
          </w:tcPr>
          <w:p w:rsidR="00000000" w:rsidP="00D92F9D">
            <w:pPr>
              <w:pStyle w:val="BodyText"/>
              <w:rPr>
                <w:lang w:val="en-NZ"/>
              </w:rPr>
            </w:pPr>
            <w:r w:rsidRPr="00D92F9D">
              <w:rPr>
                <w:rStyle w:val="SpecialBold"/>
              </w:rPr>
              <w:t>2</w:t>
            </w:r>
            <w:r w:rsidRPr="00D92F9D">
              <w:t>.</w:t>
            </w:r>
            <w:r w:rsidRPr="00D92F9D">
              <w:tab/>
            </w:r>
            <w:r w:rsidRPr="00D92F9D">
              <w:rPr>
                <w:rStyle w:val="SpecialBold"/>
              </w:rPr>
              <w:t>WORKSITE ENVIRONMENT</w:t>
            </w:r>
          </w:p>
        </w:tc>
      </w:tr>
      <w:tr w:rsidTr="00DA6C2A">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A6C2A">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D92F9D" w:rsidP="00D92F9D">
            <w:pPr>
              <w:pStyle w:val="BodyText"/>
            </w:pPr>
            <w:r w:rsidRPr="00D92F9D">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D92F9D">
            <w:pPr>
              <w:pStyle w:val="BodyText"/>
              <w:rPr>
                <w:lang w:val="en-NZ"/>
              </w:rPr>
            </w:pPr>
            <w:r w:rsidRPr="00D92F9D">
              <w:rPr>
                <w:rStyle w:val="SpecialBold"/>
              </w:rPr>
              <w:t>Vessel may include</w:t>
            </w:r>
            <w:r w:rsidRPr="00D92F9D">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D92F9D">
            <w:pPr>
              <w:pStyle w:val="BodyText"/>
              <w:rPr>
                <w:lang w:val="en-NZ"/>
              </w:rPr>
            </w:pPr>
            <w:r w:rsidRPr="00D92F9D">
              <w:t>1</w:t>
            </w:r>
          </w:p>
        </w:tc>
        <w:tc>
          <w:tcPr>
            <w:tcW w:w="6046" w:type="dxa"/>
            <w:gridSpan w:val="4"/>
            <w:tcBorders>
              <w:top w:val="nil"/>
              <w:left w:val="nil"/>
              <w:bottom w:val="single" w:sz="6" w:space="0" w:color="auto"/>
              <w:right w:val="nil"/>
            </w:tcBorders>
            <w:tcMar>
              <w:top w:w="0" w:type="dxa"/>
              <w:left w:w="62" w:type="dxa"/>
              <w:bottom w:w="0" w:type="dxa"/>
              <w:right w:w="62" w:type="dxa"/>
            </w:tcMar>
          </w:tcPr>
          <w:p w:rsidR="00000000" w:rsidP="00D92F9D">
            <w:pPr>
              <w:pStyle w:val="BodyText"/>
              <w:rPr>
                <w:lang w:val="en-NZ"/>
              </w:rPr>
            </w:pPr>
            <w:r w:rsidRPr="00D92F9D">
              <w:t>any Australian or international commercial vessel of 500 gross tonnage or more</w:t>
            </w:r>
          </w:p>
        </w:tc>
      </w:tr>
      <w:tr w:rsidTr="00DA6C2A">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A6C2A">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D92F9D" w:rsidP="00D92F9D">
            <w:pPr>
              <w:pStyle w:val="BodyText"/>
            </w:pPr>
            <w:r w:rsidRPr="00D92F9D">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D92F9D">
            <w:pPr>
              <w:pStyle w:val="BodyText"/>
              <w:rPr>
                <w:lang w:val="en-NZ"/>
              </w:rPr>
            </w:pPr>
            <w:r w:rsidRPr="00D92F9D">
              <w:rPr>
                <w:rStyle w:val="SpecialBold"/>
              </w:rPr>
              <w:t>Voyages to be planned and conducted may include</w:t>
            </w:r>
            <w:r w:rsidRPr="00D92F9D">
              <w:t>:</w:t>
            </w:r>
          </w:p>
        </w:tc>
        <w:tc>
          <w:tcPr>
            <w:tcW w:w="357" w:type="dxa"/>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1</w:t>
            </w:r>
          </w:p>
        </w:tc>
        <w:tc>
          <w:tcPr>
            <w:tcW w:w="6046" w:type="dxa"/>
            <w:gridSpan w:val="4"/>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any voyage navigable by the size and type of vessel concerned</w:t>
            </w:r>
          </w:p>
        </w:tc>
      </w:tr>
      <w:tr w:rsidTr="00DA6C2A">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2</w:t>
            </w:r>
          </w:p>
        </w:tc>
        <w:tc>
          <w:tcPr>
            <w:tcW w:w="6046" w:type="dxa"/>
            <w:gridSpan w:val="4"/>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voyages in high latitudes</w:t>
            </w:r>
          </w:p>
        </w:tc>
      </w:tr>
      <w:tr w:rsidTr="00DA6C2A">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3</w:t>
            </w:r>
          </w:p>
        </w:tc>
        <w:tc>
          <w:tcPr>
            <w:tcW w:w="6046" w:type="dxa"/>
            <w:gridSpan w:val="4"/>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 xml:space="preserve">passages through </w:t>
            </w:r>
          </w:p>
        </w:tc>
      </w:tr>
      <w:tr w:rsidTr="00DA6C2A">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4</w:t>
            </w:r>
          </w:p>
        </w:tc>
        <w:tc>
          <w:tcPr>
            <w:tcW w:w="6046" w:type="dxa"/>
            <w:gridSpan w:val="4"/>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traffic separation schemes</w:t>
            </w:r>
          </w:p>
        </w:tc>
      </w:tr>
      <w:tr w:rsidTr="00DA6C2A">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5</w:t>
            </w:r>
          </w:p>
        </w:tc>
        <w:tc>
          <w:tcPr>
            <w:tcW w:w="6046" w:type="dxa"/>
            <w:gridSpan w:val="4"/>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tidal restricted areas</w:t>
            </w:r>
          </w:p>
        </w:tc>
      </w:tr>
      <w:tr w:rsidTr="00DA6C2A">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6</w:t>
            </w:r>
          </w:p>
        </w:tc>
        <w:tc>
          <w:tcPr>
            <w:tcW w:w="6046" w:type="dxa"/>
            <w:gridSpan w:val="4"/>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VTS controlled areas</w:t>
            </w:r>
          </w:p>
        </w:tc>
      </w:tr>
      <w:tr w:rsidTr="00DA6C2A">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7</w:t>
            </w:r>
          </w:p>
        </w:tc>
        <w:tc>
          <w:tcPr>
            <w:tcW w:w="6046" w:type="dxa"/>
            <w:gridSpan w:val="4"/>
            <w:tcBorders>
              <w:top w:val="nil"/>
              <w:left w:val="nil"/>
              <w:bottom w:val="nil"/>
              <w:right w:val="nil"/>
            </w:tcBorders>
            <w:tcMar>
              <w:top w:w="0" w:type="dxa"/>
              <w:left w:w="62" w:type="dxa"/>
              <w:bottom w:w="0" w:type="dxa"/>
              <w:right w:w="62" w:type="dxa"/>
            </w:tcMar>
          </w:tcPr>
          <w:p w:rsidR="00000000" w:rsidRPr="00D92F9D" w:rsidP="00D92F9D">
            <w:pPr>
              <w:pStyle w:val="BodyText"/>
            </w:pPr>
            <w:r w:rsidRPr="00D92F9D">
              <w:t>pilotage water under conditions of restricted visibility</w:t>
            </w:r>
          </w:p>
        </w:tc>
      </w:tr>
    </w:tbl>
    <w:p w:rsidR="00000000" w:rsidRPr="00D92F9D" w:rsidP="00D92F9D">
      <w:pPr>
        <w:pStyle w:val="BodyText"/>
      </w:pPr>
    </w:p>
    <w:tbl>
      <w:tblPr>
        <w:tblW w:w="0" w:type="auto"/>
        <w:tblLayout w:type="fixed"/>
        <w:tblCellMar>
          <w:left w:w="62" w:type="dxa"/>
          <w:right w:w="62" w:type="dxa"/>
        </w:tblCellMar>
        <w:tblLook w:val="0000"/>
      </w:tblPr>
      <w:tblGrid>
        <w:gridCol w:w="346"/>
        <w:gridCol w:w="1744"/>
        <w:gridCol w:w="357"/>
        <w:gridCol w:w="82"/>
        <w:gridCol w:w="3532"/>
        <w:gridCol w:w="2432"/>
        <w:gridCol w:w="28"/>
        <w:gridCol w:w="14"/>
        <w:gridCol w:w="14"/>
      </w:tblGrid>
      <w:tr w:rsidTr="00DA6C2A">
        <w:tblPrEx>
          <w:tblW w:w="0" w:type="auto"/>
          <w:tblLayout w:type="fixed"/>
          <w:tblCellMar>
            <w:left w:w="62" w:type="dxa"/>
            <w:right w:w="62" w:type="dxa"/>
          </w:tblCellMar>
          <w:tblLook w:val="0000"/>
        </w:tblPrEx>
        <w:trPr>
          <w:gridAfter w:val="4"/>
          <w:wAfter w:w="2488" w:type="dxa"/>
          <w:tblHeader/>
        </w:trPr>
        <w:tc>
          <w:tcPr>
            <w:tcW w:w="6061"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D92F9D" w:rsidP="00D92F9D">
            <w:pPr>
              <w:pStyle w:val="BodyText"/>
            </w:pPr>
            <w:r w:rsidRPr="00D92F9D">
              <w:rPr>
                <w:rStyle w:val="SpecialBold"/>
              </w:rPr>
              <w:t>Range Statement</w:t>
            </w:r>
            <w:r w:rsidRPr="00D92F9D">
              <w:t xml:space="preserve"> (</w:t>
            </w:r>
            <w:r w:rsidRPr="00D92F9D">
              <w:rPr>
                <w:rStyle w:val="SpecialBold"/>
              </w:rPr>
              <w:t>continued</w:t>
            </w:r>
            <w:r w:rsidRPr="00D92F9D">
              <w:t xml:space="preserve">) </w:t>
            </w:r>
          </w:p>
          <w:p w:rsidR="00000000" w:rsidP="00D92F9D">
            <w:pPr>
              <w:pStyle w:val="BodyText"/>
              <w:rPr>
                <w:lang w:val="en-NZ"/>
              </w:rPr>
            </w:pPr>
            <w:r w:rsidRPr="00D92F9D">
              <w:rPr>
                <w:rStyle w:val="SpecialBold"/>
              </w:rPr>
              <w:t>TDMMH107B PLAN A VOYAGE AND CONDUCT NAVIGATION</w:t>
            </w:r>
          </w:p>
        </w:tc>
      </w:tr>
      <w:tr w:rsidTr="00DA6C2A">
        <w:tblPrEx>
          <w:tblW w:w="0" w:type="auto"/>
          <w:tblLayout w:type="fixed"/>
          <w:tblCellMar>
            <w:left w:w="62" w:type="dxa"/>
            <w:right w:w="62" w:type="dxa"/>
          </w:tblCellMar>
          <w:tblLook w:val="0000"/>
        </w:tblPrEx>
        <w:trPr>
          <w:gridAfter w:val="2"/>
          <w:wAfter w:w="28" w:type="dxa"/>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D92F9D" w:rsidP="00D92F9D">
            <w:pPr>
              <w:pStyle w:val="BodyText"/>
            </w:pPr>
          </w:p>
          <w:p w:rsidR="00000000" w:rsidRPr="00D92F9D" w:rsidP="00D92F9D">
            <w:pPr>
              <w:pStyle w:val="BodyText"/>
            </w:pPr>
            <w:r w:rsidRPr="00D92F9D">
              <w:rPr>
                <w:rStyle w:val="SpecialBold"/>
              </w:rPr>
              <w:t>VARIABLE</w:t>
            </w:r>
          </w:p>
        </w:tc>
        <w:tc>
          <w:tcPr>
            <w:tcW w:w="6431"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D92F9D">
            <w:pPr>
              <w:pStyle w:val="BodyText"/>
              <w:rPr>
                <w:lang w:val="en-NZ"/>
              </w:rPr>
            </w:pPr>
            <w:r w:rsidRPr="00D92F9D">
              <w:rPr>
                <w:rStyle w:val="SpecialBold"/>
              </w:rPr>
              <w:t>SCOPE</w:t>
            </w:r>
          </w:p>
        </w:tc>
      </w:tr>
      <w:tr w:rsidTr="00DA6C2A">
        <w:tblPrEx>
          <w:tblW w:w="0" w:type="auto"/>
          <w:tblLayout w:type="fixed"/>
          <w:tblCellMar>
            <w:left w:w="62" w:type="dxa"/>
            <w:right w:w="62" w:type="dxa"/>
          </w:tblCellMar>
          <w:tblLook w:val="0000"/>
        </w:tblPrEx>
        <w:trPr>
          <w:gridAfter w:val="3"/>
          <w:wAfter w:w="56" w:type="dxa"/>
        </w:trPr>
        <w:tc>
          <w:tcPr>
            <w:tcW w:w="346"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D92F9D" w:rsidP="00D92F9D">
            <w:pPr>
              <w:pStyle w:val="BodyText"/>
            </w:pPr>
          </w:p>
          <w:p w:rsidR="00000000" w:rsidP="00D92F9D">
            <w:pPr>
              <w:pStyle w:val="BodyText"/>
              <w:rPr>
                <w:lang w:val="en-NZ"/>
              </w:rPr>
            </w:pPr>
            <w:r w:rsidRPr="00D92F9D">
              <w:rPr>
                <w:rStyle w:val="SpecialBold"/>
              </w:rPr>
              <w:t>c</w:t>
            </w:r>
          </w:p>
        </w:tc>
        <w:tc>
          <w:tcPr>
            <w:tcW w:w="1744"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D92F9D" w:rsidP="00D92F9D">
            <w:pPr>
              <w:pStyle w:val="BodyText"/>
            </w:pPr>
          </w:p>
          <w:p w:rsidR="00000000" w:rsidP="00D92F9D">
            <w:pPr>
              <w:pStyle w:val="BodyText"/>
              <w:rPr>
                <w:lang w:val="en-NZ"/>
              </w:rPr>
            </w:pPr>
            <w:r w:rsidRPr="00D92F9D">
              <w:rPr>
                <w:rStyle w:val="SpecialBold"/>
              </w:rPr>
              <w:t>Navigation may occur in conditions of</w:t>
            </w:r>
            <w:r w:rsidRPr="00D92F9D">
              <w:t>:</w:t>
            </w:r>
          </w:p>
        </w:tc>
        <w:tc>
          <w:tcPr>
            <w:tcW w:w="357" w:type="dxa"/>
            <w:tcBorders>
              <w:top w:val="nil"/>
              <w:left w:val="single" w:sz="6" w:space="0" w:color="auto"/>
              <w:bottom w:val="nil"/>
              <w:right w:val="nil"/>
            </w:tcBorders>
            <w:tcMar>
              <w:top w:w="0" w:type="dxa"/>
              <w:left w:w="62" w:type="dxa"/>
              <w:bottom w:w="0" w:type="dxa"/>
              <w:right w:w="62" w:type="dxa"/>
            </w:tcMar>
          </w:tcPr>
          <w:p w:rsidR="00000000" w:rsidRPr="00D92F9D" w:rsidP="00D92F9D">
            <w:pPr>
              <w:pStyle w:val="BodyText"/>
            </w:pPr>
          </w:p>
          <w:p w:rsidR="00000000" w:rsidP="00D92F9D">
            <w:pPr>
              <w:pStyle w:val="BodyText"/>
              <w:rPr>
                <w:lang w:val="en-NZ"/>
              </w:rPr>
            </w:pPr>
            <w:r w:rsidRPr="00D92F9D">
              <w:t>1</w:t>
            </w:r>
          </w:p>
        </w:tc>
        <w:tc>
          <w:tcPr>
            <w:tcW w:w="6046" w:type="dxa"/>
            <w:gridSpan w:val="3"/>
            <w:tcBorders>
              <w:top w:val="nil"/>
              <w:left w:val="nil"/>
              <w:bottom w:val="nil"/>
              <w:right w:val="nil"/>
            </w:tcBorders>
            <w:tcMar>
              <w:top w:w="0" w:type="dxa"/>
              <w:left w:w="62" w:type="dxa"/>
              <w:bottom w:w="0" w:type="dxa"/>
              <w:right w:w="62" w:type="dxa"/>
            </w:tcMar>
          </w:tcPr>
          <w:p w:rsidR="00000000" w:rsidRPr="00D92F9D" w:rsidP="00D92F9D">
            <w:pPr>
              <w:pStyle w:val="BodyText"/>
            </w:pPr>
          </w:p>
          <w:p w:rsidR="00000000" w:rsidP="00D92F9D">
            <w:pPr>
              <w:pStyle w:val="BodyText"/>
              <w:rPr>
                <w:lang w:val="en-NZ"/>
              </w:rPr>
            </w:pPr>
            <w:r w:rsidRPr="00D92F9D">
              <w:t>clear visibility using visual navigational techniques</w:t>
            </w:r>
          </w:p>
        </w:tc>
      </w:tr>
      <w:tr w:rsidTr="00DA6C2A">
        <w:tblPrEx>
          <w:tblW w:w="0" w:type="auto"/>
          <w:tblLayout w:type="fixed"/>
          <w:tblCellMar>
            <w:left w:w="62" w:type="dxa"/>
            <w:right w:w="62" w:type="dxa"/>
          </w:tblCellMar>
          <w:tblLook w:val="0000"/>
        </w:tblPrEx>
        <w:trPr>
          <w:gridAfter w:val="3"/>
          <w:wAfter w:w="56"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2</w:t>
            </w:r>
          </w:p>
        </w:tc>
        <w:tc>
          <w:tcPr>
            <w:tcW w:w="6046" w:type="dxa"/>
            <w:gridSpan w:val="3"/>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restricted visibility using parallel indexing and/or electronic chart systems</w:t>
            </w:r>
          </w:p>
        </w:tc>
      </w:tr>
      <w:tr w:rsidTr="00DA6C2A">
        <w:tblPrEx>
          <w:tblW w:w="0" w:type="auto"/>
          <w:tblLayout w:type="fixed"/>
          <w:tblCellMar>
            <w:left w:w="62" w:type="dxa"/>
            <w:right w:w="62" w:type="dxa"/>
          </w:tblCellMar>
          <w:tblLook w:val="0000"/>
        </w:tblPrEx>
        <w:trPr>
          <w:gridAfter w:val="3"/>
          <w:wAfter w:w="56"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3</w:t>
            </w:r>
          </w:p>
        </w:tc>
        <w:tc>
          <w:tcPr>
            <w:tcW w:w="6046" w:type="dxa"/>
            <w:gridSpan w:val="3"/>
            <w:tcBorders>
              <w:top w:val="nil"/>
              <w:left w:val="nil"/>
              <w:bottom w:val="nil"/>
              <w:right w:val="nil"/>
            </w:tcBorders>
            <w:tcMar>
              <w:top w:w="0" w:type="dxa"/>
              <w:left w:w="62" w:type="dxa"/>
              <w:bottom w:w="0" w:type="dxa"/>
              <w:right w:w="62" w:type="dxa"/>
            </w:tcMar>
          </w:tcPr>
          <w:p w:rsidR="00000000" w:rsidRPr="00D92F9D" w:rsidP="00D92F9D">
            <w:pPr>
              <w:pStyle w:val="BodyText"/>
            </w:pPr>
            <w:r w:rsidRPr="00D92F9D">
              <w:t>clear visibility using a combination of visual and electronic techniques</w:t>
            </w:r>
          </w:p>
          <w:p w:rsidR="00000000">
            <w:pPr>
              <w:pStyle w:val="BodyText"/>
              <w:keepNext w:val="0"/>
              <w:keepLines w:val="0"/>
              <w:contextualSpacing w:val="0"/>
              <w:rPr>
                <w:rFonts w:ascii="Tahoma" w:hAnsi="Tahoma"/>
                <w:color w:val="000000"/>
                <w:sz w:val="20"/>
                <w:lang w:val="en-NZ"/>
              </w:rPr>
            </w:pPr>
          </w:p>
        </w:tc>
      </w:tr>
      <w:tr w:rsidTr="00DA6C2A">
        <w:tblPrEx>
          <w:tblW w:w="0" w:type="auto"/>
          <w:tblLayout w:type="fixed"/>
          <w:tblCellMar>
            <w:left w:w="62" w:type="dxa"/>
            <w:right w:w="62" w:type="dxa"/>
          </w:tblCellMar>
          <w:tblLook w:val="0000"/>
        </w:tblPrEx>
        <w:trPr>
          <w:gridAfter w:val="3"/>
          <w:wAfter w:w="56"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A6C2A">
        <w:tblPrEx>
          <w:tblW w:w="0" w:type="auto"/>
          <w:tblLayout w:type="fixed"/>
          <w:tblCellMar>
            <w:left w:w="62" w:type="dxa"/>
            <w:right w:w="62" w:type="dxa"/>
          </w:tblCellMar>
          <w:tblLook w:val="0000"/>
        </w:tblPrEx>
        <w:trPr>
          <w:gridAfter w:val="3"/>
          <w:wAfter w:w="56" w:type="dxa"/>
        </w:trPr>
        <w:tc>
          <w:tcPr>
            <w:tcW w:w="346" w:type="dxa"/>
            <w:vMerge w:val="restart"/>
            <w:tcBorders>
              <w:top w:val="nil"/>
              <w:left w:val="nil"/>
              <w:bottom w:val="nil"/>
              <w:right w:val="nil"/>
            </w:tcBorders>
            <w:tcMar>
              <w:top w:w="0" w:type="dxa"/>
              <w:left w:w="62" w:type="dxa"/>
              <w:bottom w:w="0" w:type="dxa"/>
              <w:right w:w="62" w:type="dxa"/>
            </w:tcMar>
          </w:tcPr>
          <w:p w:rsidR="00000000" w:rsidRPr="00D92F9D" w:rsidP="00D92F9D">
            <w:pPr>
              <w:pStyle w:val="BodyText"/>
            </w:pPr>
            <w:r w:rsidRPr="00D92F9D">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D92F9D">
            <w:pPr>
              <w:pStyle w:val="BodyText"/>
              <w:rPr>
                <w:lang w:val="en-NZ"/>
              </w:rPr>
            </w:pPr>
            <w:r w:rsidRPr="00D92F9D">
              <w:rPr>
                <w:rStyle w:val="SpecialBold"/>
              </w:rPr>
              <w:t>Position fixing techniques may include</w:t>
            </w:r>
            <w:r w:rsidRPr="00D92F9D">
              <w:t>:</w:t>
            </w:r>
          </w:p>
        </w:tc>
        <w:tc>
          <w:tcPr>
            <w:tcW w:w="357" w:type="dxa"/>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1</w:t>
            </w:r>
          </w:p>
        </w:tc>
        <w:tc>
          <w:tcPr>
            <w:tcW w:w="6046" w:type="dxa"/>
            <w:gridSpan w:val="3"/>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visual</w:t>
            </w:r>
          </w:p>
        </w:tc>
      </w:tr>
      <w:tr w:rsidTr="00DA6C2A">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2</w:t>
            </w:r>
          </w:p>
        </w:tc>
        <w:tc>
          <w:tcPr>
            <w:tcW w:w="6046" w:type="dxa"/>
            <w:gridSpan w:val="3"/>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radar</w:t>
            </w:r>
          </w:p>
        </w:tc>
      </w:tr>
      <w:tr w:rsidTr="00DA6C2A">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3</w:t>
            </w:r>
          </w:p>
        </w:tc>
        <w:tc>
          <w:tcPr>
            <w:tcW w:w="6046" w:type="dxa"/>
            <w:gridSpan w:val="3"/>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continuous position monitoring</w:t>
            </w:r>
          </w:p>
        </w:tc>
      </w:tr>
      <w:tr w:rsidTr="00DA6C2A">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A6C2A">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D92F9D" w:rsidP="00D92F9D">
            <w:pPr>
              <w:pStyle w:val="BodyText"/>
            </w:pPr>
            <w:r w:rsidRPr="00D92F9D">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D92F9D">
            <w:pPr>
              <w:pStyle w:val="BodyText"/>
              <w:rPr>
                <w:lang w:val="en-NZ"/>
              </w:rPr>
            </w:pPr>
            <w:r w:rsidRPr="00D92F9D">
              <w:rPr>
                <w:rStyle w:val="SpecialBold"/>
              </w:rPr>
              <w:t>Documentation and records</w:t>
            </w:r>
            <w:r w:rsidRPr="00D92F9D">
              <w:t xml:space="preserve"> </w:t>
            </w:r>
            <w:r w:rsidRPr="00D92F9D">
              <w:rPr>
                <w:rStyle w:val="SpecialBold"/>
              </w:rPr>
              <w:t>may include</w:t>
            </w:r>
            <w:r w:rsidRPr="00D92F9D">
              <w:t>:</w:t>
            </w: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1</w:t>
            </w:r>
          </w:p>
        </w:tc>
        <w:tc>
          <w:tcPr>
            <w:tcW w:w="6006" w:type="dxa"/>
            <w:gridSpan w:val="4"/>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ISM Code safety management system plans, procedures, checklists and instructions</w:t>
            </w:r>
          </w:p>
        </w:tc>
      </w:tr>
      <w:tr w:rsidTr="00DA6C2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2</w:t>
            </w:r>
          </w:p>
        </w:tc>
        <w:tc>
          <w:tcPr>
            <w:tcW w:w="6006" w:type="dxa"/>
            <w:gridSpan w:val="4"/>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operational orders</w:t>
            </w:r>
          </w:p>
        </w:tc>
      </w:tr>
      <w:tr w:rsidTr="00DA6C2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3</w:t>
            </w:r>
          </w:p>
        </w:tc>
        <w:tc>
          <w:tcPr>
            <w:tcW w:w="6006" w:type="dxa"/>
            <w:gridSpan w:val="4"/>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navigational charts</w:t>
            </w:r>
          </w:p>
        </w:tc>
      </w:tr>
      <w:tr w:rsidTr="00DA6C2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4</w:t>
            </w:r>
          </w:p>
        </w:tc>
        <w:tc>
          <w:tcPr>
            <w:tcW w:w="6006" w:type="dxa"/>
            <w:gridSpan w:val="4"/>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Nautical Institute publications</w:t>
            </w:r>
          </w:p>
        </w:tc>
      </w:tr>
      <w:tr w:rsidTr="00DA6C2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5</w:t>
            </w:r>
          </w:p>
        </w:tc>
        <w:tc>
          <w:tcPr>
            <w:tcW w:w="6006" w:type="dxa"/>
            <w:gridSpan w:val="4"/>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Nautical Almanac</w:t>
            </w:r>
          </w:p>
        </w:tc>
      </w:tr>
      <w:tr w:rsidTr="00DA6C2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6</w:t>
            </w:r>
          </w:p>
        </w:tc>
        <w:tc>
          <w:tcPr>
            <w:tcW w:w="6006" w:type="dxa"/>
            <w:gridSpan w:val="4"/>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General Principles on Ships' Routeing</w:t>
            </w:r>
          </w:p>
        </w:tc>
      </w:tr>
      <w:tr w:rsidTr="00DA6C2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7</w:t>
            </w:r>
          </w:p>
        </w:tc>
        <w:tc>
          <w:tcPr>
            <w:tcW w:w="6006" w:type="dxa"/>
            <w:gridSpan w:val="4"/>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Guidelines and Criteria for Ship Reporting Systems</w:t>
            </w:r>
          </w:p>
        </w:tc>
      </w:tr>
      <w:tr w:rsidTr="00DA6C2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8</w:t>
            </w:r>
          </w:p>
        </w:tc>
        <w:tc>
          <w:tcPr>
            <w:tcW w:w="6006" w:type="dxa"/>
            <w:gridSpan w:val="4"/>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publications from the Australian Hydrographer or British Admiralty, including radio signals, light lists, sailing directions, tide tables and chart catalogues</w:t>
            </w:r>
          </w:p>
        </w:tc>
      </w:tr>
      <w:tr w:rsidTr="00DA6C2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9</w:t>
            </w:r>
          </w:p>
        </w:tc>
        <w:tc>
          <w:tcPr>
            <w:tcW w:w="6006" w:type="dxa"/>
            <w:gridSpan w:val="4"/>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navigational warning records</w:t>
            </w:r>
          </w:p>
        </w:tc>
      </w:tr>
      <w:tr w:rsidTr="00DA6C2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10</w:t>
            </w:r>
          </w:p>
        </w:tc>
        <w:tc>
          <w:tcPr>
            <w:tcW w:w="6006" w:type="dxa"/>
            <w:gridSpan w:val="4"/>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IMO STCW Convention and Code</w:t>
            </w:r>
          </w:p>
        </w:tc>
      </w:tr>
      <w:tr w:rsidTr="00DA6C2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11</w:t>
            </w:r>
          </w:p>
        </w:tc>
        <w:tc>
          <w:tcPr>
            <w:tcW w:w="6006" w:type="dxa"/>
            <w:gridSpan w:val="4"/>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AMSA Marine Orders</w:t>
            </w:r>
          </w:p>
        </w:tc>
      </w:tr>
      <w:tr w:rsidTr="00DA6C2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12</w:t>
            </w:r>
          </w:p>
        </w:tc>
        <w:tc>
          <w:tcPr>
            <w:tcW w:w="6006" w:type="dxa"/>
            <w:gridSpan w:val="4"/>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annual and weekly notices to mariners</w:t>
            </w:r>
          </w:p>
        </w:tc>
      </w:tr>
      <w:tr w:rsidTr="00DA6C2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13</w:t>
            </w:r>
          </w:p>
        </w:tc>
        <w:tc>
          <w:tcPr>
            <w:tcW w:w="6006" w:type="dxa"/>
            <w:gridSpan w:val="4"/>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vessel's log</w:t>
            </w:r>
          </w:p>
        </w:tc>
      </w:tr>
      <w:tr w:rsidTr="00DA6C2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14</w:t>
            </w:r>
          </w:p>
        </w:tc>
        <w:tc>
          <w:tcPr>
            <w:tcW w:w="6006" w:type="dxa"/>
            <w:gridSpan w:val="4"/>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 xml:space="preserve">company procedures </w:t>
            </w:r>
          </w:p>
        </w:tc>
      </w:tr>
      <w:tr w:rsidTr="00DA6C2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15</w:t>
            </w:r>
          </w:p>
        </w:tc>
        <w:tc>
          <w:tcPr>
            <w:tcW w:w="6006" w:type="dxa"/>
            <w:gridSpan w:val="4"/>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vessel manufacturer's instructions and recommended procedures</w:t>
            </w:r>
          </w:p>
        </w:tc>
      </w:tr>
      <w:tr w:rsidTr="00DA6C2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16</w:t>
            </w:r>
          </w:p>
        </w:tc>
        <w:tc>
          <w:tcPr>
            <w:tcW w:w="6006" w:type="dxa"/>
            <w:gridSpan w:val="4"/>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instructions of relevant maritime authorities</w:t>
            </w:r>
          </w:p>
        </w:tc>
      </w:tr>
      <w:tr w:rsidTr="00DA6C2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17</w:t>
            </w:r>
          </w:p>
        </w:tc>
        <w:tc>
          <w:tcPr>
            <w:tcW w:w="6006" w:type="dxa"/>
            <w:gridSpan w:val="4"/>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pilot instructions where relevant</w:t>
            </w:r>
          </w:p>
        </w:tc>
      </w:tr>
      <w:tr w:rsidTr="00DA6C2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18</w:t>
            </w:r>
          </w:p>
        </w:tc>
        <w:tc>
          <w:tcPr>
            <w:tcW w:w="6006" w:type="dxa"/>
            <w:gridSpan w:val="4"/>
            <w:tcBorders>
              <w:top w:val="nil"/>
              <w:left w:val="nil"/>
              <w:bottom w:val="nil"/>
              <w:right w:val="nil"/>
            </w:tcBorders>
            <w:tcMar>
              <w:top w:w="0" w:type="dxa"/>
              <w:left w:w="62" w:type="dxa"/>
              <w:bottom w:w="0" w:type="dxa"/>
              <w:right w:w="62" w:type="dxa"/>
            </w:tcMar>
          </w:tcPr>
          <w:p w:rsidR="00000000" w:rsidRPr="00D92F9D" w:rsidP="00D92F9D">
            <w:pPr>
              <w:pStyle w:val="BodyText"/>
            </w:pPr>
            <w:r w:rsidRPr="00D92F9D">
              <w:t>relevant Australian and international standards</w:t>
            </w:r>
          </w:p>
        </w:tc>
      </w:tr>
    </w:tbl>
    <w:p w:rsidR="00000000" w:rsidRPr="00D92F9D" w:rsidP="00D92F9D">
      <w:pPr>
        <w:pStyle w:val="BodyText"/>
      </w:pPr>
    </w:p>
    <w:tbl>
      <w:tblPr>
        <w:tblW w:w="0" w:type="auto"/>
        <w:tblLayout w:type="fixed"/>
        <w:tblCellMar>
          <w:left w:w="62" w:type="dxa"/>
          <w:right w:w="62" w:type="dxa"/>
        </w:tblCellMar>
        <w:tblLook w:val="0000"/>
      </w:tblPr>
      <w:tblGrid>
        <w:gridCol w:w="346"/>
        <w:gridCol w:w="1747"/>
        <w:gridCol w:w="354"/>
        <w:gridCol w:w="3614"/>
        <w:gridCol w:w="2474"/>
        <w:gridCol w:w="14"/>
      </w:tblGrid>
      <w:tr w:rsidTr="00DA6C2A">
        <w:tblPrEx>
          <w:tblW w:w="0" w:type="auto"/>
          <w:tblLayout w:type="fixed"/>
          <w:tblCellMar>
            <w:left w:w="62" w:type="dxa"/>
            <w:right w:w="62" w:type="dxa"/>
          </w:tblCellMar>
          <w:tblLook w:val="0000"/>
        </w:tblPrEx>
        <w:trPr>
          <w:gridAfter w:val="2"/>
          <w:wAfter w:w="2488" w:type="dxa"/>
          <w:tblHeader/>
        </w:trPr>
        <w:tc>
          <w:tcPr>
            <w:tcW w:w="6061" w:type="dxa"/>
            <w:gridSpan w:val="4"/>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D92F9D" w:rsidP="00D92F9D">
            <w:pPr>
              <w:pStyle w:val="BodyText"/>
            </w:pPr>
            <w:r w:rsidRPr="00D92F9D">
              <w:rPr>
                <w:rStyle w:val="SpecialBold"/>
              </w:rPr>
              <w:t>Range Statement</w:t>
            </w:r>
            <w:r w:rsidRPr="00D92F9D">
              <w:t xml:space="preserve"> (</w:t>
            </w:r>
            <w:r w:rsidRPr="00D92F9D">
              <w:rPr>
                <w:rStyle w:val="SpecialBold"/>
              </w:rPr>
              <w:t>continued</w:t>
            </w:r>
            <w:r w:rsidRPr="00D92F9D">
              <w:t xml:space="preserve">) </w:t>
            </w:r>
          </w:p>
          <w:p w:rsidR="00000000" w:rsidP="00D92F9D">
            <w:pPr>
              <w:pStyle w:val="BodyText"/>
              <w:rPr>
                <w:lang w:val="en-NZ"/>
              </w:rPr>
            </w:pPr>
            <w:r w:rsidRPr="00D92F9D">
              <w:rPr>
                <w:rStyle w:val="SpecialBold"/>
              </w:rPr>
              <w:t>TDMMH107B PLAN A VOYAGE AND CONDUCT NAVIGATION</w:t>
            </w:r>
          </w:p>
        </w:tc>
      </w:tr>
      <w:tr w:rsidTr="00DA6C2A">
        <w:tblPrEx>
          <w:tblW w:w="0" w:type="auto"/>
          <w:tblLayout w:type="fixed"/>
          <w:tblCellMar>
            <w:left w:w="62" w:type="dxa"/>
            <w:right w:w="62" w:type="dxa"/>
          </w:tblCellMar>
          <w:tblLook w:val="0000"/>
        </w:tblPrEx>
        <w:tc>
          <w:tcPr>
            <w:tcW w:w="2093"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D92F9D" w:rsidP="00D92F9D">
            <w:pPr>
              <w:pStyle w:val="BodyText"/>
            </w:pPr>
          </w:p>
          <w:p w:rsidR="00000000" w:rsidRPr="00D92F9D" w:rsidP="00D92F9D">
            <w:pPr>
              <w:pStyle w:val="BodyText"/>
            </w:pPr>
            <w:r w:rsidRPr="00D92F9D">
              <w:rPr>
                <w:rStyle w:val="SpecialBold"/>
              </w:rPr>
              <w:t>VARIABLE</w:t>
            </w:r>
          </w:p>
        </w:tc>
        <w:tc>
          <w:tcPr>
            <w:tcW w:w="6456"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D92F9D">
            <w:pPr>
              <w:pStyle w:val="BodyText"/>
              <w:rPr>
                <w:lang w:val="en-NZ"/>
              </w:rPr>
            </w:pPr>
            <w:r w:rsidRPr="00D92F9D">
              <w:rPr>
                <w:rStyle w:val="SpecialBold"/>
              </w:rPr>
              <w:t>SCOPE</w:t>
            </w:r>
          </w:p>
        </w:tc>
      </w:tr>
      <w:tr w:rsidTr="00DA6C2A">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A6C2A">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D92F9D" w:rsidP="00D92F9D">
            <w:pPr>
              <w:pStyle w:val="BodyText"/>
            </w:pPr>
            <w:r w:rsidRPr="00D92F9D">
              <w:rPr>
                <w:rStyle w:val="SpecialBold"/>
              </w:rPr>
              <w:t>f</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D92F9D">
            <w:pPr>
              <w:pStyle w:val="BodyText"/>
              <w:rPr>
                <w:lang w:val="en-NZ"/>
              </w:rPr>
            </w:pPr>
            <w:r w:rsidRPr="00D92F9D">
              <w:rPr>
                <w:rStyle w:val="SpecialBold"/>
              </w:rPr>
              <w:t>Applicable legislation</w:t>
            </w:r>
            <w:r w:rsidRPr="00D92F9D">
              <w:t xml:space="preserve">, </w:t>
            </w:r>
            <w:r w:rsidRPr="00D92F9D">
              <w:rPr>
                <w:rStyle w:val="SpecialBold"/>
              </w:rPr>
              <w:t>regulations and codes may include</w:t>
            </w:r>
            <w:r w:rsidRPr="00D92F9D">
              <w:t>:</w:t>
            </w:r>
          </w:p>
        </w:tc>
        <w:tc>
          <w:tcPr>
            <w:tcW w:w="354" w:type="dxa"/>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1</w:t>
            </w:r>
          </w:p>
        </w:tc>
        <w:tc>
          <w:tcPr>
            <w:tcW w:w="6088" w:type="dxa"/>
            <w:gridSpan w:val="2"/>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IMO STCW Convention and Code related to vessels of 500 gross tonnage or more</w:t>
            </w:r>
          </w:p>
        </w:tc>
      </w:tr>
      <w:tr w:rsidTr="00DA6C2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2</w:t>
            </w:r>
          </w:p>
        </w:tc>
        <w:tc>
          <w:tcPr>
            <w:tcW w:w="6088" w:type="dxa"/>
            <w:gridSpan w:val="2"/>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relevant sections of AMSA Marine Orders</w:t>
            </w:r>
          </w:p>
        </w:tc>
      </w:tr>
      <w:tr w:rsidTr="00DA6C2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88" w:type="dxa"/>
            <w:gridSpan w:val="2"/>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International Regulations for Preventing Collisions at Sea</w:t>
            </w:r>
          </w:p>
        </w:tc>
      </w:tr>
      <w:tr w:rsidTr="00DA6C2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88" w:type="dxa"/>
            <w:gridSpan w:val="2"/>
            <w:tcBorders>
              <w:top w:val="nil"/>
              <w:left w:val="nil"/>
              <w:bottom w:val="nil"/>
              <w:right w:val="nil"/>
            </w:tcBorders>
            <w:tcMar>
              <w:top w:w="0" w:type="dxa"/>
              <w:left w:w="62" w:type="dxa"/>
              <w:bottom w:w="0" w:type="dxa"/>
              <w:right w:w="62" w:type="dxa"/>
            </w:tcMar>
          </w:tcPr>
          <w:p w:rsidR="00000000" w:rsidP="00D92F9D">
            <w:pPr>
              <w:pStyle w:val="BodyText"/>
              <w:rPr>
                <w:lang w:val="en-NZ"/>
              </w:rPr>
            </w:pPr>
            <w:r w:rsidRPr="00D92F9D">
              <w:t>relevant international, Commonwealth, State and Territory OH&amp;S legislation</w:t>
            </w:r>
          </w:p>
        </w:tc>
      </w:tr>
      <w:tr w:rsidTr="00DA6C2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D92F9D">
            <w:pPr>
              <w:pStyle w:val="BodyText"/>
              <w:rPr>
                <w:lang w:val="en-NZ"/>
              </w:rPr>
            </w:pPr>
            <w:r w:rsidRPr="00D92F9D">
              <w:t>3</w:t>
            </w:r>
          </w:p>
        </w:tc>
        <w:tc>
          <w:tcPr>
            <w:tcW w:w="6088" w:type="dxa"/>
            <w:gridSpan w:val="2"/>
            <w:tcBorders>
              <w:top w:val="nil"/>
              <w:left w:val="nil"/>
              <w:bottom w:val="nil"/>
              <w:right w:val="nil"/>
            </w:tcBorders>
            <w:tcMar>
              <w:top w:w="0" w:type="dxa"/>
              <w:left w:w="62" w:type="dxa"/>
              <w:bottom w:w="0" w:type="dxa"/>
              <w:right w:w="62" w:type="dxa"/>
            </w:tcMar>
          </w:tcPr>
          <w:p w:rsidR="00000000" w:rsidRPr="00D92F9D" w:rsidP="00D92F9D">
            <w:pPr>
              <w:pStyle w:val="BodyText"/>
            </w:pPr>
            <w:r w:rsidRPr="00D92F9D">
              <w:t>Guidelines and Criteria for Ship Reporting Systems</w:t>
            </w:r>
          </w:p>
        </w:tc>
      </w:tr>
    </w:tbl>
    <w:p w:rsidR="00000000" w:rsidRPr="00D92F9D" w:rsidP="00D92F9D">
      <w:pPr>
        <w:pStyle w:val="BodyText"/>
      </w:pPr>
    </w:p>
    <w:p w:rsidR="00000000" w:rsidRPr="00D92F9D" w:rsidP="00D92F9D">
      <w:pPr>
        <w:pStyle w:val="AllowPageBreak"/>
      </w:pPr>
    </w:p>
    <w:p w:rsidR="00000000" w:rsidRPr="00D92F9D" w:rsidP="00D92F9D">
      <w:pPr>
        <w:pStyle w:val="Heading1"/>
      </w:pPr>
      <w:bookmarkStart w:id="12" w:name="O_151490"/>
      <w:bookmarkEnd w:id="12"/>
      <w:r w:rsidRPr="00D92F9D">
        <w:t>Unit Sector(s)</w:t>
      </w:r>
    </w:p>
    <w:p w:rsidR="00000000" w:rsidRPr="00D92F9D" w:rsidP="00D92F9D">
      <w:pPr>
        <w:pStyle w:val="BodyText"/>
      </w:pPr>
      <w:r w:rsidRPr="00D92F9D">
        <w:t>Not applicable.</w:t>
      </w:r>
    </w:p>
    <w:p w:rsidR="00000000" w:rsidRPr="00D92F9D" w:rsidP="00D92F9D">
      <w:pPr>
        <w:pStyle w:val="AllowPageBreak"/>
      </w:pPr>
    </w:p>
    <w:p w:rsidR="00000000" w:rsidRPr="00D92F9D" w:rsidP="00D92F9D">
      <w:pPr>
        <w:pStyle w:val="Heading1"/>
      </w:pPr>
      <w:bookmarkStart w:id="13" w:name="O_163812"/>
      <w:bookmarkEnd w:id="13"/>
      <w:r w:rsidRPr="00D92F9D">
        <w:t>Field</w:t>
      </w:r>
    </w:p>
    <w:p w:rsidR="00DA6C2A" w:rsidP="00D92F9D">
      <w:pPr>
        <w:pStyle w:val="BodyText"/>
      </w:pPr>
      <w:r w:rsidRPr="00D92F9D">
        <w:t>Field</w:t>
      </w:r>
      <w:r w:rsidRPr="00D92F9D">
        <w:tab/>
        <w:t>MH</w:t>
      </w:r>
      <w:r w:rsidRPr="00D92F9D">
        <w:tab/>
        <w:t>Navigation</w:t>
      </w:r>
    </w:p>
    <w:p w:rsidR="00DA6C2A" w:rsidP="00D92F9D">
      <w:pPr>
        <w:pStyle w:val="BodyText"/>
      </w:pPr>
    </w:p>
    <w:p w:rsidR="00000000" w:rsidRPr="00D92F9D" w:rsidP="00D92F9D">
      <w:pPr>
        <w:pStyle w:val="Heading1"/>
      </w:pPr>
      <w:bookmarkStart w:id="14" w:name="O_163813"/>
      <w:bookmarkEnd w:id="14"/>
      <w:r w:rsidRPr="00D92F9D">
        <w:t>Relationship to other units</w:t>
      </w:r>
    </w:p>
    <w:tbl>
      <w:tblPr>
        <w:tblW w:w="0" w:type="auto"/>
        <w:tblLayout w:type="fixed"/>
        <w:tblCellMar>
          <w:left w:w="62" w:type="dxa"/>
          <w:right w:w="62" w:type="dxa"/>
        </w:tblCellMar>
        <w:tblLook w:val="0000"/>
      </w:tblPr>
      <w:tblGrid>
        <w:gridCol w:w="1974"/>
        <w:gridCol w:w="6481"/>
      </w:tblGrid>
      <w:tr w:rsidTr="00DA6C2A">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F9D">
            <w:pPr>
              <w:pStyle w:val="BodyText"/>
              <w:rPr>
                <w:lang w:val="en-NZ"/>
              </w:rPr>
            </w:pPr>
            <w:r w:rsidRPr="00D92F9D">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F9D" w:rsidP="00D92F9D">
            <w:pPr>
              <w:pStyle w:val="BodyText"/>
            </w:pPr>
            <w:r w:rsidRPr="00D92F9D">
              <w:t>The unit may be assessed in conjunction with other units that relate to the functions of the occupation(s) concerned.</w:t>
            </w:r>
          </w:p>
        </w:tc>
      </w:tr>
    </w:tbl>
    <w:p w:rsidR="00000000" w:rsidRPr="00D92F9D" w:rsidP="00D92F9D">
      <w:pPr>
        <w:pStyle w:val="BodyText"/>
      </w:pPr>
    </w:p>
    <w:p w:rsidR="00000000" w:rsidRPr="00D92F9D" w:rsidP="00D92F9D"/>
    <w:sectPr w:rsidSect="00D92F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F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F9D" w:rsidRPr="00DA6C2A" w:rsidP="00DA6C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F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C2A" w:rsidP="00D92F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A6C2A" w:rsidP="00D92F9D">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A6C2A" w:rsidP="00D92F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F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F9D" w:rsidRPr="00DA6C2A" w:rsidP="00DA6C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F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C2A" w:rsidRPr="002D2AF8" w:rsidP="00D92F9D">
    <w:pPr>
      <w:pStyle w:val="Header"/>
      <w:framePr w:wrap="around"/>
    </w:pPr>
    <w:r>
      <w:fldChar w:fldCharType="begin"/>
    </w:r>
    <w:r>
      <w:instrText xml:space="preserve"> TITLE   \* MERGEFORMAT </w:instrText>
    </w:r>
    <w:r>
      <w:fldChar w:fldCharType="separate"/>
    </w:r>
    <w:r>
      <w:t>TDMMH107B PLAN A VOYAGE AND CONDUCT NAVIGATION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2014</w:t>
    </w:r>
    <w:r>
      <w:fldChar w:fldCharType="end"/>
    </w:r>
  </w:p>
  <w:p w:rsidR="00DA6C2A" w:rsidP="00D92F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F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2F9D"/>
    <w:pPr>
      <w:spacing w:before="360" w:after="60"/>
      <w:outlineLvl w:val="0"/>
    </w:pPr>
    <w:rPr>
      <w:sz w:val="32"/>
    </w:rPr>
  </w:style>
  <w:style w:type="paragraph" w:styleId="Heading2">
    <w:name w:val="heading 2"/>
    <w:basedOn w:val="HeadingBase"/>
    <w:next w:val="BodyText"/>
    <w:link w:val="Heading2Char"/>
    <w:qFormat/>
    <w:rsid w:val="00D92F9D"/>
    <w:pPr>
      <w:keepLines/>
      <w:spacing w:before="240" w:after="120"/>
      <w:outlineLvl w:val="1"/>
    </w:pPr>
    <w:rPr>
      <w:sz w:val="28"/>
      <w:szCs w:val="40"/>
    </w:rPr>
  </w:style>
  <w:style w:type="paragraph" w:styleId="Heading3">
    <w:name w:val="heading 3"/>
    <w:basedOn w:val="HeadingBase"/>
    <w:next w:val="BodyText"/>
    <w:link w:val="Heading3Char"/>
    <w:qFormat/>
    <w:rsid w:val="00D92F9D"/>
    <w:pPr>
      <w:spacing w:before="180" w:after="120"/>
      <w:outlineLvl w:val="2"/>
    </w:pPr>
    <w:rPr>
      <w:spacing w:val="-10"/>
      <w:kern w:val="32"/>
    </w:rPr>
  </w:style>
  <w:style w:type="paragraph" w:styleId="Heading4">
    <w:name w:val="heading 4"/>
    <w:basedOn w:val="HeadingBase"/>
    <w:next w:val="BodyText"/>
    <w:link w:val="Heading4Char"/>
    <w:qFormat/>
    <w:rsid w:val="00D92F9D"/>
    <w:pPr>
      <w:spacing w:before="160" w:after="120"/>
      <w:outlineLvl w:val="3"/>
    </w:pPr>
    <w:rPr>
      <w:sz w:val="22"/>
    </w:rPr>
  </w:style>
  <w:style w:type="paragraph" w:styleId="Heading5">
    <w:name w:val="heading 5"/>
    <w:basedOn w:val="HeadingBase"/>
    <w:next w:val="Normal"/>
    <w:link w:val="Heading5Char"/>
    <w:qFormat/>
    <w:rsid w:val="00D92F9D"/>
    <w:pPr>
      <w:spacing w:before="80"/>
      <w:outlineLvl w:val="4"/>
    </w:pPr>
    <w:rPr>
      <w:color w:val="918585"/>
      <w:sz w:val="20"/>
    </w:rPr>
  </w:style>
  <w:style w:type="paragraph" w:styleId="Heading6">
    <w:name w:val="heading 6"/>
    <w:basedOn w:val="HeadingBase"/>
    <w:next w:val="Normal"/>
    <w:link w:val="Heading6Char"/>
    <w:qFormat/>
    <w:rsid w:val="00D92F9D"/>
    <w:pPr>
      <w:spacing w:before="60"/>
      <w:outlineLvl w:val="5"/>
    </w:pPr>
    <w:rPr>
      <w:color w:val="918585"/>
      <w:sz w:val="20"/>
    </w:rPr>
  </w:style>
  <w:style w:type="paragraph" w:styleId="Heading7">
    <w:name w:val="heading 7"/>
    <w:basedOn w:val="Normal"/>
    <w:next w:val="Normal"/>
    <w:link w:val="Heading7Char"/>
    <w:qFormat/>
    <w:rsid w:val="00D92F9D"/>
    <w:pPr>
      <w:ind w:left="720"/>
      <w:outlineLvl w:val="6"/>
    </w:pPr>
    <w:rPr>
      <w:i/>
    </w:rPr>
  </w:style>
  <w:style w:type="paragraph" w:styleId="Heading8">
    <w:name w:val="heading 8"/>
    <w:basedOn w:val="Normal"/>
    <w:next w:val="Normal"/>
    <w:link w:val="Heading8Char"/>
    <w:qFormat/>
    <w:rsid w:val="00D92F9D"/>
    <w:pPr>
      <w:ind w:left="720"/>
      <w:outlineLvl w:val="7"/>
    </w:pPr>
    <w:rPr>
      <w:i/>
    </w:rPr>
  </w:style>
  <w:style w:type="paragraph" w:styleId="Heading9">
    <w:name w:val="heading 9"/>
    <w:basedOn w:val="Normal"/>
    <w:next w:val="Normal"/>
    <w:link w:val="Heading9Char"/>
    <w:qFormat/>
    <w:rsid w:val="00D92F9D"/>
    <w:pPr>
      <w:ind w:left="720"/>
      <w:outlineLvl w:val="8"/>
    </w:pPr>
    <w:rPr>
      <w:i/>
    </w:rPr>
  </w:style>
  <w:style w:type="character" w:default="1" w:styleId="DefaultParagraphFont">
    <w:name w:val="Default Paragraph Font"/>
    <w:uiPriority w:val="1"/>
    <w:unhideWhenUsed/>
    <w:rsid w:val="00D92F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2F9D"/>
  </w:style>
  <w:style w:type="character" w:customStyle="1" w:styleId="Heading1Char">
    <w:name w:val="Heading 1 Char"/>
    <w:basedOn w:val="DefaultParagraphFont"/>
    <w:link w:val="Heading1"/>
    <w:rsid w:val="00D92F9D"/>
    <w:rPr>
      <w:rFonts w:ascii="Times New Roman" w:eastAsia="Times New Roman" w:hAnsi="Times New Roman" w:cs="Times New Roman"/>
      <w:b/>
      <w:sz w:val="32"/>
      <w:szCs w:val="20"/>
      <w:lang w:eastAsia="en-US"/>
    </w:rPr>
  </w:style>
  <w:style w:type="paragraph" w:styleId="BodyText">
    <w:name w:val="Body Text"/>
    <w:basedOn w:val="Normal"/>
    <w:link w:val="BodyTextChar"/>
    <w:rsid w:val="00D92F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2F9D"/>
    <w:rPr>
      <w:rFonts w:ascii="Times New Roman" w:eastAsia="Times New Roman" w:hAnsi="Times New Roman" w:cs="Times New Roman"/>
      <w:sz w:val="24"/>
      <w:lang w:eastAsia="en-US"/>
    </w:rPr>
  </w:style>
  <w:style w:type="character" w:customStyle="1" w:styleId="SpecialBold">
    <w:name w:val="Special Bold"/>
    <w:basedOn w:val="DefaultParagraphFont"/>
    <w:rsid w:val="00D92F9D"/>
    <w:rPr>
      <w:b/>
      <w:spacing w:val="0"/>
    </w:rPr>
  </w:style>
  <w:style w:type="character" w:styleId="Emphasis">
    <w:name w:val="Emphasis"/>
    <w:basedOn w:val="DefaultParagraphFont"/>
    <w:qFormat/>
    <w:rsid w:val="00D92F9D"/>
    <w:rPr>
      <w:i/>
    </w:rPr>
  </w:style>
  <w:style w:type="paragraph" w:customStyle="1" w:styleId="SuperHeading">
    <w:name w:val="SuperHeading"/>
    <w:basedOn w:val="Normal"/>
    <w:rsid w:val="00D92F9D"/>
    <w:pPr>
      <w:spacing w:before="240" w:after="120"/>
      <w:outlineLvl w:val="0"/>
    </w:pPr>
    <w:rPr>
      <w:rFonts w:ascii="Times New Roman" w:hAnsi="Times New Roman"/>
      <w:b/>
      <w:sz w:val="32"/>
    </w:rPr>
  </w:style>
  <w:style w:type="paragraph" w:customStyle="1" w:styleId="AllowPageBreak">
    <w:name w:val="AllowPageBreak"/>
    <w:rsid w:val="00D92F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2F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2F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2F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2F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2F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2F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2F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2F9D"/>
    <w:rPr>
      <w:rFonts w:ascii="Courier New" w:eastAsia="Times New Roman" w:hAnsi="Courier New" w:cs="Times New Roman"/>
      <w:i/>
      <w:szCs w:val="20"/>
      <w:lang w:eastAsia="en-US"/>
    </w:rPr>
  </w:style>
  <w:style w:type="paragraph" w:customStyle="1" w:styleId="HeadingBase">
    <w:name w:val="Heading Base"/>
    <w:rsid w:val="00D92F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2F9D"/>
    <w:pPr>
      <w:tabs>
        <w:tab w:val="right" w:leader="dot" w:pos="9072"/>
      </w:tabs>
      <w:ind w:left="567"/>
    </w:pPr>
    <w:rPr>
      <w:szCs w:val="22"/>
    </w:rPr>
  </w:style>
  <w:style w:type="paragraph" w:customStyle="1" w:styleId="TOCBase">
    <w:name w:val="TOC Base"/>
    <w:rsid w:val="00D92F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2F9D"/>
    <w:pPr>
      <w:tabs>
        <w:tab w:val="right" w:leader="dot" w:pos="9072"/>
      </w:tabs>
      <w:spacing w:before="40" w:after="40"/>
      <w:ind w:left="284"/>
    </w:pPr>
    <w:rPr>
      <w:rFonts w:ascii="Times New Roman" w:hAnsi="Times New Roman"/>
    </w:rPr>
  </w:style>
  <w:style w:type="paragraph" w:styleId="TOC1">
    <w:name w:val="toc 1"/>
    <w:basedOn w:val="TOCBase"/>
    <w:next w:val="Normal"/>
    <w:rsid w:val="00D92F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2F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2F9D"/>
    <w:rPr>
      <w:rFonts w:ascii="Times New Roman" w:eastAsia="Times New Roman" w:hAnsi="Times New Roman" w:cs="Times New Roman"/>
      <w:sz w:val="16"/>
      <w:lang w:eastAsia="en-US"/>
    </w:rPr>
  </w:style>
  <w:style w:type="paragraph" w:styleId="Title">
    <w:name w:val="Title"/>
    <w:basedOn w:val="HeadingBase"/>
    <w:link w:val="TitleChar"/>
    <w:qFormat/>
    <w:rsid w:val="00D92F9D"/>
    <w:pPr>
      <w:spacing w:before="5040"/>
      <w:jc w:val="center"/>
    </w:pPr>
    <w:rPr>
      <w:sz w:val="48"/>
      <w:szCs w:val="72"/>
      <w:lang w:val="en-US"/>
    </w:rPr>
  </w:style>
  <w:style w:type="character" w:customStyle="1" w:styleId="TitleChar">
    <w:name w:val="Title Char"/>
    <w:basedOn w:val="DefaultParagraphFont"/>
    <w:link w:val="Title"/>
    <w:rsid w:val="00D92F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2F9D"/>
    <w:pPr>
      <w:tabs>
        <w:tab w:val="left" w:pos="3600"/>
        <w:tab w:val="left" w:pos="3958"/>
      </w:tabs>
    </w:pPr>
  </w:style>
  <w:style w:type="paragraph" w:styleId="List">
    <w:name w:val="List"/>
    <w:basedOn w:val="BodyText"/>
    <w:next w:val="BodyText"/>
    <w:rsid w:val="00D92F9D"/>
    <w:pPr>
      <w:tabs>
        <w:tab w:val="left" w:pos="340"/>
      </w:tabs>
      <w:spacing w:before="60" w:after="60"/>
      <w:ind w:left="340" w:hanging="340"/>
    </w:pPr>
  </w:style>
  <w:style w:type="paragraph" w:styleId="ListBullet">
    <w:name w:val="List Bullet"/>
    <w:basedOn w:val="List"/>
    <w:rsid w:val="00D92F9D"/>
    <w:pPr>
      <w:numPr>
        <w:numId w:val="11"/>
      </w:numPr>
      <w:tabs>
        <w:tab w:val="clear" w:pos="340"/>
      </w:tabs>
      <w:spacing w:before="40" w:after="40"/>
    </w:pPr>
  </w:style>
  <w:style w:type="paragraph" w:customStyle="1" w:styleId="Note">
    <w:name w:val="Note"/>
    <w:basedOn w:val="BodyText"/>
    <w:rsid w:val="00D92F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2F9D"/>
    <w:pPr>
      <w:framePr w:wrap="auto" w:hAnchor="text" w:y="6049"/>
    </w:pPr>
    <w:rPr>
      <w:color w:val="000000"/>
      <w:sz w:val="40"/>
    </w:rPr>
  </w:style>
  <w:style w:type="paragraph" w:customStyle="1" w:styleId="TOCTitle">
    <w:name w:val="TOCTitle"/>
    <w:basedOn w:val="Heading1"/>
    <w:rsid w:val="00D92F9D"/>
    <w:pPr>
      <w:spacing w:after="240"/>
      <w:jc w:val="center"/>
      <w:outlineLvl w:val="9"/>
    </w:pPr>
    <w:rPr>
      <w:caps/>
    </w:rPr>
  </w:style>
  <w:style w:type="paragraph" w:customStyle="1" w:styleId="Version">
    <w:name w:val="Version"/>
    <w:rsid w:val="00D92F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2F9D"/>
    <w:pPr>
      <w:numPr>
        <w:numId w:val="12"/>
      </w:numPr>
      <w:tabs>
        <w:tab w:val="clear" w:pos="680"/>
      </w:tabs>
    </w:pPr>
  </w:style>
  <w:style w:type="paragraph" w:styleId="Index1">
    <w:name w:val="index 1"/>
    <w:basedOn w:val="Normal"/>
    <w:next w:val="Normal"/>
    <w:semiHidden/>
    <w:rsid w:val="00D92F9D"/>
    <w:pPr>
      <w:keepNext w:val="0"/>
      <w:tabs>
        <w:tab w:val="right" w:pos="4176"/>
      </w:tabs>
      <w:ind w:left="198" w:hanging="198"/>
    </w:pPr>
    <w:rPr>
      <w:rFonts w:ascii="Garamond" w:hAnsi="Garamond"/>
    </w:rPr>
  </w:style>
  <w:style w:type="paragraph" w:styleId="IndexHeading">
    <w:name w:val="index heading"/>
    <w:basedOn w:val="Normal"/>
    <w:next w:val="Index1"/>
    <w:semiHidden/>
    <w:rsid w:val="00D92F9D"/>
    <w:pPr>
      <w:spacing w:before="120" w:after="120"/>
    </w:pPr>
    <w:rPr>
      <w:rFonts w:ascii="Arial" w:hAnsi="Arial"/>
      <w:b/>
      <w:color w:val="918585"/>
      <w:sz w:val="24"/>
    </w:rPr>
  </w:style>
  <w:style w:type="paragraph" w:styleId="Header">
    <w:name w:val="header"/>
    <w:basedOn w:val="Normal"/>
    <w:link w:val="HeaderChar"/>
    <w:rsid w:val="00D92F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2F9D"/>
    <w:rPr>
      <w:rFonts w:ascii="Times New Roman" w:eastAsia="Times New Roman" w:hAnsi="Times New Roman" w:cs="Times New Roman"/>
      <w:sz w:val="16"/>
      <w:szCs w:val="20"/>
      <w:lang w:val="en-GB" w:eastAsia="en-US"/>
    </w:rPr>
  </w:style>
  <w:style w:type="paragraph" w:customStyle="1" w:styleId="Chapter">
    <w:name w:val="Chapter"/>
    <w:basedOn w:val="Normal"/>
    <w:rsid w:val="00D92F9D"/>
    <w:pPr>
      <w:spacing w:before="240"/>
    </w:pPr>
    <w:rPr>
      <w:rFonts w:ascii="Times New Roman" w:hAnsi="Times New Roman"/>
      <w:smallCaps/>
      <w:spacing w:val="80"/>
      <w:sz w:val="28"/>
    </w:rPr>
  </w:style>
  <w:style w:type="paragraph" w:customStyle="1" w:styleId="InChapter">
    <w:name w:val="InChapter"/>
    <w:basedOn w:val="Heading3"/>
    <w:rsid w:val="00D92F9D"/>
    <w:pPr>
      <w:spacing w:after="240"/>
      <w:outlineLvl w:val="9"/>
    </w:pPr>
    <w:rPr>
      <w:noProof/>
    </w:rPr>
  </w:style>
  <w:style w:type="paragraph" w:styleId="Index2">
    <w:name w:val="index 2"/>
    <w:basedOn w:val="Normal"/>
    <w:next w:val="Normal"/>
    <w:semiHidden/>
    <w:rsid w:val="00D92F9D"/>
    <w:pPr>
      <w:tabs>
        <w:tab w:val="right" w:pos="4176"/>
      </w:tabs>
      <w:ind w:left="568" w:hanging="284"/>
    </w:pPr>
    <w:rPr>
      <w:rFonts w:ascii="Garamond" w:hAnsi="Garamond"/>
    </w:rPr>
  </w:style>
  <w:style w:type="paragraph" w:customStyle="1" w:styleId="Byline">
    <w:name w:val="Byline"/>
    <w:rsid w:val="00D92F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2F9D"/>
    <w:pPr>
      <w:tabs>
        <w:tab w:val="clear" w:pos="3600"/>
        <w:tab w:val="clear" w:pos="3958"/>
      </w:tabs>
      <w:jc w:val="right"/>
    </w:pPr>
  </w:style>
  <w:style w:type="paragraph" w:styleId="Caption">
    <w:name w:val="caption"/>
    <w:basedOn w:val="BodyText"/>
    <w:next w:val="Normal"/>
    <w:qFormat/>
    <w:rsid w:val="00D92F9D"/>
    <w:pPr>
      <w:framePr w:w="2268" w:hSpace="181" w:vSpace="181" w:wrap="around" w:vAnchor="text" w:hAnchor="page" w:x="1135" w:y="285" w:anchorLock="1"/>
    </w:pPr>
    <w:rPr>
      <w:i/>
    </w:rPr>
  </w:style>
  <w:style w:type="paragraph" w:customStyle="1" w:styleId="MiniTOCTitle">
    <w:name w:val="MiniTOCTitle"/>
    <w:basedOn w:val="Heading4"/>
    <w:rsid w:val="00D92F9D"/>
    <w:pPr>
      <w:spacing w:before="240"/>
      <w:outlineLvl w:val="9"/>
    </w:pPr>
    <w:rPr>
      <w:noProof/>
      <w:sz w:val="24"/>
    </w:rPr>
  </w:style>
  <w:style w:type="paragraph" w:customStyle="1" w:styleId="MiniTOCItem">
    <w:name w:val="MiniTOCItem"/>
    <w:basedOn w:val="ListBullet"/>
    <w:rsid w:val="00D92F9D"/>
    <w:pPr>
      <w:numPr>
        <w:numId w:val="0"/>
      </w:numPr>
      <w:tabs>
        <w:tab w:val="right" w:leader="dot" w:pos="6521"/>
      </w:tabs>
      <w:spacing w:before="0" w:after="0"/>
    </w:pPr>
  </w:style>
  <w:style w:type="paragraph" w:customStyle="1" w:styleId="TOFTitle">
    <w:name w:val="TOFTitle"/>
    <w:basedOn w:val="TOCTitle"/>
    <w:rsid w:val="00D92F9D"/>
  </w:style>
  <w:style w:type="paragraph" w:styleId="TableofFigures">
    <w:name w:val="table of figures"/>
    <w:basedOn w:val="Normal"/>
    <w:next w:val="Normal"/>
    <w:semiHidden/>
    <w:rsid w:val="00D92F9D"/>
    <w:pPr>
      <w:tabs>
        <w:tab w:val="right" w:leader="dot" w:pos="9072"/>
      </w:tabs>
      <w:ind w:left="970" w:hanging="403"/>
    </w:pPr>
    <w:rPr>
      <w:rFonts w:ascii="Times New Roman" w:hAnsi="Times New Roman"/>
      <w:b/>
    </w:rPr>
  </w:style>
  <w:style w:type="paragraph" w:styleId="ListNumber">
    <w:name w:val="List Number"/>
    <w:basedOn w:val="List"/>
    <w:rsid w:val="00D92F9D"/>
    <w:pPr>
      <w:numPr>
        <w:numId w:val="9"/>
      </w:numPr>
    </w:pPr>
  </w:style>
  <w:style w:type="character" w:customStyle="1" w:styleId="WingdingSymbols">
    <w:name w:val="Wingding Symbols"/>
    <w:rsid w:val="00D92F9D"/>
    <w:rPr>
      <w:rFonts w:ascii="Wingdings" w:hAnsi="Wingdings"/>
    </w:rPr>
  </w:style>
  <w:style w:type="paragraph" w:customStyle="1" w:styleId="TableHeading">
    <w:name w:val="Table Heading"/>
    <w:basedOn w:val="HeadingBase"/>
    <w:rsid w:val="00D92F9D"/>
    <w:pPr>
      <w:keepLines/>
      <w:pBdr>
        <w:bottom w:val="single" w:sz="6" w:space="1" w:color="918585"/>
      </w:pBdr>
      <w:spacing w:before="240"/>
    </w:pPr>
  </w:style>
  <w:style w:type="character" w:customStyle="1" w:styleId="HotSpot">
    <w:name w:val="HotSpot"/>
    <w:rsid w:val="00D92F9D"/>
    <w:rPr>
      <w:color w:val="0033CC"/>
      <w:u w:val="none"/>
    </w:rPr>
  </w:style>
  <w:style w:type="paragraph" w:customStyle="1" w:styleId="BodyTextRight">
    <w:name w:val="Body Text Right"/>
    <w:basedOn w:val="BodyText"/>
    <w:rsid w:val="00D92F9D"/>
    <w:pPr>
      <w:spacing w:before="0" w:after="0"/>
      <w:jc w:val="right"/>
    </w:pPr>
  </w:style>
  <w:style w:type="paragraph" w:styleId="Index3">
    <w:name w:val="index 3"/>
    <w:basedOn w:val="ListNumber2"/>
    <w:next w:val="Normal"/>
    <w:semiHidden/>
    <w:rsid w:val="00D92F9D"/>
    <w:pPr>
      <w:numPr>
        <w:numId w:val="0"/>
      </w:numPr>
      <w:tabs>
        <w:tab w:val="right" w:leader="dot" w:pos="4176"/>
      </w:tabs>
    </w:pPr>
  </w:style>
  <w:style w:type="paragraph" w:styleId="ListNumber2">
    <w:name w:val="List Number 2"/>
    <w:basedOn w:val="List2"/>
    <w:rsid w:val="00D92F9D"/>
    <w:pPr>
      <w:numPr>
        <w:numId w:val="8"/>
      </w:numPr>
      <w:tabs>
        <w:tab w:val="clear" w:pos="1060"/>
      </w:tabs>
    </w:pPr>
  </w:style>
  <w:style w:type="paragraph" w:customStyle="1" w:styleId="MarginNote">
    <w:name w:val="Margin Note"/>
    <w:basedOn w:val="BodyText"/>
    <w:rsid w:val="00D92F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2F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2F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2F9D"/>
    <w:rPr>
      <w:sz w:val="32"/>
    </w:rPr>
  </w:style>
  <w:style w:type="paragraph" w:customStyle="1" w:styleId="HeadingProcedure">
    <w:name w:val="Heading Procedure"/>
    <w:basedOn w:val="HeadingBase"/>
    <w:next w:val="Normal"/>
    <w:rsid w:val="00D92F9D"/>
    <w:pPr>
      <w:tabs>
        <w:tab w:val="left" w:pos="0"/>
      </w:tabs>
      <w:spacing w:before="120" w:after="60"/>
    </w:pPr>
    <w:rPr>
      <w:i/>
      <w:color w:val="918585"/>
      <w:sz w:val="22"/>
    </w:rPr>
  </w:style>
  <w:style w:type="paragraph" w:customStyle="1" w:styleId="TableBodyText">
    <w:name w:val="Table Body Text"/>
    <w:basedOn w:val="BodyText"/>
    <w:rsid w:val="00D92F9D"/>
    <w:pPr>
      <w:spacing w:before="60" w:after="60"/>
    </w:pPr>
  </w:style>
  <w:style w:type="paragraph" w:styleId="ListContinue">
    <w:name w:val="List Continue"/>
    <w:basedOn w:val="List"/>
    <w:rsid w:val="00D92F9D"/>
    <w:pPr>
      <w:ind w:firstLine="0"/>
    </w:pPr>
  </w:style>
  <w:style w:type="paragraph" w:customStyle="1" w:styleId="ListNote">
    <w:name w:val="List Note"/>
    <w:basedOn w:val="List"/>
    <w:rsid w:val="00D92F9D"/>
    <w:pPr>
      <w:pBdr>
        <w:top w:val="single" w:sz="6" w:space="2" w:color="918585"/>
        <w:bottom w:val="single" w:sz="6" w:space="2" w:color="918585"/>
      </w:pBdr>
      <w:tabs>
        <w:tab w:val="left" w:pos="1021"/>
      </w:tabs>
      <w:ind w:firstLine="0"/>
    </w:pPr>
  </w:style>
  <w:style w:type="paragraph" w:customStyle="1" w:styleId="Warning">
    <w:name w:val="Warning"/>
    <w:basedOn w:val="BodyText"/>
    <w:rsid w:val="00D92F9D"/>
    <w:pPr>
      <w:shd w:val="clear" w:color="auto" w:fill="D9D9D9"/>
      <w:tabs>
        <w:tab w:val="left" w:pos="992"/>
      </w:tabs>
      <w:ind w:left="119" w:right="119"/>
    </w:pPr>
    <w:rPr>
      <w:sz w:val="20"/>
    </w:rPr>
  </w:style>
  <w:style w:type="paragraph" w:customStyle="1" w:styleId="MarginIcons">
    <w:name w:val="Margin Icons"/>
    <w:basedOn w:val="BodyText"/>
    <w:rsid w:val="00D92F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2F9D"/>
    <w:rPr>
      <w:rFonts w:ascii="Courier New" w:hAnsi="Courier New"/>
    </w:rPr>
  </w:style>
  <w:style w:type="paragraph" w:customStyle="1" w:styleId="NoteBullet">
    <w:name w:val="Note Bullet"/>
    <w:basedOn w:val="Note"/>
    <w:rsid w:val="00D92F9D"/>
    <w:pPr>
      <w:tabs>
        <w:tab w:val="clear" w:pos="680"/>
      </w:tabs>
      <w:spacing w:before="60" w:after="60"/>
    </w:pPr>
  </w:style>
  <w:style w:type="paragraph" w:customStyle="1" w:styleId="SubHeading2">
    <w:name w:val="SubHeading2"/>
    <w:basedOn w:val="HeadingBase"/>
    <w:rsid w:val="00D92F9D"/>
    <w:pPr>
      <w:spacing w:before="240" w:after="60"/>
    </w:pPr>
    <w:rPr>
      <w:sz w:val="20"/>
    </w:rPr>
  </w:style>
  <w:style w:type="paragraph" w:customStyle="1" w:styleId="SubHeading1">
    <w:name w:val="SubHeading1"/>
    <w:basedOn w:val="HeadingBase"/>
    <w:rsid w:val="00D92F9D"/>
    <w:pPr>
      <w:spacing w:before="240" w:after="60"/>
    </w:pPr>
    <w:rPr>
      <w:color w:val="918585"/>
      <w:sz w:val="22"/>
    </w:rPr>
  </w:style>
  <w:style w:type="paragraph" w:customStyle="1" w:styleId="SideHeading">
    <w:name w:val="Side Heading"/>
    <w:basedOn w:val="HeadingBase"/>
    <w:rsid w:val="00D92F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2F9D"/>
    <w:pPr>
      <w:numPr>
        <w:numId w:val="10"/>
      </w:numPr>
    </w:pPr>
  </w:style>
  <w:style w:type="paragraph" w:styleId="PlainText">
    <w:name w:val="Plain Text"/>
    <w:basedOn w:val="Normal"/>
    <w:link w:val="PlainTextChar"/>
    <w:rsid w:val="00D92F9D"/>
    <w:rPr>
      <w:sz w:val="20"/>
    </w:rPr>
  </w:style>
  <w:style w:type="character" w:customStyle="1" w:styleId="PlainTextChar">
    <w:name w:val="Plain Text Char"/>
    <w:basedOn w:val="DefaultParagraphFont"/>
    <w:link w:val="PlainText"/>
    <w:rsid w:val="00D92F9D"/>
    <w:rPr>
      <w:rFonts w:ascii="Courier New" w:eastAsia="Times New Roman" w:hAnsi="Courier New" w:cs="Times New Roman"/>
      <w:sz w:val="20"/>
      <w:szCs w:val="20"/>
      <w:lang w:eastAsia="en-US"/>
    </w:rPr>
  </w:style>
  <w:style w:type="character" w:customStyle="1" w:styleId="MenuOption">
    <w:name w:val="Menu Option"/>
    <w:basedOn w:val="DefaultParagraphFont"/>
    <w:rsid w:val="00D92F9D"/>
    <w:rPr>
      <w:b/>
      <w:smallCaps/>
    </w:rPr>
  </w:style>
  <w:style w:type="paragraph" w:customStyle="1" w:styleId="TableListNumber">
    <w:name w:val="Table List Number"/>
    <w:basedOn w:val="ListNumber"/>
    <w:rsid w:val="00D92F9D"/>
    <w:pPr>
      <w:numPr>
        <w:numId w:val="0"/>
      </w:numPr>
    </w:pPr>
  </w:style>
  <w:style w:type="paragraph" w:styleId="TOC4">
    <w:name w:val="toc 4"/>
    <w:basedOn w:val="TOCBase"/>
    <w:next w:val="Normal"/>
    <w:semiHidden/>
    <w:rsid w:val="00D92F9D"/>
    <w:pPr>
      <w:tabs>
        <w:tab w:val="right" w:leader="dot" w:pos="9071"/>
      </w:tabs>
      <w:ind w:left="1701"/>
    </w:pPr>
  </w:style>
  <w:style w:type="paragraph" w:customStyle="1" w:styleId="ListAlpha">
    <w:name w:val="List Alpha"/>
    <w:basedOn w:val="List"/>
    <w:rsid w:val="00D92F9D"/>
    <w:pPr>
      <w:numPr>
        <w:numId w:val="7"/>
      </w:numPr>
    </w:pPr>
  </w:style>
  <w:style w:type="paragraph" w:customStyle="1" w:styleId="ListAlpha2">
    <w:name w:val="List Alpha 2"/>
    <w:basedOn w:val="List2"/>
    <w:rsid w:val="00D92F9D"/>
    <w:pPr>
      <w:numPr>
        <w:numId w:val="6"/>
      </w:numPr>
    </w:pPr>
  </w:style>
  <w:style w:type="paragraph" w:styleId="List2">
    <w:name w:val="List 2"/>
    <w:basedOn w:val="BodyText"/>
    <w:rsid w:val="00D92F9D"/>
    <w:pPr>
      <w:tabs>
        <w:tab w:val="left" w:pos="680"/>
      </w:tabs>
      <w:spacing w:before="60" w:after="60"/>
      <w:ind w:left="680" w:hanging="340"/>
    </w:pPr>
  </w:style>
  <w:style w:type="paragraph" w:styleId="List3">
    <w:name w:val="List 3"/>
    <w:basedOn w:val="BodyText"/>
    <w:rsid w:val="00D92F9D"/>
    <w:pPr>
      <w:tabs>
        <w:tab w:val="left" w:pos="1021"/>
      </w:tabs>
      <w:spacing w:before="60" w:after="60"/>
      <w:ind w:left="1020" w:hanging="340"/>
    </w:pPr>
  </w:style>
  <w:style w:type="paragraph" w:styleId="List4">
    <w:name w:val="List 4"/>
    <w:basedOn w:val="BodyText"/>
    <w:rsid w:val="00D92F9D"/>
    <w:pPr>
      <w:tabs>
        <w:tab w:val="left" w:pos="1361"/>
      </w:tabs>
      <w:spacing w:before="60" w:after="60"/>
      <w:ind w:left="1361" w:hanging="340"/>
    </w:pPr>
  </w:style>
  <w:style w:type="paragraph" w:styleId="List5">
    <w:name w:val="List 5"/>
    <w:basedOn w:val="BodyText"/>
    <w:rsid w:val="00D92F9D"/>
    <w:pPr>
      <w:tabs>
        <w:tab w:val="left" w:pos="1701"/>
      </w:tabs>
      <w:spacing w:before="60" w:after="60"/>
      <w:ind w:left="1701" w:hanging="340"/>
    </w:pPr>
  </w:style>
  <w:style w:type="paragraph" w:styleId="ListBullet3">
    <w:name w:val="List Bullet 3"/>
    <w:basedOn w:val="List3"/>
    <w:rsid w:val="00D92F9D"/>
    <w:pPr>
      <w:numPr>
        <w:numId w:val="13"/>
      </w:numPr>
      <w:tabs>
        <w:tab w:val="clear" w:pos="1021"/>
      </w:tabs>
      <w:ind w:left="1037" w:hanging="357"/>
    </w:pPr>
  </w:style>
  <w:style w:type="paragraph" w:styleId="ListBullet4">
    <w:name w:val="List Bullet 4"/>
    <w:basedOn w:val="List4"/>
    <w:rsid w:val="00D92F9D"/>
    <w:pPr>
      <w:numPr>
        <w:numId w:val="1"/>
      </w:numPr>
    </w:pPr>
  </w:style>
  <w:style w:type="paragraph" w:styleId="ListBullet5">
    <w:name w:val="List Bullet 5"/>
    <w:basedOn w:val="List5"/>
    <w:rsid w:val="00D92F9D"/>
    <w:pPr>
      <w:numPr>
        <w:numId w:val="2"/>
      </w:numPr>
    </w:pPr>
  </w:style>
  <w:style w:type="paragraph" w:styleId="ListContinue2">
    <w:name w:val="List Continue 2"/>
    <w:basedOn w:val="List2"/>
    <w:rsid w:val="00D92F9D"/>
    <w:pPr>
      <w:ind w:firstLine="0"/>
    </w:pPr>
  </w:style>
  <w:style w:type="paragraph" w:styleId="ListContinue3">
    <w:name w:val="List Continue 3"/>
    <w:basedOn w:val="List3"/>
    <w:rsid w:val="00D92F9D"/>
    <w:pPr>
      <w:ind w:left="1021" w:firstLine="0"/>
    </w:pPr>
  </w:style>
  <w:style w:type="paragraph" w:styleId="ListContinue4">
    <w:name w:val="List Continue 4"/>
    <w:basedOn w:val="List4"/>
    <w:rsid w:val="00D92F9D"/>
    <w:pPr>
      <w:ind w:firstLine="0"/>
    </w:pPr>
  </w:style>
  <w:style w:type="paragraph" w:styleId="ListContinue5">
    <w:name w:val="List Continue 5"/>
    <w:basedOn w:val="List5"/>
    <w:rsid w:val="00D92F9D"/>
    <w:pPr>
      <w:ind w:firstLine="0"/>
    </w:pPr>
  </w:style>
  <w:style w:type="paragraph" w:styleId="ListNumber3">
    <w:name w:val="List Number 3"/>
    <w:basedOn w:val="List3"/>
    <w:rsid w:val="00D92F9D"/>
    <w:pPr>
      <w:numPr>
        <w:numId w:val="3"/>
      </w:numPr>
    </w:pPr>
  </w:style>
  <w:style w:type="paragraph" w:styleId="ListNumber4">
    <w:name w:val="List Number 4"/>
    <w:basedOn w:val="List4"/>
    <w:rsid w:val="00D92F9D"/>
    <w:pPr>
      <w:numPr>
        <w:numId w:val="4"/>
      </w:numPr>
    </w:pPr>
  </w:style>
  <w:style w:type="paragraph" w:styleId="ListNumber5">
    <w:name w:val="List Number 5"/>
    <w:basedOn w:val="List5"/>
    <w:rsid w:val="00D92F9D"/>
    <w:pPr>
      <w:numPr>
        <w:numId w:val="5"/>
      </w:numPr>
    </w:pPr>
  </w:style>
  <w:style w:type="paragraph" w:styleId="BlockText">
    <w:name w:val="Block Text"/>
    <w:basedOn w:val="Normal"/>
    <w:rsid w:val="00D92F9D"/>
    <w:pPr>
      <w:spacing w:after="120"/>
      <w:ind w:left="1440" w:right="1440"/>
    </w:pPr>
  </w:style>
  <w:style w:type="character" w:customStyle="1" w:styleId="Subscript">
    <w:name w:val="Subscript"/>
    <w:basedOn w:val="DefaultParagraphFont"/>
    <w:rsid w:val="00D92F9D"/>
    <w:rPr>
      <w:sz w:val="16"/>
      <w:vertAlign w:val="subscript"/>
    </w:rPr>
  </w:style>
  <w:style w:type="character" w:customStyle="1" w:styleId="Superscript">
    <w:name w:val="Superscript"/>
    <w:basedOn w:val="DefaultParagraphFont"/>
    <w:rsid w:val="00D92F9D"/>
    <w:rPr>
      <w:sz w:val="16"/>
      <w:vertAlign w:val="superscript"/>
    </w:rPr>
  </w:style>
  <w:style w:type="character" w:customStyle="1" w:styleId="Symbols">
    <w:name w:val="Symbols"/>
    <w:basedOn w:val="DefaultParagraphFont"/>
    <w:rsid w:val="00D92F9D"/>
    <w:rPr>
      <w:rFonts w:ascii="Symbol" w:hAnsi="Symbol"/>
    </w:rPr>
  </w:style>
  <w:style w:type="character" w:customStyle="1" w:styleId="MenuOptions">
    <w:name w:val="Menu Options"/>
    <w:basedOn w:val="DefaultParagraphFont"/>
    <w:rsid w:val="00D92F9D"/>
    <w:rPr>
      <w:rFonts w:ascii="Arial Narrow" w:hAnsi="Arial Narrow"/>
      <w:smallCaps/>
    </w:rPr>
  </w:style>
  <w:style w:type="character" w:customStyle="1" w:styleId="Buttons">
    <w:name w:val="Buttons"/>
    <w:basedOn w:val="DefaultParagraphFont"/>
    <w:rsid w:val="00D92F9D"/>
    <w:rPr>
      <w:b/>
    </w:rPr>
  </w:style>
  <w:style w:type="character" w:customStyle="1" w:styleId="Underlined">
    <w:name w:val="Underlined"/>
    <w:basedOn w:val="DefaultParagraphFont"/>
    <w:rsid w:val="00D92F9D"/>
    <w:rPr>
      <w:u w:val="single"/>
    </w:rPr>
  </w:style>
  <w:style w:type="paragraph" w:customStyle="1" w:styleId="TableBodyTextRight">
    <w:name w:val="Table Body Text Right"/>
    <w:basedOn w:val="TableBodyText"/>
    <w:rsid w:val="00D92F9D"/>
    <w:pPr>
      <w:widowControl w:val="0"/>
      <w:autoSpaceDE w:val="0"/>
      <w:autoSpaceDN w:val="0"/>
      <w:adjustRightInd w:val="0"/>
      <w:jc w:val="right"/>
    </w:pPr>
    <w:rPr>
      <w:rFonts w:cs="Arial"/>
      <w:szCs w:val="18"/>
    </w:rPr>
  </w:style>
  <w:style w:type="paragraph" w:customStyle="1" w:styleId="CopyrightText">
    <w:name w:val="Copyright Text"/>
    <w:basedOn w:val="BodyText"/>
    <w:rsid w:val="00D92F9D"/>
    <w:rPr>
      <w:sz w:val="18"/>
    </w:rPr>
  </w:style>
  <w:style w:type="paragraph" w:customStyle="1" w:styleId="BodySmallRight">
    <w:name w:val="Body Small Right"/>
    <w:basedOn w:val="BodyTextRight"/>
    <w:rsid w:val="00D92F9D"/>
    <w:rPr>
      <w:sz w:val="18"/>
      <w:szCs w:val="18"/>
    </w:rPr>
  </w:style>
  <w:style w:type="paragraph" w:customStyle="1" w:styleId="MarginEdition">
    <w:name w:val="Margin Edition"/>
    <w:basedOn w:val="MarginNote"/>
    <w:rsid w:val="00D92F9D"/>
    <w:pPr>
      <w:spacing w:before="0" w:after="0"/>
    </w:pPr>
    <w:rPr>
      <w:rFonts w:ascii="Times New Roman" w:hAnsi="Times New Roman"/>
      <w:color w:val="999999"/>
    </w:rPr>
  </w:style>
  <w:style w:type="paragraph" w:customStyle="1" w:styleId="Spacer">
    <w:name w:val="Spacer"/>
    <w:basedOn w:val="Normal"/>
    <w:rsid w:val="00D92F9D"/>
    <w:rPr>
      <w:sz w:val="2"/>
      <w:szCs w:val="2"/>
    </w:rPr>
  </w:style>
  <w:style w:type="character" w:customStyle="1" w:styleId="Small">
    <w:name w:val="Small"/>
    <w:basedOn w:val="DefaultParagraphFont"/>
    <w:rsid w:val="00D92F9D"/>
    <w:rPr>
      <w:sz w:val="16"/>
    </w:rPr>
  </w:style>
  <w:style w:type="paragraph" w:customStyle="1" w:styleId="WideTable">
    <w:name w:val="Wide Table"/>
    <w:basedOn w:val="Normal"/>
    <w:rsid w:val="00D92F9D"/>
    <w:pPr>
      <w:ind w:left="-1418"/>
    </w:pPr>
    <w:rPr>
      <w:sz w:val="2"/>
      <w:szCs w:val="2"/>
    </w:rPr>
  </w:style>
  <w:style w:type="character" w:styleId="PageNumber">
    <w:name w:val="page number"/>
    <w:basedOn w:val="DefaultParagraphFont"/>
    <w:rsid w:val="00D92F9D"/>
  </w:style>
  <w:style w:type="paragraph" w:styleId="Quote">
    <w:name w:val="Quote"/>
    <w:basedOn w:val="Heading1"/>
    <w:link w:val="QuoteChar"/>
    <w:qFormat/>
    <w:rsid w:val="00D92F9D"/>
    <w:rPr>
      <w:b w:val="0"/>
      <w:sz w:val="72"/>
      <w:szCs w:val="72"/>
      <w:lang w:val="en-NZ"/>
    </w:rPr>
  </w:style>
  <w:style w:type="character" w:customStyle="1" w:styleId="QuoteChar">
    <w:name w:val="Quote Char"/>
    <w:basedOn w:val="DefaultParagraphFont"/>
    <w:link w:val="Quote"/>
    <w:rsid w:val="00D92F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2F9D"/>
    <w:pPr>
      <w:pageBreakBefore/>
    </w:pPr>
  </w:style>
  <w:style w:type="paragraph" w:customStyle="1" w:styleId="Border">
    <w:name w:val="Border"/>
    <w:basedOn w:val="Normal"/>
    <w:qFormat/>
    <w:rsid w:val="00D92F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2F9D"/>
    <w:rPr>
      <w:b/>
      <w:bCs/>
      <w:i/>
      <w:iCs/>
      <w:color w:val="auto"/>
    </w:rPr>
  </w:style>
  <w:style w:type="paragraph" w:styleId="IntenseQuote">
    <w:name w:val="Intense Quote"/>
    <w:basedOn w:val="Normal"/>
    <w:next w:val="Normal"/>
    <w:link w:val="IntenseQuoteChar"/>
    <w:uiPriority w:val="30"/>
    <w:qFormat/>
    <w:rsid w:val="00D92F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2F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2F9D"/>
    <w:rPr>
      <w:smallCaps/>
      <w:color w:val="auto"/>
      <w:u w:val="single"/>
    </w:rPr>
  </w:style>
  <w:style w:type="character" w:styleId="IntenseReference">
    <w:name w:val="Intense Reference"/>
    <w:basedOn w:val="DefaultParagraphFont"/>
    <w:uiPriority w:val="32"/>
    <w:qFormat/>
    <w:rsid w:val="00D92F9D"/>
    <w:rPr>
      <w:b/>
      <w:bCs/>
      <w:smallCaps/>
      <w:color w:val="auto"/>
      <w:spacing w:val="5"/>
      <w:u w:val="single"/>
    </w:rPr>
  </w:style>
  <w:style w:type="paragraph" w:customStyle="1" w:styleId="2ColumnHeading">
    <w:name w:val="2Column Heading"/>
    <w:basedOn w:val="BodyText"/>
    <w:qFormat/>
    <w:rsid w:val="00D92F9D"/>
    <w:pPr>
      <w:spacing w:after="60"/>
      <w:ind w:left="-2268"/>
    </w:pPr>
    <w:rPr>
      <w:b/>
    </w:rPr>
  </w:style>
  <w:style w:type="paragraph" w:customStyle="1" w:styleId="Heading1TOC">
    <w:name w:val="Heading1 TOC"/>
    <w:basedOn w:val="Normal"/>
    <w:qFormat/>
    <w:rsid w:val="00D92F9D"/>
    <w:pPr>
      <w:spacing w:before="240" w:after="120"/>
    </w:pPr>
    <w:rPr>
      <w:rFonts w:ascii="Times New Roman" w:hAnsi="Times New Roman"/>
      <w:b/>
      <w:sz w:val="32"/>
    </w:rPr>
  </w:style>
  <w:style w:type="paragraph" w:customStyle="1" w:styleId="Heading2TOC">
    <w:name w:val="Heading2 TOC"/>
    <w:basedOn w:val="Normal"/>
    <w:qFormat/>
    <w:rsid w:val="00D92F9D"/>
    <w:pPr>
      <w:spacing w:before="240" w:after="60"/>
    </w:pPr>
    <w:rPr>
      <w:rFonts w:ascii="Times New Roman" w:hAnsi="Times New Roman"/>
      <w:b/>
      <w:sz w:val="28"/>
    </w:rPr>
  </w:style>
  <w:style w:type="character" w:customStyle="1" w:styleId="Underline">
    <w:name w:val="Underline"/>
    <w:basedOn w:val="DefaultParagraphFont"/>
    <w:qFormat/>
    <w:rsid w:val="00D92F9D"/>
    <w:rPr>
      <w:u w:val="single"/>
    </w:rPr>
  </w:style>
  <w:style w:type="character" w:customStyle="1" w:styleId="BoldandItalics">
    <w:name w:val="Bold and Italics"/>
    <w:qFormat/>
    <w:rsid w:val="00D92F9D"/>
    <w:rPr>
      <w:b/>
      <w:i/>
      <w:u w:val="none"/>
    </w:rPr>
  </w:style>
  <w:style w:type="paragraph" w:styleId="BalloonText">
    <w:name w:val="Balloon Text"/>
    <w:basedOn w:val="Normal"/>
    <w:link w:val="BalloonTextChar"/>
    <w:rsid w:val="00D92F9D"/>
    <w:rPr>
      <w:rFonts w:ascii="Tahoma" w:hAnsi="Tahoma" w:cs="Tahoma"/>
      <w:sz w:val="16"/>
      <w:szCs w:val="16"/>
    </w:rPr>
  </w:style>
  <w:style w:type="character" w:customStyle="1" w:styleId="BalloonTextChar">
    <w:name w:val="Balloon Text Char"/>
    <w:basedOn w:val="DefaultParagraphFont"/>
    <w:link w:val="BalloonText"/>
    <w:rsid w:val="00D92F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2F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2F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2F9D"/>
    <w:rPr>
      <w:b/>
      <w:color w:val="660033"/>
      <w:spacing w:val="0"/>
    </w:rPr>
  </w:style>
  <w:style w:type="paragraph" w:customStyle="1" w:styleId="Nameditemlist">
    <w:name w:val="Named item list"/>
    <w:basedOn w:val="BodyText"/>
    <w:qFormat/>
    <w:rsid w:val="00D92F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1718</Words>
  <Characters>10192</Characters>
  <Application>Microsoft Office Word</Application>
  <DocSecurity>0</DocSecurity>
  <Lines>604</Lines>
  <Paragraphs>277</Paragraphs>
  <ScaleCrop>false</ScaleCrop>
  <Company>Author-it Software Corporation Ltd.</Company>
  <LinksUpToDate>false</LinksUpToDate>
  <CharactersWithSpaces>11641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TDMMH107B PLAN A VOYAGE AND CONDUCT NAVIGATION</dc:title>
  <dc:subject>Approved</dc:subject>
  <dc:creator>Transport &amp; Logistics Industry Skills Council</dc:creator>
  <cp:keywords>Revision Number: 1</cp:keywords>
  <dc:description>Review Date: 12 April 2008</dc:description>
  <cp:lastModifiedBy>HSD_TPCMSd.prod</cp:lastModifiedBy>
  <cp:revision>3</cp:revision>
  <dcterms:created xsi:type="dcterms:W3CDTF">2014-05-07T04:30:00Z</dcterms:created>
  <dcterms:modified xsi:type="dcterms:W3CDTF">2014-05-07T04:30:00Z</dcterms:modified>
</cp:coreProperties>
</file>