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C69" w:rsidP="00B55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TDMMF3007B MAINTAIN A SAFE NAVIGATIONAL WATCH</w:t>
      </w:r>
      <w:r>
        <w:fldChar w:fldCharType="end"/>
      </w:r>
    </w:p>
    <w:p w:rsidR="00B55C69" w:rsidP="00B55C69">
      <w:pPr>
        <w:pStyle w:val="Version"/>
        <w:sectPr w:rsidSect="00E56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56FAE" w:rsidP="00E56FAE">
      <w:pPr>
        <w:pStyle w:val="SuperHeading"/>
      </w:pPr>
      <w:r w:rsidRPr="00E56FAE">
        <w:t>TDMMF3007B MAINTAIN A SAFE NAVIGATIONAL WATCH</w:t>
      </w:r>
    </w:p>
    <w:p w:rsidR="00000000" w:rsidRPr="00E56FAE" w:rsidP="00E56FAE">
      <w:pPr>
        <w:pStyle w:val="SuperHeading"/>
      </w:pPr>
    </w:p>
    <w:p w:rsidR="00000000" w:rsidRPr="00E56FAE" w:rsidP="00E56FAE">
      <w:pPr>
        <w:pStyle w:val="Heading1"/>
      </w:pPr>
      <w:bookmarkStart w:id="1" w:name="O_151191"/>
      <w:bookmarkEnd w:id="1"/>
      <w:r w:rsidRPr="00E56FAE">
        <w:t>Modification History</w:t>
      </w:r>
    </w:p>
    <w:p w:rsidR="00000000" w:rsidRPr="00E56FAE" w:rsidP="00E56FAE">
      <w:pPr>
        <w:pStyle w:val="BodyText"/>
      </w:pPr>
      <w:r w:rsidRPr="00E56FAE">
        <w:t>Not applicable.</w:t>
      </w: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2" w:name="O_151192"/>
      <w:bookmarkEnd w:id="2"/>
      <w:r w:rsidRPr="00E56FA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UNIT DESCRIPTOR: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This unit involves the skills and knowledge required to maintain a safe navigational watch</w:t>
            </w:r>
            <w:r w:rsidRPr="00E56FAE">
              <w:rPr>
                <w:rStyle w:val="SpecialBold"/>
              </w:rPr>
              <w:t xml:space="preserve"> on a commercial vessel in compliance with Australian and international regulations and guidelines to ensure the safety of navigation</w:t>
            </w:r>
            <w:r w:rsidRPr="00E56FAE">
              <w:t xml:space="preserve">, </w:t>
            </w:r>
            <w:r w:rsidRPr="00E56FAE">
              <w:rPr>
                <w:rStyle w:val="SpecialBold"/>
              </w:rPr>
              <w:t>protection of the marine environment and the safety of the vessel and persons on board</w:t>
            </w:r>
            <w:r w:rsidRPr="00E56FAE">
              <w:t>.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3" w:name="O_151193"/>
      <w:bookmarkEnd w:id="3"/>
      <w:r w:rsidRPr="00E56FA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The unit has application in the qualifications for a Master (Unlimited), Watchkeeper (Deck) and Master (Less than 500 GT), i.e. Advanced Diploma of Transport&amp;Distribution(Maritime Operations - Master Unlimite</w:t>
            </w:r>
            <w:r w:rsidRPr="00E56FAE">
              <w:t>d) and Diploma of Transport&amp;Distribution(Maritime Operations - Deck Watchkeeper).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4" w:name="O_151194"/>
      <w:bookmarkEnd w:id="4"/>
      <w:r w:rsidRPr="00E56FA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Licensing</w:t>
            </w:r>
            <w:r w:rsidRPr="00E56FAE">
              <w:t>/</w:t>
            </w:r>
            <w:r w:rsidRPr="00E56FA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The unit is consistent with the relevant sections of STCW 95 and Marine Orders under the Australian Navigation Act 1912, describing the role and responsibilities of a Watchkeeper (Deck).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5" w:name="O_151196"/>
      <w:bookmarkEnd w:id="5"/>
      <w:r w:rsidRPr="00E56FAE">
        <w:t>Pre-Requisites</w:t>
      </w:r>
    </w:p>
    <w:p w:rsidR="00000000" w:rsidRPr="00E56FAE" w:rsidP="00E56FAE">
      <w:pPr>
        <w:pStyle w:val="BodyText"/>
      </w:pPr>
      <w:r w:rsidRPr="00E56FAE">
        <w:t>Not applicable.</w:t>
      </w: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6" w:name="O_151195"/>
      <w:bookmarkEnd w:id="6"/>
      <w:r w:rsidRPr="00E56FAE">
        <w:t>Em</w:t>
      </w:r>
      <w:r w:rsidRPr="00E56FAE">
        <w:t>ployability Skills Information</w:t>
      </w:r>
    </w:p>
    <w:p w:rsidR="00000000" w:rsidRPr="00E56FAE" w:rsidP="00E56FAE">
      <w:pPr>
        <w:pStyle w:val="BodyText"/>
      </w:pPr>
      <w:r w:rsidRPr="00E56FAE">
        <w:t>Not applicable.</w:t>
      </w: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7" w:name="O_151197"/>
      <w:bookmarkEnd w:id="7"/>
      <w:r w:rsidRPr="00E56FA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Emphasis"/>
              </w:rPr>
              <w:t>Elements describe the essential outcomes of a unit of competency</w:t>
            </w:r>
            <w:r w:rsidRPr="00E56FAE">
              <w:t>.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Emphasis"/>
              </w:rPr>
              <w:t>Performance Criteria describe the required performance needed to demonstrate achievement of the element</w:t>
            </w:r>
            <w:r w:rsidRPr="00E56FAE">
              <w:t xml:space="preserve">. </w:t>
            </w:r>
            <w:r w:rsidRPr="00E56FAE">
              <w:rPr>
                <w:rStyle w:val="Emphasis"/>
              </w:rPr>
              <w:t>Assessment of performance is to be consistent with the Evidence Guide</w:t>
            </w:r>
            <w:r w:rsidRPr="00E56FAE">
              <w:t>.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8" w:name="O_151198"/>
      <w:bookmarkEnd w:id="8"/>
      <w:r w:rsidRPr="00E56F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PERFORMANCE CRITER</w:t>
            </w:r>
            <w:r w:rsidRPr="00E56FAE">
              <w:rPr>
                <w:rStyle w:val="SpecialBold"/>
              </w:rPr>
              <w:t>IA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Carry out watchkeeping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conduct, handover and relief of the watch conforms with accepted principles and vessel's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A </w:t>
            </w:r>
            <w:r w:rsidRPr="00E56FAE">
              <w:t xml:space="preserve">proper look-out is maintained at all times and in such a way as to conform to accepted principles and procedures and regulatory requirements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vessel is navigated safely using appropriate visual and electronic techniques to check position and to keep it on the track laid down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progress of the vessel along a prepared track is analysed and speed and course adjusted as appropriate to mai</w:t>
            </w:r>
            <w:r w:rsidRPr="00E56FAE">
              <w:t>ntain a required estimated time of arrival at a point on the track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Lights, shapes and sound signals conform with the requirements contained in the International Regulations for Preventing Collisions at Sea and are correctly recognised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frequency and extent of monitoring of traffic, the vessel and the environment conform with accepted principles and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g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Responsibility for the safety of navigation is clearly defined at all times, including periods when the master is on the </w:t>
            </w:r>
            <w:r w:rsidRPr="00E56FAE">
              <w:t>bridge and while under pilotage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h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Safe navigational practice is achieved through the implementation of accepted bridge resource management principles and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Fatigue management strategies are correctly applied within the bridge management team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PERFORMANCE CRITERIA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Potential collision situations are analysed and appropriate action is taken in ample time and in accordance with regulatory requirements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Correct responses are made to emergencies and situations that pose a danger to the vessel and personnel on board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Distress signals are recognised and appropriate action is taken to initiate search and rescue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Master is called in the event of a navigational incident which falls outside the officer's limits of responsibility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Maintain watchkeeping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 proper and accurate record is maintained of the movements and activities relating to the navigation of the vessel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Appropriate entries pertaining to the watch are recorded in the vessel's log or computer records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9" w:name="O_151199"/>
      <w:bookmarkEnd w:id="9"/>
      <w:r w:rsidRPr="00E56FA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REQUIRED KNOWLEDGE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Emphasis"/>
              </w:rPr>
              <w:t>This describes the knowledge required for this unit</w:t>
            </w:r>
            <w:r w:rsidRPr="00E56FAE">
              <w:t>.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sections of IMO STCW 95 Convention and Code and AMSA Marine Orders dealing with bridge watchkeeping principles, arrangem</w:t>
            </w:r>
            <w:r w:rsidRPr="00E56FAE">
              <w:t>ents, procedures, roles and responsibilities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OH&amp;S legislation and policies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Bridge resource management systems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Implications of a range of factors that can affect watchkeeping functions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Causes of groundings, collisions and casualties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Navigational hazards and implications for watchkeeping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Operating procedures for typical navigational aids and skills and the knowledge needed to use them effectively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Watch handover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Watchkeeping problems and emergency situations for commercial vessels of 500 gross tonnage or more and appropriate action and solutions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Principles and use of navigational recording devices for keeping records of the operation, behaviour and performance</w:t>
            </w:r>
            <w:r w:rsidRPr="00E56FAE">
              <w:t xml:space="preserve"> of the vessel and navigation equipment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Procedures for the use of vessel routeing and reporting systems for safe navigation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Manual and electronic navigational aids available to the bridge team and the procedures for their operation and use during a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Typical bridge instrumentation, controls and alarms and their functions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Functions of unmanned machinery space (UMS) c</w:t>
            </w:r>
            <w:r w:rsidRPr="00E56FAE">
              <w:t>ontrols, alarms and indicators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Rudder and propeller control and vessel manoeuvring characteristics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Precautions necessary when navigating in or near traffic separation schemes or other routeing measures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Signs of fatigue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Fatigue management p</w:t>
            </w:r>
            <w:r w:rsidRPr="00E56FAE">
              <w:t>rinciples and techniques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Maritime communication techniques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REQUIRED SKILLS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Emphasis"/>
              </w:rPr>
              <w:t>This describes the basic skills required for this unit</w:t>
            </w:r>
            <w:r w:rsidRPr="00E56FAE">
              <w:t>.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Communicate effectively with others on watchkeeping issues, arrangements and requirements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Read, interpret and apply instructions, procedures and information relevant to the role and responsibilities of a watchkeeper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Select and use appropriate internal and external communications equipment during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Provide leadership as a</w:t>
            </w:r>
            <w:r w:rsidRPr="00E56FAE">
              <w:t xml:space="preserve"> member of the bridge team during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Take appropriate initiatives related to the protection of the environment during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Interpret and apply required practices during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Modify activities dependent on differing vessel contingencies, risk situations and environments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Identify and solve problems that may arise during watchkeeping duties and report problems and issues and take appropriate action based on available informati</w:t>
            </w:r>
            <w:r w:rsidRPr="00E56FAE">
              <w:t>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Monitor and anticipate hazards and risks that may arise during watchkeeping duties and take appropriate action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Adapt to differences in vessels, bridge equipment and watchkeeping procedures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10" w:name="O_151200"/>
      <w:bookmarkEnd w:id="10"/>
      <w:r w:rsidRPr="00E56FA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1"/>
        <w:gridCol w:w="360"/>
        <w:gridCol w:w="3237"/>
        <w:gridCol w:w="2430"/>
        <w:gridCol w:w="1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45" w:type="dxa"/>
          <w:tblHeader/>
        </w:trPr>
        <w:tc>
          <w:tcPr>
            <w:tcW w:w="6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Evidence Guide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Emphasis"/>
              </w:rPr>
              <w:t>The Evidence Guide provides advice on assessment and must be read in conjunction with the Performance Criteria</w:t>
            </w:r>
            <w:r w:rsidRPr="00E56FAE">
              <w:t xml:space="preserve">, </w:t>
            </w:r>
            <w:r w:rsidRPr="00E56FAE">
              <w:rPr>
                <w:rStyle w:val="Emphasis"/>
              </w:rPr>
              <w:t>Required Skills and Knowledge</w:t>
            </w:r>
            <w:r w:rsidRPr="00E56FAE">
              <w:t xml:space="preserve">, </w:t>
            </w:r>
            <w:r w:rsidRPr="00E56FAE">
              <w:rPr>
                <w:rStyle w:val="Emphasis"/>
              </w:rPr>
              <w:t>the Range Statement and the Assessment Guidelines for this Training Package</w:t>
            </w:r>
            <w:r w:rsidRPr="00E56FAE">
              <w:t>.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Assessment must confirm appropriate knowledge and skills to: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Implement watchkeeping arrangements and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Fulfil watchkeeping responsibilities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Take appropriate action in the event of a potential collision or other emergency situation arising during a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Communicate effectively with others in the course of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Performance is demonstrated consistently over a period of time and in a suitable range of contexts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Consistently applies underpinning knowledge and skills when: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maintaining a safe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identifying and evaluating watchkeeping problems and determining appropriate courses of action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identifying and implementing improvements to bridge management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applying safety precautions relevant to watchkeeping operations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dealing with potential collisions and other potentially dangerous situations arising during a watch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Shows evidence of application of relevant workplace procedures, including: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sections of applicable maritime regulations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vessel's safety management system and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OH&amp;S regulations and hazard prevention policies and procedures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job procedures and work instructions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guidelines relating to bridge management and watchkeeping arrangements on board a vessel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security procedures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bridge housekeeping processes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56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waste, pollution and recycling management processes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"/>
        <w:gridCol w:w="22"/>
        <w:gridCol w:w="1789"/>
        <w:gridCol w:w="361"/>
        <w:gridCol w:w="360"/>
        <w:gridCol w:w="357"/>
        <w:gridCol w:w="2879"/>
        <w:gridCol w:w="2430"/>
        <w:gridCol w:w="1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45" w:type="dxa"/>
          <w:tblHeader/>
        </w:trPr>
        <w:tc>
          <w:tcPr>
            <w:tcW w:w="60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Evidence Guide</w:t>
            </w:r>
            <w:r w:rsidRPr="00E56FAE">
              <w:t xml:space="preserve"> (</w:t>
            </w:r>
            <w:r w:rsidRPr="00E56FAE">
              <w:rPr>
                <w:rStyle w:val="SpecialBold"/>
              </w:rPr>
              <w:t>continued</w:t>
            </w:r>
            <w:r w:rsidRPr="00E56FAE">
              <w:t xml:space="preserve">) 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Evidence required for demonstration of consistent performance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(</w:t>
            </w:r>
            <w:r w:rsidRPr="00E56FAE">
              <w:rPr>
                <w:rStyle w:val="SpecialBold"/>
              </w:rPr>
              <w:t>continued</w:t>
            </w:r>
            <w:r w:rsidRPr="00E56FAE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</w:t>
            </w:r>
          </w:p>
        </w:tc>
        <w:tc>
          <w:tcPr>
            <w:tcW w:w="604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Action is taken promptly to report and/or rectify watchkeeping incidents in accordance with established procedures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e</w:t>
            </w:r>
          </w:p>
        </w:tc>
        <w:tc>
          <w:tcPr>
            <w:tcW w:w="604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Work is completed systematically with required attention to detail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</w:t>
            </w:r>
          </w:p>
        </w:tc>
        <w:tc>
          <w:tcPr>
            <w:tcW w:w="604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Recognises and adapts appropriately to cultural differences in the workplace, including modes of behaviour and interactions among crew and others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26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Assessment of competency must comply with the assessment requirements of the relevant maritime regulations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Assessment of this unit must be undertaken within relevant marine authority approved and audited arrangements by a registered training organisation: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56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As a minimum, assessment of knowledge must be conducted through appropriate written/oral examinations, and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56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Appropriate practical assessment must occur: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</w:t>
            </w:r>
          </w:p>
        </w:tc>
        <w:tc>
          <w:tcPr>
            <w:tcW w:w="5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at the registered training organisation; and/or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ii</w:t>
            </w:r>
          </w:p>
        </w:tc>
        <w:tc>
          <w:tcPr>
            <w:tcW w:w="530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on an appropriate working or training vessel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4</w:t>
            </w:r>
          </w:p>
        </w:tc>
        <w:tc>
          <w:tcPr>
            <w:tcW w:w="181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Specific</w:t>
            </w:r>
            <w:r w:rsidRPr="00E56FAE">
              <w:t xml:space="preserve"> </w:t>
            </w:r>
            <w:r w:rsidRPr="00E56FAE">
              <w:rPr>
                <w:rStyle w:val="SpecialBold"/>
              </w:rPr>
              <w:t>resources</w:t>
            </w:r>
            <w:r w:rsidRPr="00E56FAE">
              <w:t xml:space="preserve"> </w:t>
            </w:r>
            <w:r w:rsidRPr="00E56FAE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Access is required to opportunities to: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demonstrate the ability to maintain a safe watch in range of suitably simulated watchkeeping situations, case studies and exercises ; and/or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maintain a</w:t>
            </w:r>
            <w:r w:rsidRPr="00E56FAE">
              <w:t xml:space="preserve"> safe watch on an suitable commercial vessel in an appropriate range of situations and weather and sea conditions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11" w:name="O_151201"/>
      <w:bookmarkEnd w:id="11"/>
      <w:r w:rsidRPr="00E56FA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5"/>
        <w:gridCol w:w="357"/>
        <w:gridCol w:w="11"/>
        <w:gridCol w:w="3589"/>
        <w:gridCol w:w="2427"/>
        <w:gridCol w:w="18"/>
        <w:gridCol w:w="28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473" w:type="dxa"/>
          <w:tblHeader/>
        </w:trPr>
        <w:tc>
          <w:tcPr>
            <w:tcW w:w="60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Range Statement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Emphasis"/>
              </w:rPr>
              <w:t>The Range Statement relates to the unit of competency as a whole</w:t>
            </w:r>
            <w:r w:rsidRPr="00E56FAE">
              <w:t xml:space="preserve">. </w:t>
            </w:r>
            <w:r w:rsidRPr="00E56FAE">
              <w:rPr>
                <w:rStyle w:val="Emphasis"/>
              </w:rPr>
              <w:t>It allows for different work environments and situations that may affect performance</w:t>
            </w:r>
            <w:r w:rsidRPr="00E56FAE">
              <w:t>.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SCOPE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1</w:t>
            </w:r>
            <w:r w:rsidRPr="00E56FAE">
              <w:t>.</w:t>
            </w:r>
            <w:r w:rsidRPr="00E56FAE">
              <w:tab/>
            </w:r>
            <w:r w:rsidRPr="00E56FAE">
              <w:rPr>
                <w:rStyle w:val="SpecialBold"/>
              </w:rPr>
              <w:t>GENERAL CONTEXT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a</w:t>
            </w:r>
            <w:r w:rsidRPr="00E56FAE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Work must be carried out</w:t>
            </w:r>
            <w:r w:rsidRPr="00E56F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in compliance with relevant maritime regulations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b</w:t>
            </w:r>
            <w:r w:rsidRPr="00E56FAE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Work is performed</w:t>
            </w:r>
            <w:r w:rsidRPr="00E56F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as a member of a bridge team under broad operational requirements, with limited accountability and responsibility for self and others in achieving the prescribed outcomes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c</w:t>
            </w:r>
            <w:r w:rsidRPr="00E56FAE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Work involves</w:t>
            </w:r>
            <w:r w:rsidRPr="00E56F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application of a significant range of fundamental nautical principles and watchkeeping techniques across a wide and often unpredictable variety of operational contexts. Implementation of the vessel's watchkeeping plan is required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d</w:t>
            </w:r>
            <w:r w:rsidRPr="00E56FAE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Work requires</w:t>
            </w:r>
            <w:r w:rsidRPr="00E56FA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judgement and teamwork in carrying out watchkeeping duties and procedures for vessels of 500 gross tonnage or more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2</w:t>
            </w:r>
            <w:r w:rsidRPr="00E56FAE">
              <w:t>.</w:t>
            </w:r>
            <w:r w:rsidRPr="00E56FAE">
              <w:tab/>
            </w:r>
            <w:r w:rsidRPr="00E56FAE">
              <w:rPr>
                <w:rStyle w:val="SpecialBold"/>
              </w:rPr>
              <w:t>WORKSITE ENVIRONMENT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a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Vessel may include</w:t>
            </w:r>
            <w:r w:rsidRPr="00E56FA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any Australian or international commercial vessel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b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Watchkeeping arrangements and procedures may be implemented</w:t>
            </w:r>
            <w:r w:rsidRPr="00E56FAE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by day or night in both normal and emergency situations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under any possible conditions of weather and loading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while underway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during berthing and unberthing operations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while anchoring or mooring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while in port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while berthed, moored or at anchor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60"/>
        <w:gridCol w:w="180"/>
        <w:gridCol w:w="3420"/>
        <w:gridCol w:w="2445"/>
        <w:gridCol w:w="41"/>
        <w:gridCol w:w="1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01" w:type="dxa"/>
          <w:tblHeader/>
        </w:trPr>
        <w:tc>
          <w:tcPr>
            <w:tcW w:w="6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Range Statement</w:t>
            </w:r>
            <w:r w:rsidRPr="00E56FAE">
              <w:t xml:space="preserve"> (</w:t>
            </w:r>
            <w:r w:rsidRPr="00E56FAE">
              <w:rPr>
                <w:rStyle w:val="SpecialBold"/>
              </w:rPr>
              <w:t>continued</w:t>
            </w:r>
            <w:r w:rsidRPr="00E56FAE">
              <w:t>)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SCOPE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Watchkeeping principles</w:t>
            </w:r>
            <w:r w:rsidRPr="00E56FAE">
              <w:t xml:space="preserve"> (</w:t>
            </w:r>
            <w:r w:rsidRPr="00E56FAE">
              <w:rPr>
                <w:rStyle w:val="SpecialBold"/>
              </w:rPr>
              <w:t>as described in the AMSA Marine Orders</w:t>
            </w:r>
            <w:r w:rsidRPr="00E56FAE">
              <w:t xml:space="preserve">) </w:t>
            </w:r>
            <w:r w:rsidRPr="00E56FAE">
              <w:rPr>
                <w:rStyle w:val="SpecialBold"/>
              </w:rPr>
              <w:t>include</w:t>
            </w:r>
            <w:r w:rsidRPr="00E56FAE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proper lookout must be maintained at all times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duties of look-out and helmsman must be kept separate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look-out must give full attention to keeping a proper look-out and must not be given other duties which could interfere with the task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all necessary precautions must be taken to avoid pollution of the marine environment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appropriate assistance must be available to be summoned to the bridge if required by a change in the vessel's situation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Fatigue management strategies may include</w:t>
            </w:r>
            <w:r w:rsidRPr="00E56FAE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recognition of symptoms of fatigue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arranging to take a break when symptoms of fatigue are identified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maintenance of personal fitness and health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appropriate dietary habits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avoidance of excessive consumption of alcohol prior to watchkeeping duties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Emergencies and potentially dangerous navigational situations may include</w:t>
            </w:r>
            <w:r w:rsidRPr="00E56FAE">
              <w:t>:</w:t>
            </w: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fire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stranding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possible collision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heavy weather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synchronous rolling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distress signal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failure of bridge equipment, steering equipment, navigational lights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loss of main engines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9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person overboard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10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fog and restricted visibility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11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cargo shift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12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ice formation on hull and superstructure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13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floating ice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14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retrieval of survivors from the water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15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loss of watertight integrity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16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intoxicated persons on board a vessel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5"/>
        <w:gridCol w:w="56"/>
        <w:gridCol w:w="3547"/>
        <w:gridCol w:w="2465"/>
        <w:gridCol w:w="21"/>
        <w:gridCol w:w="1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01" w:type="dxa"/>
          <w:tblHeader/>
        </w:trPr>
        <w:tc>
          <w:tcPr>
            <w:tcW w:w="6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Range Statement</w:t>
            </w:r>
            <w:r w:rsidRPr="00E56FAE">
              <w:t xml:space="preserve"> (</w:t>
            </w:r>
            <w:r w:rsidRPr="00E56FAE">
              <w:rPr>
                <w:rStyle w:val="SpecialBold"/>
              </w:rPr>
              <w:t>continued</w:t>
            </w:r>
            <w:r w:rsidRPr="00E56FAE">
              <w:t xml:space="preserve">) 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VARIABLE</w:t>
            </w:r>
          </w:p>
        </w:tc>
        <w:tc>
          <w:tcPr>
            <w:tcW w:w="642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SCOPE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Emergencies and potentially dangerous navigational situations may include</w:t>
            </w:r>
            <w:r w:rsidRPr="00E56FAE">
              <w:t>: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(</w:t>
            </w:r>
            <w:r w:rsidRPr="00E56FAE">
              <w:rPr>
                <w:rStyle w:val="SpecialBold"/>
              </w:rPr>
              <w:t>continued</w:t>
            </w:r>
            <w:r w:rsidRPr="00E56FAE">
              <w:t>)</w:t>
            </w: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17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dragging anchor or fouled hawse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18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loss of mooring lines or winches when berthing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19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entry into confined spaces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20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personnel working aloft or overside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sudden list or loll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Available navigational aids may include</w:t>
            </w:r>
            <w:r w:rsidRPr="00E56FAE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radar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electronic position indicating devices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other equipment affecting the safe navigation of the vessel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Factors to be take</w:t>
            </w:r>
            <w:r w:rsidRPr="00E56FAE">
              <w:rPr>
                <w:rStyle w:val="SpecialBold"/>
              </w:rPr>
              <w:t>n into account when carrying out watchkeeping duties include</w:t>
            </w:r>
            <w:r w:rsidRPr="00E56FAE">
              <w:t>:</w:t>
            </w: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bridge must never be left unattended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weather and sea conditions, visibility and whether there is daylight or darkness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proximity of navigational hazards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use and operational condition of navigational aids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the operational status of bridge instrumentation, controls and alarms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provision on the bridge of unmanned machinery space (UMS) controls, alarms and indicators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unusual demands on the navigational watch arising from operational conditions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traffic density and other activities occurring in the area in which the vessel is navigating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9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the size of the vessel and the field of vision available from the conning position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10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the attention necessary when navigating in or near traffic separation schemes or other routeing measures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rudder and propeller control and vessel manoeuvring cha</w:t>
            </w:r>
            <w:r w:rsidRPr="00E56FAE">
              <w:t>racteristics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Documentation and records</w:t>
            </w:r>
            <w:r w:rsidRPr="00E56FAE">
              <w:t xml:space="preserve"> </w:t>
            </w:r>
            <w:r w:rsidRPr="00E56FAE">
              <w:rPr>
                <w:rStyle w:val="SpecialBold"/>
              </w:rPr>
              <w:t>may include</w:t>
            </w:r>
            <w:r w:rsidRPr="00E56FAE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ISM Code safety management system plans, procedures, checklists and instructions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operational orders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navigational charts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 xml:space="preserve">IMO STCW 95 Convention and Code </w:t>
            </w:r>
          </w:p>
        </w:tc>
      </w:tr>
    </w:tbl>
    <w:p w:rsidR="00000000" w:rsidRPr="00E56FAE" w:rsidP="00E56F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5"/>
        <w:gridCol w:w="3605"/>
        <w:gridCol w:w="2486"/>
        <w:gridCol w:w="15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501" w:type="dxa"/>
          <w:tblHeader/>
        </w:trPr>
        <w:tc>
          <w:tcPr>
            <w:tcW w:w="60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Range Statement</w:t>
            </w:r>
            <w:r w:rsidRPr="00E56FAE">
              <w:t xml:space="preserve"> (</w:t>
            </w:r>
            <w:r w:rsidRPr="00E56FAE">
              <w:rPr>
                <w:rStyle w:val="SpecialBold"/>
              </w:rPr>
              <w:t>continued</w:t>
            </w:r>
            <w:r w:rsidRPr="00E56FAE">
              <w:t xml:space="preserve">) 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TDMMF3007B MAINTAIN A SAFE NAVIGATIONAL WATCH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SCOPE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Documentation and records</w:t>
            </w:r>
            <w:r w:rsidRPr="00E56FAE">
              <w:t xml:space="preserve"> </w:t>
            </w:r>
            <w:r w:rsidRPr="00E56FAE">
              <w:rPr>
                <w:rStyle w:val="SpecialBold"/>
              </w:rPr>
              <w:t>may include</w:t>
            </w:r>
            <w:r w:rsidRPr="00E56FAE">
              <w:t>:</w:t>
            </w: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(</w:t>
            </w:r>
            <w:r w:rsidRPr="00E56FAE">
              <w:rPr>
                <w:rStyle w:val="SpecialBold"/>
              </w:rPr>
              <w:t>continued</w:t>
            </w:r>
            <w:r w:rsidRPr="00E56FAE">
              <w:t xml:space="preserve">) 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5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</w:p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AMSA Marine Orders as they relate to watchkeeping functions and operations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6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vessel's log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7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company procedures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8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instructions of relevant maritime authorities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9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Australian and international standards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Applicable legislation</w:t>
            </w:r>
            <w:r w:rsidRPr="00E56FAE">
              <w:t xml:space="preserve">, </w:t>
            </w:r>
            <w:r w:rsidRPr="00E56FAE">
              <w:rPr>
                <w:rStyle w:val="SpecialBold"/>
              </w:rPr>
              <w:t>regulations and codes may include</w:t>
            </w:r>
            <w:r w:rsidRPr="00E56FAE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1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 xml:space="preserve">IMO STCW 95 Convention and Code 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2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relevant sections of AMSA Marine Orders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3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International Regulations for Preventing Collisions at Sea</w:t>
            </w:r>
          </w:p>
        </w:tc>
      </w:tr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t>4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relevant international, Commonwealth, State and Territory OH&amp;S legislation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12" w:name="O_151202"/>
      <w:bookmarkEnd w:id="12"/>
      <w:r w:rsidRPr="00E56FAE">
        <w:t>Unit Sector(s)</w:t>
      </w:r>
    </w:p>
    <w:p w:rsidR="00000000" w:rsidRPr="00E56FAE" w:rsidP="00E56FAE">
      <w:pPr>
        <w:pStyle w:val="BodyText"/>
      </w:pPr>
      <w:r w:rsidRPr="00E56FAE">
        <w:t>Not applicable.</w:t>
      </w:r>
    </w:p>
    <w:p w:rsidR="00000000" w:rsidRPr="00E56FAE" w:rsidP="00E56FAE">
      <w:pPr>
        <w:pStyle w:val="AllowPageBreak"/>
      </w:pPr>
    </w:p>
    <w:p w:rsidR="00000000" w:rsidRPr="00E56FAE" w:rsidP="00E56FAE">
      <w:pPr>
        <w:pStyle w:val="Heading1"/>
      </w:pPr>
      <w:bookmarkStart w:id="13" w:name="O_163764"/>
      <w:bookmarkEnd w:id="13"/>
      <w:r w:rsidRPr="00E56FAE">
        <w:t>Field</w:t>
      </w:r>
    </w:p>
    <w:p w:rsidR="00B55C69" w:rsidP="00E56FAE">
      <w:pPr>
        <w:pStyle w:val="BodyText"/>
      </w:pPr>
      <w:r w:rsidRPr="00E56FAE">
        <w:t>Field</w:t>
      </w:r>
      <w:r w:rsidRPr="00E56FAE">
        <w:tab/>
        <w:t>MF</w:t>
      </w:r>
      <w:r w:rsidRPr="00E56FAE">
        <w:tab/>
        <w:t>Operational Quality and Safety</w:t>
      </w:r>
    </w:p>
    <w:p w:rsidR="00B55C69" w:rsidP="00E56FAE">
      <w:pPr>
        <w:pStyle w:val="BodyText"/>
      </w:pPr>
    </w:p>
    <w:p w:rsidR="00000000" w:rsidRPr="00E56FAE" w:rsidP="00E56FAE">
      <w:pPr>
        <w:pStyle w:val="Heading1"/>
      </w:pPr>
      <w:bookmarkStart w:id="14" w:name="O_163765"/>
      <w:bookmarkEnd w:id="14"/>
      <w:r w:rsidRPr="00E56FA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AE">
            <w:pPr>
              <w:pStyle w:val="BodyText"/>
              <w:rPr>
                <w:lang w:val="en-NZ"/>
              </w:rPr>
            </w:pPr>
            <w:r w:rsidRPr="00E56FA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AE" w:rsidP="00E56FAE">
            <w:pPr>
              <w:pStyle w:val="BodyText"/>
            </w:pPr>
            <w:r w:rsidRPr="00E56FAE">
              <w:t>The unit must be assessed in conjunction with other units that relate to the functions of the occupation(s) concerned.</w:t>
            </w:r>
          </w:p>
        </w:tc>
      </w:tr>
    </w:tbl>
    <w:p w:rsidR="00000000" w:rsidRPr="00E56FAE" w:rsidP="00E56FAE">
      <w:pPr>
        <w:pStyle w:val="BodyText"/>
      </w:pPr>
    </w:p>
    <w:p w:rsidR="00000000" w:rsidRPr="00E56FAE" w:rsidP="00E56FAE"/>
    <w:sectPr w:rsidSect="00E56F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5C69" w:rsidP="00B55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9" w:rsidP="00E56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55C69" w:rsidP="00E56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55C69" w:rsidP="00E56F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5C69" w:rsidP="00B55C6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9" w:rsidP="00E56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TDMMF3007B MAINTAIN A SAFE NAVIGATIONAL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55C69" w:rsidP="00E56FA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6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FAE"/>
  </w:style>
  <w:style w:type="character" w:customStyle="1" w:styleId="Heading1Char">
    <w:name w:val="Heading 1 Char"/>
    <w:link w:val="Heading1"/>
    <w:rsid w:val="00E56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F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56FA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6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56FA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E56FAE"/>
    <w:rPr>
      <w:b/>
      <w:spacing w:val="0"/>
    </w:rPr>
  </w:style>
  <w:style w:type="paragraph" w:styleId="Header">
    <w:name w:val="header"/>
    <w:basedOn w:val="Normal"/>
    <w:link w:val="HeaderChar"/>
    <w:rsid w:val="00E56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56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E56FAE"/>
    <w:rPr>
      <w:i/>
    </w:rPr>
  </w:style>
  <w:style w:type="paragraph" w:customStyle="1" w:styleId="SuperHeading">
    <w:name w:val="SuperHeading"/>
    <w:basedOn w:val="Normal"/>
    <w:rsid w:val="00E56F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6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56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56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56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56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56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F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6F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6FA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6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6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56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F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F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6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F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FA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6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F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FAE"/>
  </w:style>
  <w:style w:type="paragraph" w:styleId="TableofFigures">
    <w:name w:val="table of figures"/>
    <w:basedOn w:val="Normal"/>
    <w:next w:val="Normal"/>
    <w:semiHidden/>
    <w:rsid w:val="00E56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FAE"/>
    <w:pPr>
      <w:numPr>
        <w:numId w:val="9"/>
      </w:numPr>
    </w:pPr>
  </w:style>
  <w:style w:type="character" w:customStyle="1" w:styleId="WingdingSymbols">
    <w:name w:val="Wingding Symbols"/>
    <w:rsid w:val="00E56FAE"/>
    <w:rPr>
      <w:rFonts w:ascii="Wingdings" w:hAnsi="Wingdings"/>
    </w:rPr>
  </w:style>
  <w:style w:type="paragraph" w:customStyle="1" w:styleId="TableHeading">
    <w:name w:val="Table Heading"/>
    <w:basedOn w:val="HeadingBase"/>
    <w:rsid w:val="00E56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FAE"/>
    <w:rPr>
      <w:color w:val="0033CC"/>
      <w:u w:val="none"/>
    </w:rPr>
  </w:style>
  <w:style w:type="paragraph" w:customStyle="1" w:styleId="BodyTextRight">
    <w:name w:val="Body Text Right"/>
    <w:basedOn w:val="BodyText"/>
    <w:rsid w:val="00E56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F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56FA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6FAE"/>
    <w:rPr>
      <w:sz w:val="32"/>
    </w:rPr>
  </w:style>
  <w:style w:type="paragraph" w:customStyle="1" w:styleId="HeadingProcedure">
    <w:name w:val="Heading Procedure"/>
    <w:basedOn w:val="HeadingBase"/>
    <w:next w:val="Normal"/>
    <w:rsid w:val="00E56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FAE"/>
    <w:pPr>
      <w:spacing w:before="60" w:after="60"/>
    </w:pPr>
  </w:style>
  <w:style w:type="paragraph" w:styleId="ListContinue">
    <w:name w:val="List Continue"/>
    <w:basedOn w:val="List"/>
    <w:rsid w:val="00E56FAE"/>
    <w:pPr>
      <w:ind w:firstLine="0"/>
    </w:pPr>
  </w:style>
  <w:style w:type="paragraph" w:customStyle="1" w:styleId="ListNote">
    <w:name w:val="List Note"/>
    <w:basedOn w:val="List"/>
    <w:rsid w:val="00E56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56FAE"/>
    <w:rPr>
      <w:rFonts w:ascii="Courier New" w:hAnsi="Courier New"/>
    </w:rPr>
  </w:style>
  <w:style w:type="paragraph" w:customStyle="1" w:styleId="NoteBullet">
    <w:name w:val="Note Bullet"/>
    <w:basedOn w:val="Note"/>
    <w:rsid w:val="00E56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F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FA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56FAE"/>
    <w:rPr>
      <w:b/>
      <w:smallCaps/>
    </w:rPr>
  </w:style>
  <w:style w:type="paragraph" w:customStyle="1" w:styleId="TableListNumber">
    <w:name w:val="Table List Number"/>
    <w:basedOn w:val="ListNumber"/>
    <w:rsid w:val="00E56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FAE"/>
    <w:pPr>
      <w:numPr>
        <w:numId w:val="7"/>
      </w:numPr>
    </w:pPr>
  </w:style>
  <w:style w:type="paragraph" w:customStyle="1" w:styleId="ListAlpha2">
    <w:name w:val="List Alpha 2"/>
    <w:basedOn w:val="List2"/>
    <w:rsid w:val="00E56FAE"/>
    <w:pPr>
      <w:numPr>
        <w:numId w:val="6"/>
      </w:numPr>
    </w:pPr>
  </w:style>
  <w:style w:type="paragraph" w:styleId="List2">
    <w:name w:val="List 2"/>
    <w:basedOn w:val="BodyText"/>
    <w:rsid w:val="00E56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F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FAE"/>
    <w:pPr>
      <w:numPr>
        <w:numId w:val="1"/>
      </w:numPr>
    </w:pPr>
  </w:style>
  <w:style w:type="paragraph" w:styleId="ListBullet5">
    <w:name w:val="List Bullet 5"/>
    <w:basedOn w:val="List5"/>
    <w:rsid w:val="00E56FAE"/>
    <w:pPr>
      <w:numPr>
        <w:numId w:val="2"/>
      </w:numPr>
    </w:pPr>
  </w:style>
  <w:style w:type="paragraph" w:styleId="ListContinue2">
    <w:name w:val="List Continue 2"/>
    <w:basedOn w:val="List2"/>
    <w:rsid w:val="00E56FAE"/>
    <w:pPr>
      <w:ind w:firstLine="0"/>
    </w:pPr>
  </w:style>
  <w:style w:type="paragraph" w:styleId="ListContinue3">
    <w:name w:val="List Continue 3"/>
    <w:basedOn w:val="List3"/>
    <w:rsid w:val="00E56FAE"/>
    <w:pPr>
      <w:ind w:left="1021" w:firstLine="0"/>
    </w:pPr>
  </w:style>
  <w:style w:type="paragraph" w:styleId="ListContinue4">
    <w:name w:val="List Continue 4"/>
    <w:basedOn w:val="List4"/>
    <w:rsid w:val="00E56FAE"/>
    <w:pPr>
      <w:ind w:firstLine="0"/>
    </w:pPr>
  </w:style>
  <w:style w:type="paragraph" w:styleId="ListContinue5">
    <w:name w:val="List Continue 5"/>
    <w:basedOn w:val="List5"/>
    <w:rsid w:val="00E56FAE"/>
    <w:pPr>
      <w:ind w:firstLine="0"/>
    </w:pPr>
  </w:style>
  <w:style w:type="paragraph" w:styleId="ListNumber3">
    <w:name w:val="List Number 3"/>
    <w:basedOn w:val="List3"/>
    <w:rsid w:val="00E56FAE"/>
    <w:pPr>
      <w:numPr>
        <w:numId w:val="3"/>
      </w:numPr>
    </w:pPr>
  </w:style>
  <w:style w:type="paragraph" w:styleId="ListNumber4">
    <w:name w:val="List Number 4"/>
    <w:basedOn w:val="List4"/>
    <w:rsid w:val="00E56FAE"/>
    <w:pPr>
      <w:numPr>
        <w:numId w:val="4"/>
      </w:numPr>
    </w:pPr>
  </w:style>
  <w:style w:type="paragraph" w:styleId="ListNumber5">
    <w:name w:val="List Number 5"/>
    <w:basedOn w:val="List5"/>
    <w:rsid w:val="00E56FAE"/>
    <w:pPr>
      <w:numPr>
        <w:numId w:val="5"/>
      </w:numPr>
    </w:pPr>
  </w:style>
  <w:style w:type="paragraph" w:styleId="BlockText">
    <w:name w:val="Block Text"/>
    <w:basedOn w:val="Normal"/>
    <w:rsid w:val="00E56FAE"/>
    <w:pPr>
      <w:spacing w:after="120"/>
      <w:ind w:left="1440" w:right="1440"/>
    </w:pPr>
  </w:style>
  <w:style w:type="character" w:customStyle="1" w:styleId="Subscript">
    <w:name w:val="Subscript"/>
    <w:rsid w:val="00E56FAE"/>
    <w:rPr>
      <w:sz w:val="16"/>
      <w:vertAlign w:val="subscript"/>
    </w:rPr>
  </w:style>
  <w:style w:type="character" w:customStyle="1" w:styleId="Superscript">
    <w:name w:val="Superscript"/>
    <w:rsid w:val="00E56FAE"/>
    <w:rPr>
      <w:sz w:val="16"/>
      <w:vertAlign w:val="superscript"/>
    </w:rPr>
  </w:style>
  <w:style w:type="character" w:customStyle="1" w:styleId="Symbols">
    <w:name w:val="Symbols"/>
    <w:rsid w:val="00E56FAE"/>
    <w:rPr>
      <w:rFonts w:ascii="Symbol" w:hAnsi="Symbol"/>
    </w:rPr>
  </w:style>
  <w:style w:type="character" w:customStyle="1" w:styleId="MenuOptions">
    <w:name w:val="Menu Options"/>
    <w:rsid w:val="00E56FAE"/>
    <w:rPr>
      <w:rFonts w:ascii="Arial Narrow" w:hAnsi="Arial Narrow"/>
      <w:smallCaps/>
    </w:rPr>
  </w:style>
  <w:style w:type="character" w:customStyle="1" w:styleId="Buttons">
    <w:name w:val="Buttons"/>
    <w:rsid w:val="00E56FAE"/>
    <w:rPr>
      <w:b/>
    </w:rPr>
  </w:style>
  <w:style w:type="character" w:customStyle="1" w:styleId="Underlined">
    <w:name w:val="Underlined"/>
    <w:rsid w:val="00E56FAE"/>
    <w:rPr>
      <w:u w:val="single"/>
    </w:rPr>
  </w:style>
  <w:style w:type="paragraph" w:customStyle="1" w:styleId="TableBodyTextRight">
    <w:name w:val="Table Body Text Right"/>
    <w:basedOn w:val="TableBodyText"/>
    <w:rsid w:val="00E56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FAE"/>
    <w:rPr>
      <w:sz w:val="18"/>
    </w:rPr>
  </w:style>
  <w:style w:type="paragraph" w:customStyle="1" w:styleId="BodySmallRight">
    <w:name w:val="Body Small Right"/>
    <w:basedOn w:val="BodyTextRight"/>
    <w:rsid w:val="00E56FAE"/>
    <w:rPr>
      <w:sz w:val="18"/>
      <w:szCs w:val="18"/>
    </w:rPr>
  </w:style>
  <w:style w:type="paragraph" w:customStyle="1" w:styleId="MarginEdition">
    <w:name w:val="Margin Edition"/>
    <w:basedOn w:val="MarginNote"/>
    <w:rsid w:val="00E56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FAE"/>
    <w:rPr>
      <w:sz w:val="2"/>
      <w:szCs w:val="2"/>
    </w:rPr>
  </w:style>
  <w:style w:type="character" w:customStyle="1" w:styleId="Small">
    <w:name w:val="Small"/>
    <w:rsid w:val="00E56FAE"/>
    <w:rPr>
      <w:sz w:val="16"/>
    </w:rPr>
  </w:style>
  <w:style w:type="paragraph" w:customStyle="1" w:styleId="WideTable">
    <w:name w:val="Wide Table"/>
    <w:basedOn w:val="Normal"/>
    <w:rsid w:val="00E56FAE"/>
    <w:pPr>
      <w:ind w:left="-1418"/>
    </w:pPr>
    <w:rPr>
      <w:sz w:val="2"/>
      <w:szCs w:val="2"/>
    </w:rPr>
  </w:style>
  <w:style w:type="character" w:styleId="PageNumber">
    <w:name w:val="page number"/>
    <w:rsid w:val="00E56FAE"/>
  </w:style>
  <w:style w:type="paragraph" w:styleId="Quote">
    <w:name w:val="Quote"/>
    <w:basedOn w:val="Heading1"/>
    <w:link w:val="QuoteChar"/>
    <w:qFormat/>
    <w:rsid w:val="00E56FA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56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FAE"/>
    <w:pPr>
      <w:pageBreakBefore/>
    </w:pPr>
  </w:style>
  <w:style w:type="paragraph" w:customStyle="1" w:styleId="Border">
    <w:name w:val="Border"/>
    <w:basedOn w:val="Normal"/>
    <w:qFormat/>
    <w:rsid w:val="00E56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56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56FA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56FA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56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56FAE"/>
    <w:rPr>
      <w:u w:val="single"/>
    </w:rPr>
  </w:style>
  <w:style w:type="character" w:customStyle="1" w:styleId="BoldandItalics">
    <w:name w:val="Bold and Italics"/>
    <w:qFormat/>
    <w:rsid w:val="00E56FAE"/>
    <w:rPr>
      <w:b/>
      <w:i/>
      <w:u w:val="none"/>
    </w:rPr>
  </w:style>
  <w:style w:type="paragraph" w:styleId="BalloonText">
    <w:name w:val="Balloon Text"/>
    <w:basedOn w:val="Normal"/>
    <w:link w:val="BalloonTextChar"/>
    <w:rsid w:val="00E56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56FA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6FA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56FA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2162</Words>
  <Characters>12631</Characters>
  <Application>Microsoft Office Word</Application>
  <DocSecurity>0</DocSecurity>
  <Lines>889</Lines>
  <Paragraphs>405</Paragraphs>
  <ScaleCrop>false</ScaleCrop>
  <Company>Author-it Software Corporation Ltd.</Company>
  <LinksUpToDate>false</LinksUpToDate>
  <CharactersWithSpaces>14411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TDMMF3007B MAINTAIN A SAFE NAVIGATIONAL WATCH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2012-05-26T21:53:00Z</dcterms:created>
  <dcterms:modified xsi:type="dcterms:W3CDTF">2012-05-26T21:53:00Z</dcterms:modified>
</cp:coreProperties>
</file>