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54E" w:rsidP="00EC3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TDMMF2607B ESTABLISH WATCHKEEPING ARRANGEMENTS AND PROCEDURES</w:t>
      </w:r>
      <w:r>
        <w:fldChar w:fldCharType="end"/>
      </w:r>
    </w:p>
    <w:p w:rsidR="00EC354E" w:rsidP="00EC354E">
      <w:pPr>
        <w:pStyle w:val="Version"/>
        <w:sectPr w:rsidSect="004B7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B7AE5" w:rsidP="004B7AE5">
      <w:pPr>
        <w:pStyle w:val="SuperHeading"/>
      </w:pPr>
      <w:r w:rsidRPr="004B7AE5">
        <w:t>TDMMF2607B ESTABLISH WATCHKEEPING ARRANGEMENTS AND PROCEDURES</w:t>
      </w:r>
    </w:p>
    <w:p w:rsidR="00000000" w:rsidRPr="004B7AE5" w:rsidP="004B7AE5">
      <w:pPr>
        <w:pStyle w:val="SuperHeading"/>
      </w:pPr>
    </w:p>
    <w:p w:rsidR="00000000" w:rsidRPr="004B7AE5" w:rsidP="004B7AE5">
      <w:pPr>
        <w:pStyle w:val="Heading1"/>
      </w:pPr>
      <w:bookmarkStart w:id="1" w:name="O_151155"/>
      <w:bookmarkEnd w:id="1"/>
      <w:r w:rsidRPr="004B7AE5">
        <w:t>Modification History</w:t>
      </w:r>
    </w:p>
    <w:p w:rsidR="00000000" w:rsidRPr="004B7AE5" w:rsidP="004B7AE5">
      <w:pPr>
        <w:pStyle w:val="BodyText"/>
      </w:pPr>
      <w:r w:rsidRPr="004B7AE5">
        <w:t>Not applicable.</w:t>
      </w: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2" w:name="O_151156"/>
      <w:bookmarkEnd w:id="2"/>
      <w:r w:rsidRPr="004B7AE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UNIT DESCRIPTOR: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 xml:space="preserve">This unit involves the skills and knowledge required to establish and maintain bridge </w:t>
            </w:r>
            <w:r w:rsidRPr="004B7AE5">
              <w:rPr>
                <w:rStyle w:val="SpecialBold"/>
              </w:rPr>
              <w:t>and engine room watchkeeping arrangements in compliance with Australian and international regulations and guidelines to ensure the safety of navigation</w:t>
            </w:r>
            <w:r w:rsidRPr="004B7AE5">
              <w:t xml:space="preserve">, </w:t>
            </w:r>
            <w:r w:rsidRPr="004B7AE5">
              <w:rPr>
                <w:rStyle w:val="SpecialBold"/>
              </w:rPr>
              <w:t xml:space="preserve">protection of the marine environment and the safety of an ocean going commercial vessel and persons on </w:t>
            </w:r>
            <w:r w:rsidRPr="004B7AE5">
              <w:rPr>
                <w:rStyle w:val="SpecialBold"/>
              </w:rPr>
              <w:t>board</w:t>
            </w:r>
            <w:r w:rsidRPr="004B7AE5">
              <w:t>.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3" w:name="O_151157"/>
      <w:bookmarkEnd w:id="3"/>
      <w:r w:rsidRPr="004B7AE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The unit covers requirements for the management of bridge and engine room watchkeeping arrangements on an ocean-going commercial vessel and has applications in q</w:t>
            </w:r>
            <w:r w:rsidRPr="004B7AE5">
              <w:t>ualifications for Master (Unlimited), i.e. Advanced Diploma of Transport&amp;Distribution(Maritime Operations - Master Unlimited) and Chief Engineers, i.e. Advanced Diploma of Transport&amp;Distribution(Marine Engineering Class 1) and Advanced Diploma of Transport</w:t>
            </w:r>
            <w:r w:rsidRPr="004B7AE5">
              <w:t>&amp;Distribution(Marine Engineering Class 2)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4" w:name="O_151158"/>
      <w:bookmarkEnd w:id="4"/>
      <w:r w:rsidRPr="004B7AE5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Licensing</w:t>
            </w:r>
            <w:r w:rsidRPr="004B7AE5">
              <w:t>/</w:t>
            </w:r>
            <w:r w:rsidRPr="004B7AE5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The unit is consistent with the relevant maritime requirements for the management of bridge and engine room watchkeeping arrangements on an ocean-going commercial vessel. This includes applicable sections of STCW 95 and AMSA certification and regulatory re</w:t>
            </w:r>
            <w:r w:rsidRPr="004B7AE5">
              <w:t>quirements under Marine Orders Part 3, Seagoing Qualifications, Issue 6.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5" w:name="O_151160"/>
      <w:bookmarkEnd w:id="5"/>
      <w:r w:rsidRPr="004B7AE5">
        <w:t>Pre-Requisites</w:t>
      </w:r>
    </w:p>
    <w:p w:rsidR="00000000" w:rsidRPr="004B7AE5" w:rsidP="004B7AE5">
      <w:pPr>
        <w:pStyle w:val="BodyText"/>
      </w:pPr>
      <w:r w:rsidRPr="004B7AE5">
        <w:t>Not applicable.</w:t>
      </w: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6" w:name="O_151159"/>
      <w:bookmarkEnd w:id="6"/>
      <w:r w:rsidRPr="004B7AE5">
        <w:t>Employability Skills Information</w:t>
      </w:r>
    </w:p>
    <w:p w:rsidR="00000000" w:rsidRPr="004B7AE5" w:rsidP="004B7AE5">
      <w:pPr>
        <w:pStyle w:val="BodyText"/>
      </w:pPr>
      <w:r w:rsidRPr="004B7AE5">
        <w:t>Not applicable.</w:t>
      </w: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7" w:name="O_151161"/>
      <w:bookmarkEnd w:id="7"/>
      <w:r w:rsidRPr="004B7AE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Emphasis"/>
              </w:rPr>
              <w:t>Elem</w:t>
            </w:r>
            <w:r w:rsidRPr="004B7AE5">
              <w:rPr>
                <w:rStyle w:val="Emphasis"/>
              </w:rPr>
              <w:t>ents describe the essential outcomes of a unit of competency</w:t>
            </w:r>
            <w:r w:rsidRPr="004B7AE5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Emphasis"/>
              </w:rPr>
              <w:t>Performance Criteria describe the required performance needed to demonstrate achievement of the element</w:t>
            </w:r>
            <w:r w:rsidRPr="004B7AE5">
              <w:t xml:space="preserve">. </w:t>
            </w:r>
            <w:r w:rsidRPr="004B7AE5">
              <w:rPr>
                <w:rStyle w:val="Emphasis"/>
              </w:rPr>
              <w:t>Assessment of performance is to be consistent with the Evidence Guide</w:t>
            </w:r>
            <w:r w:rsidRPr="004B7AE5">
              <w:t>.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8" w:name="O_151162"/>
      <w:bookmarkEnd w:id="8"/>
      <w:r w:rsidRPr="004B7A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32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PERFORMANCE CRITERIA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Establish bridge</w:t>
            </w:r>
            <w:r w:rsidRPr="004B7AE5">
              <w:t>/</w:t>
            </w:r>
            <w:r w:rsidRPr="004B7AE5">
              <w:rPr>
                <w:rStyle w:val="SpecialBold"/>
              </w:rPr>
              <w:t>engine room working systems and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Watchkeeping arrangements and procedures are established as required by AMSA Marine Orders and company procedures taking into account relevant factors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principles of bridge resource management (BRM) are appropriately applied in the establishment of watchkeeping arrangements and procedures and the development of an effective bridge working system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Composition of the watch is determined in accordance with the principles set out in AMSA Marine Orders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</w:t>
            </w:r>
          </w:p>
        </w:tc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Bridge/engine room working systems is documented as required and communicated to bridge or engine room personnel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6024"/>
        <w:gridCol w:w="30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PERFORMANCE CRITERIA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Manage the bridge</w:t>
            </w:r>
            <w:r w:rsidRPr="004B7AE5">
              <w:t>/</w:t>
            </w:r>
            <w:r w:rsidRPr="004B7AE5">
              <w:rPr>
                <w:rStyle w:val="SpecialBold"/>
              </w:rPr>
              <w:t>engine room teams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current competency of personnel is evaluated and appropriate measures are taken to ensure all personnel have the required level of competency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Personnel are assigned in accordance with their assessed level of current competency and experience and established bridge or engine room watchkeeping requirements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Watchkeeping arrangements and procedures and are explained to assigned watch officers and other bridge or engine room personnel, and their duties and responsibilities confirmed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Fatigue management strategies are applied within the bridge/engine room ma</w:t>
            </w:r>
            <w:r w:rsidRPr="004B7AE5">
              <w:t>nagement team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</w:t>
            </w:r>
          </w:p>
        </w:tc>
        <w:tc>
          <w:tcPr>
            <w:tcW w:w="60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Watchkeeping operations are monitored and appropriate action is taken where they are found to be in breach of established arrangements, regulations and procedures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9" w:name="O_151163"/>
      <w:bookmarkEnd w:id="9"/>
      <w:r w:rsidRPr="004B7AE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REQUIRED KNOWLEDGE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This describes the knowledge required for this unit.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Sections of IMO STCW Convention and Codes and AMSA Marine Orders dealing with watchkeeping principles, arrangements, procedures, roles and responsibilities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Relevant OH&amp;S legislation and policies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bridge resource management systems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Implications of a range of factors that can affect watchkeeping functions and the composition of the bridge engine room management team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Causes of groundings, collisions and casualties when on board a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Navigational hazards and implications for watchkeeping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Operating procedures for typical navigational aids and skills and knowledge needed to use them effectively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Watch handover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Bridge instrumentation, controls and alarms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Functions </w:t>
            </w:r>
            <w:r w:rsidRPr="004B7AE5">
              <w:t>of unmanned machinery space (UMS) controls, alarms and indicators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Ways of assessing the current competency of the vessel's officers and crew and their familiarity with the vessel's equipment, procedures, and manoeuvring capability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Rudder and propeller control and vessel manoeuvring characteristics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Precautions necessary when navigating in or near traffic separation schemes or other routeing measures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Signs of fatigue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Fatigue management principles and techniques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Mariti</w:t>
            </w:r>
            <w:r w:rsidRPr="004B7AE5">
              <w:t>me communication techniques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REQUIRED SKILLS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Emphasis"/>
              </w:rPr>
              <w:t>This describes the basic skills required for this unit</w:t>
            </w:r>
            <w:r w:rsidRPr="004B7AE5">
              <w:t>.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Communicate effectively with others on watchkeeping issues, arrangements and requirements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Read, interpret and apply instructions, procedures and information relevant to watchkeeping procedures and responsibilities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Establish and maintain appropriate internal and external communication systems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Use management skills effectively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</w:t>
            </w:r>
            <w:r w:rsidRPr="004B7AE5">
              <w:t>cognise and interpret signs of fatigue among bridge team and initiate appropriate action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Conduct meetings of bridge team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Demonstrate effective leadership of the bridge or engine room watchkeeping team on a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Plan and organise watchkeeping arr</w:t>
            </w:r>
            <w:r w:rsidRPr="004B7AE5">
              <w:t>angements on board a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Motivate watchkeeping personnel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Investigate and arbitrate shipboard conflicts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Promote adherence to watchkeeping principles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Maintain a vessel's security plan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Assist bridge team members to develop and maintain the required level of competency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Monitor watchkeeping arrangements and take appropriate action where there is an identified breach of established arrangements, regulations or procedures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10" w:name="O_151164"/>
      <w:bookmarkEnd w:id="10"/>
      <w:r w:rsidRPr="004B7AE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"/>
        <w:gridCol w:w="1786"/>
        <w:gridCol w:w="360"/>
        <w:gridCol w:w="359"/>
        <w:gridCol w:w="5309"/>
        <w:gridCol w:w="347"/>
        <w:gridCol w:w="12"/>
        <w:gridCol w:w="16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  <w:tblHeader/>
        </w:trPr>
        <w:tc>
          <w:tcPr>
            <w:tcW w:w="84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Evidence Guide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Emphasis"/>
              </w:rPr>
              <w:t>The Evidence Guide provides advice on assessment and must be read in conjunction with the Performance Criteria</w:t>
            </w:r>
            <w:r w:rsidRPr="004B7AE5">
              <w:t xml:space="preserve">, </w:t>
            </w:r>
            <w:r w:rsidRPr="004B7AE5">
              <w:rPr>
                <w:rStyle w:val="Emphasis"/>
              </w:rPr>
              <w:t>Required Skills and Knowledge</w:t>
            </w:r>
            <w:r w:rsidRPr="004B7AE5">
              <w:t xml:space="preserve">, </w:t>
            </w:r>
            <w:r w:rsidRPr="004B7AE5">
              <w:rPr>
                <w:rStyle w:val="Emphasis"/>
              </w:rPr>
              <w:t>the Range Statement and the Assessment Guidelines for this Training Package</w:t>
            </w:r>
            <w:r w:rsidRPr="004B7AE5">
              <w:t>.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1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Assessment must confirm appropriate knowledge and skills to: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75" w:type="dxa"/>
        </w:trPr>
        <w:tc>
          <w:tcPr>
            <w:tcW w:w="30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75" w:type="dxa"/>
        </w:trPr>
        <w:tc>
          <w:tcPr>
            <w:tcW w:w="30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Assign watchkeeping responsibilities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75" w:type="dxa"/>
        </w:trPr>
        <w:tc>
          <w:tcPr>
            <w:tcW w:w="30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Assess current competency of bridge or engine room personnel in terms of their watchkeeping roles and responsibilities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75" w:type="dxa"/>
        </w:trPr>
        <w:tc>
          <w:tcPr>
            <w:tcW w:w="30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Monitor watchkeeping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75" w:type="dxa"/>
        </w:trPr>
        <w:tc>
          <w:tcPr>
            <w:tcW w:w="304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Communicate effectively with others about watchkeeping arrangements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602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Performance is demonstrated consistently over a period of time and in a suitable range of contexts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Consistently applies underpinning knowledge and skills when: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establishing and monitoring watchkeeping arrangements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identifying and evaluating bridge or engine room management problems and determining appropriate courses of action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identifying and implementing improvements to bridge or engine room management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applying safety precautions relevant to watchkeeping operations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assessing competency and experience of vessel's officers and crew and their suitability for watchkeeping roles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c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Shows evidence of application of relevant workplace procedures, including: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relevant sections of maritime regulations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vessel's safety management system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OH&amp;S regulations and hazard prevention policies and procedures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job procedures and work instructions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relevant guidelines relating to bridge or engine room managem</w:t>
            </w:r>
            <w:r w:rsidRPr="004B7AE5">
              <w:t>ent and watchkeeping arrangements on board a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security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following bridge and engine room housekeeping processes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Action is taken promptly to report and/or rectify watchkeeping incidents in accordance with established p</w:t>
            </w:r>
            <w:r w:rsidRPr="004B7AE5">
              <w:t>rocedures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"/>
        <w:gridCol w:w="1786"/>
        <w:gridCol w:w="360"/>
        <w:gridCol w:w="359"/>
        <w:gridCol w:w="357"/>
        <w:gridCol w:w="5299"/>
        <w:gridCol w:w="12"/>
        <w:gridCol w:w="16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  <w:tblHeader/>
        </w:trPr>
        <w:tc>
          <w:tcPr>
            <w:tcW w:w="84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Evidence Guide</w:t>
            </w:r>
            <w:r w:rsidRPr="004B7AE5">
              <w:t xml:space="preserve"> 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Evidence required for demonstration of consistent performance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Work is completed systematically with required attention to detail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Recognises and adapts appropriately to cultural differences in the workplace, including modes of behaviour and interactions between crew and others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3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Assessment of competency must comply with the assessment requirements of the relevant maritime regulations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Assessment of this unit must be undertaken within relevant marine authority approved and audited arrangements by a registered training organisation: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 a minimum, assessment of knowledge must be conducted through appropriate written/oral examinations, and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Appropriate practical assessment must occur: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at the registered training organisation; and/or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on an appropriate working or training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4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Specific</w:t>
            </w:r>
            <w:r w:rsidRPr="004B7AE5">
              <w:t xml:space="preserve"> </w:t>
            </w:r>
            <w:r w:rsidRPr="004B7AE5">
              <w:rPr>
                <w:rStyle w:val="SpecialBold"/>
              </w:rPr>
              <w:t>resources</w:t>
            </w:r>
            <w:r w:rsidRPr="004B7AE5">
              <w:t xml:space="preserve"> </w:t>
            </w:r>
            <w:r w:rsidRPr="004B7AE5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Access is required to opportunities to: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demonstrate the ability to establish and manage watch</w:t>
            </w:r>
            <w:r w:rsidRPr="004B7AE5">
              <w:t>keeping arrangements through a range of case studies, exercises and assignments that suitably simulate a range of watchkeeping situations; and/or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establish and manage the watchkeeping arrangements on an operational commercial vessel in an appropriate range of contexts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11" w:name="O_151165"/>
      <w:bookmarkEnd w:id="11"/>
      <w:r w:rsidRPr="004B7AE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08"/>
        <w:gridCol w:w="6"/>
        <w:gridCol w:w="18"/>
        <w:gridCol w:w="32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  <w:tblHeader/>
        </w:trPr>
        <w:tc>
          <w:tcPr>
            <w:tcW w:w="84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Range Statement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Emphasis"/>
              </w:rPr>
              <w:t>The Range Statement relates to the unit of competency as a whole</w:t>
            </w:r>
            <w:r w:rsidRPr="004B7AE5">
              <w:t xml:space="preserve">. </w:t>
            </w:r>
            <w:r w:rsidRPr="004B7AE5">
              <w:rPr>
                <w:rStyle w:val="Emphasis"/>
              </w:rPr>
              <w:t>It allows for different work environments and situations that may affect performance</w:t>
            </w:r>
            <w:r w:rsidRPr="004B7AE5">
              <w:t>.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SCOPE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1</w:t>
            </w:r>
            <w:r w:rsidRPr="004B7AE5">
              <w:t>.</w:t>
            </w:r>
            <w:r w:rsidRPr="004B7AE5">
              <w:tab/>
            </w:r>
            <w:r w:rsidRPr="004B7AE5">
              <w:rPr>
                <w:rStyle w:val="SpecialBold"/>
              </w:rPr>
              <w:t>GENERAL CONTEXT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a</w:t>
            </w:r>
            <w:r w:rsidRPr="004B7A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Work must be carried out</w:t>
            </w:r>
            <w:r w:rsidRPr="004B7AE5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in compliance with relevant maritime regulations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b</w:t>
            </w:r>
            <w:r w:rsidRPr="004B7A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Work is performed</w:t>
            </w:r>
            <w:r w:rsidRPr="004B7AE5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independently under broad operational requirements, with accountability and responsibility for self and others in achieving the prescribed outcomes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c</w:t>
            </w:r>
            <w:r w:rsidRPr="004B7A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Work involves</w:t>
            </w:r>
            <w:r w:rsidRPr="004B7AE5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application of a significant range of fundamental nautical principles and complex manoeuvring techniques across a wide and often unpredictable variety of operational contexts. Planning, establishment and maintenance of watchkeeping arrangements is requ</w:t>
            </w:r>
            <w:r w:rsidRPr="004B7AE5">
              <w:t>ired. Accountability and responsibility for self and others in achieving the required watchkeeping functions is involved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d</w:t>
            </w:r>
            <w:r w:rsidRPr="004B7AE5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Work requires</w:t>
            </w:r>
            <w:r w:rsidRPr="004B7AE5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significant judgement in planning, organisational and leadership functions related to the establishment of watchkeeping arrangements and procedures for commercial vessels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2</w:t>
            </w:r>
            <w:r w:rsidRPr="004B7AE5">
              <w:t>.</w:t>
            </w:r>
            <w:r w:rsidRPr="004B7AE5">
              <w:tab/>
            </w:r>
            <w:r w:rsidRPr="004B7AE5">
              <w:rPr>
                <w:rStyle w:val="SpecialBold"/>
              </w:rPr>
              <w:t>WORKSITE ENVIRONMENT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Vessel may include</w:t>
            </w:r>
            <w:r w:rsidRPr="004B7A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any Australian or international commercial vessel of unlimited tonnage or propulsion power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Watchkeeping arrangements and procedures may be implemented</w:t>
            </w:r>
            <w:r w:rsidRPr="004B7AE5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by day or night in both normal and emergency situations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under any possible conditions of weather and loading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while underway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during berthing and unberthing operations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while anchoring or mooring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while in port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while moored or at anchor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182"/>
        <w:gridCol w:w="5836"/>
        <w:gridCol w:w="24"/>
        <w:gridCol w:w="31"/>
        <w:gridCol w:w="11"/>
        <w:gridCol w:w="18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4" w:type="dxa"/>
          <w:tblHeader/>
        </w:trPr>
        <w:tc>
          <w:tcPr>
            <w:tcW w:w="84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Range Statement</w:t>
            </w:r>
            <w:r w:rsidRPr="004B7AE5">
              <w:t xml:space="preserve"> 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9" w:type="dxa"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VARIABLE</w:t>
            </w:r>
          </w:p>
        </w:tc>
        <w:tc>
          <w:tcPr>
            <w:tcW w:w="643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SCOPE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Watchkeeping arrangements and procedures may be implemented</w:t>
            </w:r>
            <w:r w:rsidRPr="004B7AE5">
              <w:t xml:space="preserve">: 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8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when bunkering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9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during cargo operations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c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Watchkeeping includes</w:t>
            </w:r>
            <w:r w:rsidRPr="004B7A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both bridge and engine room watchkeeping duties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Watchkeeping principles</w:t>
            </w:r>
            <w:r w:rsidRPr="004B7AE5">
              <w:t xml:space="preserve"> (</w:t>
            </w:r>
            <w:r w:rsidRPr="004B7AE5">
              <w:rPr>
                <w:rStyle w:val="SpecialBold"/>
              </w:rPr>
              <w:t>as described in the AMSA Marine Orders</w:t>
            </w:r>
            <w:r w:rsidRPr="004B7AE5">
              <w:t xml:space="preserve">) </w:t>
            </w:r>
            <w:r w:rsidRPr="004B7AE5">
              <w:rPr>
                <w:rStyle w:val="SpecialBold"/>
              </w:rPr>
              <w:t>include</w:t>
            </w:r>
            <w:r w:rsidRPr="004B7A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proper lookout must be maintained at all times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duties of look-out and helmsman must be kept separate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look-out must give full attention to keeping a proper look-out and must not be given other duties which could interfere with the task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all necessary precautions must be taken to avoid pollution of the marine environment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assistance must be available to be summoned to the bridge or engine room if required by a change in the vessel's situation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Fatigue management strategies may include</w:t>
            </w:r>
            <w:r w:rsidRPr="004B7AE5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recognition of symptoms of fatigue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arranging to take a break when symptoms of fatigue are identified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maintenance of personal fitness and health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appropriate dietary habits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avoidance of excessive consumption of alcohol prior to watchkeeping duties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Factors to be taken into account when establishing watchkeeping arrangements include</w:t>
            </w:r>
            <w:r w:rsidRPr="004B7AE5">
              <w:t>:</w:t>
            </w: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bridge or engine room must never be left unattended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weather and sea conditions, visibility and whether there is daylight or darkness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proximity of navigational hazards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use and operational condition of navigational aids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operational status of bridge/engine room instrumentation, controls and alarms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whether the vessel is fitted with an automatic steering system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whether there are radio duties to be performed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8</w:t>
            </w:r>
          </w:p>
        </w:tc>
        <w:tc>
          <w:tcPr>
            <w:tcW w:w="59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provision of unmanned machinery space (UMS) controls, alarms and indicators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4"/>
        <w:gridCol w:w="28"/>
        <w:gridCol w:w="100"/>
        <w:gridCol w:w="5836"/>
        <w:gridCol w:w="66"/>
        <w:gridCol w:w="18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" w:type="dxa"/>
          <w:tblHeader/>
        </w:trPr>
        <w:tc>
          <w:tcPr>
            <w:tcW w:w="84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Range Statement</w:t>
            </w:r>
            <w:r w:rsidRPr="004B7AE5">
              <w:t xml:space="preserve"> 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SCOPE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Factors to be taken into account when establishing watchkeeping arrangements include</w:t>
            </w:r>
            <w:r w:rsidRPr="004B7AE5">
              <w:t>: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</w:tc>
        <w:tc>
          <w:tcPr>
            <w:tcW w:w="54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9</w:t>
            </w:r>
          </w:p>
        </w:tc>
        <w:tc>
          <w:tcPr>
            <w:tcW w:w="59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unusual demands on the watch arising from operational conditions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10</w:t>
            </w:r>
          </w:p>
        </w:tc>
        <w:tc>
          <w:tcPr>
            <w:tcW w:w="59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traffic density and other activities occurring in the area in which the vessel i</w:t>
            </w:r>
            <w:r w:rsidRPr="004B7AE5">
              <w:t xml:space="preserve">s navigating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11</w:t>
            </w:r>
          </w:p>
        </w:tc>
        <w:tc>
          <w:tcPr>
            <w:tcW w:w="59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size of the vessel and the field of vision available from the conning position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12</w:t>
            </w:r>
          </w:p>
        </w:tc>
        <w:tc>
          <w:tcPr>
            <w:tcW w:w="59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attention necessary when navigating in or near traffic separation schemes or other routeing measures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13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the professional competency and experience of the vessel's officers and crew and their familiarity with the vessel's equipment, procedures, and manoeuvring capability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14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fitness for duty of any crew members on call who are assigned as members of t</w:t>
            </w:r>
            <w:r w:rsidRPr="004B7AE5">
              <w:t xml:space="preserve">he watch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15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rudder and propeller control and vessel manoeuvring characteristics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16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the additional workload caused by the nature of the vessel's functions, immediate operating requirements and anticipated manoeuvres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Available navigational aids may include</w:t>
            </w:r>
            <w:r w:rsidRPr="004B7AE5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radar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electronic position indicating devices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8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other bridge equipment affecting the safe navigation of the vessel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Documentation</w:t>
            </w:r>
            <w:r w:rsidRPr="004B7AE5">
              <w:t>/</w:t>
            </w:r>
            <w:r w:rsidRPr="004B7AE5">
              <w:rPr>
                <w:rStyle w:val="SpecialBold"/>
              </w:rPr>
              <w:t>records may include</w:t>
            </w:r>
            <w:r w:rsidRPr="004B7AE5">
              <w:t>:</w:t>
            </w: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ISM Code safety management system plans, procedures, checklists and instructions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operational orders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navigational charts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IMO STCW 95 Convention and Code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AMSA Marine Orders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6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ICSBridge Procedures Guide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7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vessel's log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8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company procedures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9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instructions of relevant maritime authorities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10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pilot instructions where relevant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11</w:t>
            </w:r>
          </w:p>
        </w:tc>
        <w:tc>
          <w:tcPr>
            <w:tcW w:w="60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 xml:space="preserve">relevant Australian and international standards </w:t>
            </w:r>
          </w:p>
        </w:tc>
      </w:tr>
    </w:tbl>
    <w:p w:rsidR="00000000" w:rsidRPr="004B7AE5" w:rsidP="004B7AE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6018"/>
        <w:gridCol w:w="66"/>
        <w:gridCol w:w="18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4" w:type="dxa"/>
          <w:tblHeader/>
        </w:trPr>
        <w:tc>
          <w:tcPr>
            <w:tcW w:w="84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Range Statement</w:t>
            </w:r>
            <w:r w:rsidRPr="004B7AE5">
              <w:t xml:space="preserve"> (</w:t>
            </w:r>
            <w:r w:rsidRPr="004B7AE5">
              <w:rPr>
                <w:rStyle w:val="SpecialBold"/>
              </w:rPr>
              <w:t>continued</w:t>
            </w:r>
            <w:r w:rsidRPr="004B7AE5">
              <w:t xml:space="preserve">) </w:t>
            </w: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TDMMF2607B ESTABLISH WATCHKEEPING ARRANGEMENTS AND PROCEDURES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RPr="004B7AE5" w:rsidP="004B7AE5">
            <w:pPr>
              <w:pStyle w:val="BodyText"/>
            </w:pPr>
            <w:r w:rsidRPr="004B7AE5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SCOPE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Applicable procedures and codes may include</w:t>
            </w:r>
            <w:r w:rsidRPr="004B7AE5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1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</w:p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relevant sections of the IMO STCW 95 Convention and Code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2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relevant sections of AMSA Marine Orders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3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 xml:space="preserve">ISM Code 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4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International Regulations for Preventing Collisions at Sea</w:t>
            </w:r>
          </w:p>
        </w:tc>
      </w:tr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t>5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relevant international, Commonwealth, State and Territory OH&amp;S legislation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12" w:name="O_151166"/>
      <w:bookmarkEnd w:id="12"/>
      <w:r w:rsidRPr="004B7AE5">
        <w:t>Unit Sector(s)</w:t>
      </w:r>
    </w:p>
    <w:p w:rsidR="00000000" w:rsidRPr="004B7AE5" w:rsidP="004B7AE5">
      <w:pPr>
        <w:pStyle w:val="BodyText"/>
      </w:pPr>
      <w:r w:rsidRPr="004B7AE5">
        <w:t>Not applicable.</w:t>
      </w:r>
    </w:p>
    <w:p w:rsidR="00000000" w:rsidRPr="004B7AE5" w:rsidP="004B7AE5">
      <w:pPr>
        <w:pStyle w:val="AllowPageBreak"/>
      </w:pPr>
    </w:p>
    <w:p w:rsidR="00000000" w:rsidRPr="004B7AE5" w:rsidP="004B7AE5">
      <w:pPr>
        <w:pStyle w:val="Heading1"/>
      </w:pPr>
      <w:bookmarkStart w:id="13" w:name="O_163758"/>
      <w:bookmarkEnd w:id="13"/>
      <w:r w:rsidRPr="004B7AE5">
        <w:t>Field</w:t>
      </w:r>
    </w:p>
    <w:p w:rsidR="00EC354E" w:rsidP="004B7AE5">
      <w:pPr>
        <w:pStyle w:val="BodyText"/>
      </w:pPr>
      <w:r w:rsidRPr="004B7AE5">
        <w:t>Field</w:t>
      </w:r>
      <w:r w:rsidRPr="004B7AE5">
        <w:tab/>
        <w:t>MF</w:t>
      </w:r>
      <w:r w:rsidRPr="004B7AE5">
        <w:tab/>
        <w:t>Operational Quality and Safety</w:t>
      </w:r>
    </w:p>
    <w:p w:rsidR="00EC354E" w:rsidP="004B7AE5">
      <w:pPr>
        <w:pStyle w:val="BodyText"/>
      </w:pPr>
    </w:p>
    <w:p w:rsidR="00000000" w:rsidRPr="004B7AE5" w:rsidP="004B7AE5">
      <w:pPr>
        <w:pStyle w:val="Heading1"/>
      </w:pPr>
      <w:bookmarkStart w:id="14" w:name="O_163759"/>
      <w:bookmarkEnd w:id="14"/>
      <w:r w:rsidRPr="004B7AE5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C3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AE5">
            <w:pPr>
              <w:pStyle w:val="BodyText"/>
              <w:rPr>
                <w:lang w:val="en-NZ"/>
              </w:rPr>
            </w:pPr>
            <w:r w:rsidRPr="004B7AE5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AE5" w:rsidP="004B7AE5">
            <w:pPr>
              <w:pStyle w:val="BodyText"/>
            </w:pPr>
            <w:r w:rsidRPr="004B7AE5">
              <w:t>The unit may be assessed in conjunction with other units that relate to the functions of the occupation(s) concerned.</w:t>
            </w:r>
          </w:p>
        </w:tc>
      </w:tr>
    </w:tbl>
    <w:p w:rsidR="00000000" w:rsidRPr="004B7AE5" w:rsidP="004B7AE5">
      <w:pPr>
        <w:pStyle w:val="BodyText"/>
      </w:pPr>
    </w:p>
    <w:p w:rsidR="00000000" w:rsidRPr="004B7AE5" w:rsidP="004B7AE5"/>
    <w:sectPr w:rsidSect="004B7A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354E" w:rsidP="00EC3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E" w:rsidP="004B7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C354E" w:rsidP="004B7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C354E" w:rsidP="004B7A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354E" w:rsidP="00EC354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4E" w:rsidP="004B7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TDMMF2607B ESTABLISH WATCHKEEPING ARRANGEMENTS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C354E" w:rsidP="004B7A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B7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AE5"/>
  </w:style>
  <w:style w:type="character" w:customStyle="1" w:styleId="Heading1Char">
    <w:name w:val="Heading 1 Char"/>
    <w:basedOn w:val="DefaultParagraphFont"/>
    <w:link w:val="Heading1"/>
    <w:rsid w:val="004B7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A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A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B7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AE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B7AE5"/>
    <w:rPr>
      <w:b/>
      <w:spacing w:val="0"/>
    </w:rPr>
  </w:style>
  <w:style w:type="paragraph" w:styleId="Header">
    <w:name w:val="header"/>
    <w:basedOn w:val="Normal"/>
    <w:link w:val="HeaderChar"/>
    <w:rsid w:val="004B7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4B7AE5"/>
    <w:rPr>
      <w:i/>
    </w:rPr>
  </w:style>
  <w:style w:type="paragraph" w:customStyle="1" w:styleId="SuperHeading">
    <w:name w:val="SuperHeading"/>
    <w:basedOn w:val="Normal"/>
    <w:rsid w:val="004B7A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B7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A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B7A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B7A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B7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B7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A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A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B7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AE5"/>
  </w:style>
  <w:style w:type="paragraph" w:styleId="TableofFigures">
    <w:name w:val="table of figures"/>
    <w:basedOn w:val="Normal"/>
    <w:next w:val="Normal"/>
    <w:semiHidden/>
    <w:rsid w:val="004B7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AE5"/>
    <w:pPr>
      <w:numPr>
        <w:numId w:val="9"/>
      </w:numPr>
    </w:pPr>
  </w:style>
  <w:style w:type="character" w:customStyle="1" w:styleId="WingdingSymbols">
    <w:name w:val="Wingding Symbols"/>
    <w:rsid w:val="004B7AE5"/>
    <w:rPr>
      <w:rFonts w:ascii="Wingdings" w:hAnsi="Wingdings"/>
    </w:rPr>
  </w:style>
  <w:style w:type="paragraph" w:customStyle="1" w:styleId="TableHeading">
    <w:name w:val="Table Heading"/>
    <w:basedOn w:val="HeadingBase"/>
    <w:rsid w:val="004B7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AE5"/>
    <w:rPr>
      <w:color w:val="0033CC"/>
      <w:u w:val="none"/>
    </w:rPr>
  </w:style>
  <w:style w:type="paragraph" w:customStyle="1" w:styleId="BodyTextRight">
    <w:name w:val="Body Text Right"/>
    <w:basedOn w:val="BodyText"/>
    <w:rsid w:val="004B7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A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A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B7AE5"/>
    <w:rPr>
      <w:sz w:val="32"/>
    </w:rPr>
  </w:style>
  <w:style w:type="paragraph" w:customStyle="1" w:styleId="HeadingProcedure">
    <w:name w:val="Heading Procedure"/>
    <w:basedOn w:val="HeadingBase"/>
    <w:next w:val="Normal"/>
    <w:rsid w:val="004B7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AE5"/>
    <w:pPr>
      <w:spacing w:before="60" w:after="60"/>
    </w:pPr>
  </w:style>
  <w:style w:type="paragraph" w:styleId="ListContinue">
    <w:name w:val="List Continue"/>
    <w:basedOn w:val="List"/>
    <w:rsid w:val="004B7AE5"/>
    <w:pPr>
      <w:ind w:firstLine="0"/>
    </w:pPr>
  </w:style>
  <w:style w:type="paragraph" w:customStyle="1" w:styleId="ListNote">
    <w:name w:val="List Note"/>
    <w:basedOn w:val="List"/>
    <w:rsid w:val="004B7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AE5"/>
    <w:rPr>
      <w:rFonts w:ascii="Courier New" w:hAnsi="Courier New"/>
    </w:rPr>
  </w:style>
  <w:style w:type="paragraph" w:customStyle="1" w:styleId="NoteBullet">
    <w:name w:val="Note Bullet"/>
    <w:basedOn w:val="Note"/>
    <w:rsid w:val="004B7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A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B7AE5"/>
    <w:rPr>
      <w:b/>
      <w:smallCaps/>
    </w:rPr>
  </w:style>
  <w:style w:type="paragraph" w:customStyle="1" w:styleId="TableListNumber">
    <w:name w:val="Table List Number"/>
    <w:basedOn w:val="ListNumber"/>
    <w:rsid w:val="004B7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AE5"/>
    <w:pPr>
      <w:numPr>
        <w:numId w:val="7"/>
      </w:numPr>
    </w:pPr>
  </w:style>
  <w:style w:type="paragraph" w:customStyle="1" w:styleId="ListAlpha2">
    <w:name w:val="List Alpha 2"/>
    <w:basedOn w:val="List2"/>
    <w:rsid w:val="004B7AE5"/>
    <w:pPr>
      <w:numPr>
        <w:numId w:val="6"/>
      </w:numPr>
    </w:pPr>
  </w:style>
  <w:style w:type="paragraph" w:styleId="List2">
    <w:name w:val="List 2"/>
    <w:basedOn w:val="BodyText"/>
    <w:rsid w:val="004B7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AE5"/>
    <w:pPr>
      <w:numPr>
        <w:numId w:val="1"/>
      </w:numPr>
    </w:pPr>
  </w:style>
  <w:style w:type="paragraph" w:styleId="ListBullet5">
    <w:name w:val="List Bullet 5"/>
    <w:basedOn w:val="List5"/>
    <w:rsid w:val="004B7AE5"/>
    <w:pPr>
      <w:numPr>
        <w:numId w:val="2"/>
      </w:numPr>
    </w:pPr>
  </w:style>
  <w:style w:type="paragraph" w:styleId="ListContinue2">
    <w:name w:val="List Continue 2"/>
    <w:basedOn w:val="List2"/>
    <w:rsid w:val="004B7AE5"/>
    <w:pPr>
      <w:ind w:firstLine="0"/>
    </w:pPr>
  </w:style>
  <w:style w:type="paragraph" w:styleId="ListContinue3">
    <w:name w:val="List Continue 3"/>
    <w:basedOn w:val="List3"/>
    <w:rsid w:val="004B7AE5"/>
    <w:pPr>
      <w:ind w:left="1021" w:firstLine="0"/>
    </w:pPr>
  </w:style>
  <w:style w:type="paragraph" w:styleId="ListContinue4">
    <w:name w:val="List Continue 4"/>
    <w:basedOn w:val="List4"/>
    <w:rsid w:val="004B7AE5"/>
    <w:pPr>
      <w:ind w:firstLine="0"/>
    </w:pPr>
  </w:style>
  <w:style w:type="paragraph" w:styleId="ListContinue5">
    <w:name w:val="List Continue 5"/>
    <w:basedOn w:val="List5"/>
    <w:rsid w:val="004B7AE5"/>
    <w:pPr>
      <w:ind w:firstLine="0"/>
    </w:pPr>
  </w:style>
  <w:style w:type="paragraph" w:styleId="ListNumber3">
    <w:name w:val="List Number 3"/>
    <w:basedOn w:val="List3"/>
    <w:rsid w:val="004B7AE5"/>
    <w:pPr>
      <w:numPr>
        <w:numId w:val="3"/>
      </w:numPr>
    </w:pPr>
  </w:style>
  <w:style w:type="paragraph" w:styleId="ListNumber4">
    <w:name w:val="List Number 4"/>
    <w:basedOn w:val="List4"/>
    <w:rsid w:val="004B7AE5"/>
    <w:pPr>
      <w:numPr>
        <w:numId w:val="4"/>
      </w:numPr>
    </w:pPr>
  </w:style>
  <w:style w:type="paragraph" w:styleId="ListNumber5">
    <w:name w:val="List Number 5"/>
    <w:basedOn w:val="List5"/>
    <w:rsid w:val="004B7AE5"/>
    <w:pPr>
      <w:numPr>
        <w:numId w:val="5"/>
      </w:numPr>
    </w:pPr>
  </w:style>
  <w:style w:type="paragraph" w:styleId="BlockText">
    <w:name w:val="Block Text"/>
    <w:basedOn w:val="Normal"/>
    <w:rsid w:val="004B7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AE5"/>
    <w:rPr>
      <w:sz w:val="16"/>
      <w:vertAlign w:val="superscript"/>
    </w:rPr>
  </w:style>
  <w:style w:type="character" w:customStyle="1" w:styleId="Symbols">
    <w:name w:val="Symbols"/>
    <w:basedOn w:val="DefaultParagraphFont"/>
    <w:rsid w:val="004B7AE5"/>
    <w:rPr>
      <w:rFonts w:ascii="Symbol" w:hAnsi="Symbol"/>
    </w:rPr>
  </w:style>
  <w:style w:type="character" w:customStyle="1" w:styleId="MenuOptions">
    <w:name w:val="Menu Options"/>
    <w:basedOn w:val="DefaultParagraphFont"/>
    <w:rsid w:val="004B7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AE5"/>
    <w:rPr>
      <w:b/>
    </w:rPr>
  </w:style>
  <w:style w:type="character" w:customStyle="1" w:styleId="Underlined">
    <w:name w:val="Underlined"/>
    <w:basedOn w:val="DefaultParagraphFont"/>
    <w:rsid w:val="004B7AE5"/>
    <w:rPr>
      <w:u w:val="single"/>
    </w:rPr>
  </w:style>
  <w:style w:type="paragraph" w:customStyle="1" w:styleId="TableBodyTextRight">
    <w:name w:val="Table Body Text Right"/>
    <w:basedOn w:val="TableBodyText"/>
    <w:rsid w:val="004B7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AE5"/>
    <w:rPr>
      <w:sz w:val="18"/>
    </w:rPr>
  </w:style>
  <w:style w:type="paragraph" w:customStyle="1" w:styleId="BodySmallRight">
    <w:name w:val="Body Small Right"/>
    <w:basedOn w:val="BodyTextRight"/>
    <w:rsid w:val="004B7AE5"/>
    <w:rPr>
      <w:sz w:val="18"/>
      <w:szCs w:val="18"/>
    </w:rPr>
  </w:style>
  <w:style w:type="paragraph" w:customStyle="1" w:styleId="MarginEdition">
    <w:name w:val="Margin Edition"/>
    <w:basedOn w:val="MarginNote"/>
    <w:rsid w:val="004B7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AE5"/>
    <w:rPr>
      <w:sz w:val="2"/>
      <w:szCs w:val="2"/>
    </w:rPr>
  </w:style>
  <w:style w:type="character" w:customStyle="1" w:styleId="Small">
    <w:name w:val="Small"/>
    <w:basedOn w:val="DefaultParagraphFont"/>
    <w:rsid w:val="004B7AE5"/>
    <w:rPr>
      <w:sz w:val="16"/>
    </w:rPr>
  </w:style>
  <w:style w:type="paragraph" w:customStyle="1" w:styleId="WideTable">
    <w:name w:val="Wide Table"/>
    <w:basedOn w:val="Normal"/>
    <w:rsid w:val="004B7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AE5"/>
  </w:style>
  <w:style w:type="paragraph" w:styleId="Quote">
    <w:name w:val="Quote"/>
    <w:basedOn w:val="Heading1"/>
    <w:link w:val="QuoteChar"/>
    <w:qFormat/>
    <w:rsid w:val="004B7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AE5"/>
    <w:pPr>
      <w:pageBreakBefore/>
    </w:pPr>
  </w:style>
  <w:style w:type="paragraph" w:customStyle="1" w:styleId="Border">
    <w:name w:val="Border"/>
    <w:basedOn w:val="Normal"/>
    <w:qFormat/>
    <w:rsid w:val="004B7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A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B7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AE5"/>
    <w:rPr>
      <w:u w:val="single"/>
    </w:rPr>
  </w:style>
  <w:style w:type="character" w:customStyle="1" w:styleId="BoldandItalics">
    <w:name w:val="Bold and Italics"/>
    <w:qFormat/>
    <w:rsid w:val="004B7AE5"/>
    <w:rPr>
      <w:b/>
      <w:i/>
      <w:u w:val="none"/>
    </w:rPr>
  </w:style>
  <w:style w:type="paragraph" w:styleId="BalloonText">
    <w:name w:val="Balloon Text"/>
    <w:basedOn w:val="Normal"/>
    <w:link w:val="BalloonTextChar"/>
    <w:rsid w:val="004B7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A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B7A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A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2060</Words>
  <Characters>12616</Characters>
  <Application>Microsoft Office Word</Application>
  <DocSecurity>0</DocSecurity>
  <Lines>837</Lines>
  <Paragraphs>372</Paragraphs>
  <ScaleCrop>false</ScaleCrop>
  <Company>Author-it Software Corporation Ltd.</Company>
  <LinksUpToDate>false</LinksUpToDate>
  <CharactersWithSpaces>14332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TDMMF2607B ESTABLISH WATCHKEEPING ARRANGEMENTS AND PROCEDURES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2012-05-26T21:52:00Z</dcterms:created>
  <dcterms:modified xsi:type="dcterms:W3CDTF">2012-05-26T21:53:00Z</dcterms:modified>
</cp:coreProperties>
</file>