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6569" w:rsidP="00D3656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TDMME907A COMMUNICATE DURING SHORE-BASED MOORING AND UNTYING OPERATIONS</w:t>
      </w:r>
      <w:r>
        <w:fldChar w:fldCharType="end"/>
      </w:r>
    </w:p>
    <w:p w:rsidR="00D36569" w:rsidP="00D36569">
      <w:pPr>
        <w:pStyle w:val="Version"/>
        <w:sectPr w:rsidSect="00D370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D370B7" w:rsidP="00D370B7">
      <w:pPr>
        <w:pStyle w:val="SuperHeading"/>
      </w:pPr>
      <w:r w:rsidRPr="00D370B7">
        <w:t>TDMME907A COMMUNICATE DURING SHORE-BASED MOORING AND UNTYING OPERATIONS</w:t>
      </w:r>
    </w:p>
    <w:p w:rsidR="00000000" w:rsidRPr="00D370B7" w:rsidP="00D370B7">
      <w:pPr>
        <w:pStyle w:val="SuperHeading"/>
      </w:pPr>
    </w:p>
    <w:p w:rsidR="00000000" w:rsidRPr="00D370B7" w:rsidP="00D370B7">
      <w:pPr>
        <w:pStyle w:val="Heading1"/>
      </w:pPr>
      <w:bookmarkStart w:id="1" w:name="O_150987"/>
      <w:bookmarkEnd w:id="1"/>
      <w:r w:rsidRPr="00D370B7">
        <w:t>Modification History</w:t>
      </w:r>
    </w:p>
    <w:p w:rsidR="00000000" w:rsidRPr="00D370B7" w:rsidP="00D370B7">
      <w:pPr>
        <w:pStyle w:val="BodyText"/>
      </w:pPr>
      <w:r w:rsidRPr="00D370B7">
        <w:t>Not applicable.</w:t>
      </w:r>
    </w:p>
    <w:p w:rsidR="00000000" w:rsidRPr="00D370B7" w:rsidP="00D370B7">
      <w:pPr>
        <w:pStyle w:val="AllowPageBreak"/>
      </w:pPr>
    </w:p>
    <w:p w:rsidR="00000000" w:rsidRPr="00D370B7" w:rsidP="00D370B7">
      <w:pPr>
        <w:pStyle w:val="Heading1"/>
      </w:pPr>
      <w:bookmarkStart w:id="2" w:name="O_150988"/>
      <w:bookmarkEnd w:id="2"/>
      <w:r w:rsidRPr="00D370B7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t>UNIT DE</w:t>
            </w:r>
            <w:r w:rsidRPr="00D370B7">
              <w:t>SCRIPTOR:</w:t>
            </w:r>
          </w:p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This unit involves the skills and knowledge required to communicate effectively with others involved in the mooring and untying of vessels</w:t>
            </w:r>
            <w:r w:rsidRPr="00D370B7">
              <w:t xml:space="preserve">, </w:t>
            </w:r>
            <w:r w:rsidRPr="00D370B7">
              <w:rPr>
                <w:rStyle w:val="SpecialBold"/>
              </w:rPr>
              <w:t>including other members of the shoreside mooring team</w:t>
            </w:r>
            <w:r w:rsidRPr="00D370B7">
              <w:t xml:space="preserve">, </w:t>
            </w:r>
            <w:r w:rsidRPr="00D370B7">
              <w:rPr>
                <w:rStyle w:val="SpecialBold"/>
              </w:rPr>
              <w:t>the mooring master or supervisor</w:t>
            </w:r>
            <w:r w:rsidRPr="00D370B7">
              <w:t xml:space="preserve">, </w:t>
            </w:r>
            <w:r w:rsidRPr="00D370B7">
              <w:rPr>
                <w:rStyle w:val="SpecialBold"/>
              </w:rPr>
              <w:t xml:space="preserve">the pilot on the </w:t>
            </w:r>
            <w:r w:rsidRPr="00D370B7">
              <w:rPr>
                <w:rStyle w:val="SpecialBold"/>
              </w:rPr>
              <w:t>vessel being moored or untied</w:t>
            </w:r>
            <w:r w:rsidRPr="00D370B7">
              <w:t xml:space="preserve">, </w:t>
            </w:r>
            <w:r w:rsidRPr="00D370B7">
              <w:rPr>
                <w:rStyle w:val="SpecialBold"/>
              </w:rPr>
              <w:t>the crew of the vessel</w:t>
            </w:r>
            <w:r w:rsidRPr="00D370B7">
              <w:t xml:space="preserve">, </w:t>
            </w:r>
            <w:r w:rsidRPr="00D370B7">
              <w:rPr>
                <w:rStyle w:val="SpecialBold"/>
              </w:rPr>
              <w:t>the crew on the tug</w:t>
            </w:r>
            <w:r w:rsidRPr="00D370B7">
              <w:t>(</w:t>
            </w:r>
            <w:r w:rsidRPr="00D370B7">
              <w:rPr>
                <w:rStyle w:val="SpecialBold"/>
              </w:rPr>
              <w:t>s</w:t>
            </w:r>
            <w:r w:rsidRPr="00D370B7">
              <w:t xml:space="preserve">) </w:t>
            </w:r>
            <w:r w:rsidRPr="00D370B7">
              <w:rPr>
                <w:rStyle w:val="SpecialBold"/>
              </w:rPr>
              <w:t>and the mooring launch crew</w:t>
            </w:r>
            <w:r w:rsidRPr="00D370B7">
              <w:t>.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</w:p>
        </w:tc>
      </w:tr>
    </w:tbl>
    <w:p w:rsidR="00000000" w:rsidRPr="00D370B7" w:rsidP="00D370B7">
      <w:pPr>
        <w:pStyle w:val="BodyText"/>
      </w:pPr>
    </w:p>
    <w:p w:rsidR="00000000" w:rsidRPr="00D370B7" w:rsidP="00D370B7">
      <w:pPr>
        <w:pStyle w:val="AllowPageBreak"/>
      </w:pPr>
    </w:p>
    <w:p w:rsidR="00000000" w:rsidRPr="00D370B7" w:rsidP="00D370B7">
      <w:pPr>
        <w:pStyle w:val="Heading1"/>
      </w:pPr>
      <w:bookmarkStart w:id="3" w:name="O_150989"/>
      <w:bookmarkEnd w:id="3"/>
      <w:r w:rsidRPr="00D370B7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t>The unit has application in qualifications for a Shore-based Linesperson, i.e. Certificate I in Transport&amp;Distribution (Maritime Operations - Shore-based Linesperson).</w:t>
            </w:r>
          </w:p>
        </w:tc>
      </w:tr>
    </w:tbl>
    <w:p w:rsidR="00000000" w:rsidRPr="00D370B7" w:rsidP="00D370B7">
      <w:pPr>
        <w:pStyle w:val="BodyText"/>
      </w:pPr>
    </w:p>
    <w:p w:rsidR="00000000" w:rsidRPr="00D370B7" w:rsidP="00D370B7">
      <w:pPr>
        <w:pStyle w:val="AllowPageBreak"/>
      </w:pPr>
    </w:p>
    <w:p w:rsidR="00000000" w:rsidRPr="00D370B7" w:rsidP="00D370B7">
      <w:pPr>
        <w:pStyle w:val="Heading1"/>
      </w:pPr>
      <w:bookmarkStart w:id="4" w:name="O_150990"/>
      <w:bookmarkEnd w:id="4"/>
      <w:r w:rsidRPr="00D370B7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Licensing</w:t>
            </w:r>
            <w:r w:rsidRPr="00D370B7">
              <w:t>/</w:t>
            </w:r>
            <w:r w:rsidRPr="00D370B7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t>The unit is consistent with the relevant sections of the national and international requirements and regulations relevant to the mooring and untying of ocean-going vessels.</w:t>
            </w:r>
          </w:p>
        </w:tc>
      </w:tr>
    </w:tbl>
    <w:p w:rsidR="00000000" w:rsidRPr="00D370B7" w:rsidP="00D370B7">
      <w:pPr>
        <w:pStyle w:val="BodyText"/>
      </w:pPr>
    </w:p>
    <w:p w:rsidR="00000000" w:rsidRPr="00D370B7" w:rsidP="00D370B7">
      <w:pPr>
        <w:pStyle w:val="AllowPageBreak"/>
      </w:pPr>
    </w:p>
    <w:p w:rsidR="00000000" w:rsidRPr="00D370B7" w:rsidP="00D370B7">
      <w:pPr>
        <w:pStyle w:val="Heading1"/>
      </w:pPr>
      <w:bookmarkStart w:id="5" w:name="O_150991"/>
      <w:bookmarkEnd w:id="5"/>
      <w:r w:rsidRPr="00D370B7">
        <w:t>Pre-Requisites</w:t>
      </w:r>
    </w:p>
    <w:p w:rsidR="00000000" w:rsidRPr="00D370B7" w:rsidP="00D370B7">
      <w:pPr>
        <w:pStyle w:val="BodyText"/>
      </w:pPr>
      <w:r w:rsidRPr="00D370B7">
        <w:t>Not applicable.</w:t>
      </w:r>
    </w:p>
    <w:p w:rsidR="00000000" w:rsidRPr="00D370B7" w:rsidP="00D370B7">
      <w:pPr>
        <w:pStyle w:val="AllowPageBreak"/>
      </w:pPr>
    </w:p>
    <w:p w:rsidR="00000000" w:rsidRPr="00D370B7" w:rsidP="00D370B7">
      <w:pPr>
        <w:pStyle w:val="Heading1"/>
      </w:pPr>
      <w:bookmarkStart w:id="6" w:name="O_150992"/>
      <w:bookmarkEnd w:id="6"/>
      <w:r w:rsidRPr="00D370B7">
        <w:t>Employability Sk</w:t>
      </w:r>
      <w:r w:rsidRPr="00D370B7">
        <w:t>ills Information</w:t>
      </w:r>
    </w:p>
    <w:p w:rsidR="00000000" w:rsidRPr="00D370B7" w:rsidP="00D370B7">
      <w:pPr>
        <w:pStyle w:val="BodyText"/>
      </w:pPr>
      <w:r w:rsidRPr="00D370B7">
        <w:t>Not applicable.</w:t>
      </w:r>
    </w:p>
    <w:p w:rsidR="00000000" w:rsidRPr="00D370B7" w:rsidP="00D370B7">
      <w:pPr>
        <w:pStyle w:val="AllowPageBreak"/>
      </w:pPr>
    </w:p>
    <w:p w:rsidR="00000000" w:rsidRPr="00D370B7" w:rsidP="00D370B7">
      <w:pPr>
        <w:pStyle w:val="Heading1"/>
      </w:pPr>
      <w:bookmarkStart w:id="7" w:name="O_150993"/>
      <w:bookmarkEnd w:id="7"/>
      <w:r w:rsidRPr="00D370B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364"/>
      </w:tblGrid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rPr>
                <w:rStyle w:val="Emphasis"/>
              </w:rPr>
              <w:t>Elements describe the essential outcomes of a unit of competency</w:t>
            </w:r>
            <w:r w:rsidRPr="00D370B7">
              <w:t>.</w:t>
            </w:r>
          </w:p>
        </w:tc>
        <w:tc>
          <w:tcPr>
            <w:tcW w:w="636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rPr>
                <w:rStyle w:val="Emphasis"/>
              </w:rPr>
              <w:t>Performance Criteria describe the required performance needed to demonstrate achievement of th</w:t>
            </w:r>
            <w:r w:rsidRPr="00D370B7">
              <w:rPr>
                <w:rStyle w:val="Emphasis"/>
              </w:rPr>
              <w:t>e element</w:t>
            </w:r>
            <w:r w:rsidRPr="00D370B7">
              <w:t xml:space="preserve">. </w:t>
            </w:r>
            <w:r w:rsidRPr="00D370B7">
              <w:rPr>
                <w:rStyle w:val="Emphasis"/>
              </w:rPr>
              <w:t>Assessment of performance is to be consistent with the Evidence Guide</w:t>
            </w:r>
            <w:r w:rsidRPr="00D370B7">
              <w:t>.</w:t>
            </w:r>
          </w:p>
        </w:tc>
      </w:tr>
    </w:tbl>
    <w:p w:rsidR="00000000" w:rsidRPr="00D370B7" w:rsidP="00D370B7">
      <w:pPr>
        <w:pStyle w:val="BodyText"/>
      </w:pPr>
    </w:p>
    <w:p w:rsidR="00000000" w:rsidRPr="00D370B7" w:rsidP="00D370B7">
      <w:pPr>
        <w:pStyle w:val="AllowPageBreak"/>
      </w:pPr>
    </w:p>
    <w:p w:rsidR="00000000" w:rsidRPr="00D370B7" w:rsidP="00D370B7">
      <w:pPr>
        <w:pStyle w:val="Heading1"/>
      </w:pPr>
      <w:bookmarkStart w:id="8" w:name="O_150994"/>
      <w:bookmarkEnd w:id="8"/>
      <w:r w:rsidRPr="00D370B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4"/>
        <w:gridCol w:w="33"/>
      </w:tblGrid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rPr>
                <w:rStyle w:val="SpecialBold"/>
              </w:rPr>
              <w:t>ELEMENT</w:t>
            </w:r>
          </w:p>
        </w:tc>
        <w:tc>
          <w:tcPr>
            <w:tcW w:w="6397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PERFORMANCE CRITERIA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Check all communication equipment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a</w:t>
            </w:r>
          </w:p>
        </w:tc>
        <w:tc>
          <w:tcPr>
            <w:tcW w:w="60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Prior to mooring or untying activities, all radios and other communication equipment are checked to confirm that they are functioning correctly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b</w:t>
            </w:r>
          </w:p>
        </w:tc>
        <w:tc>
          <w:tcPr>
            <w:tcW w:w="60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Faulty equipment is reported, rectified or replaced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c</w:t>
            </w:r>
          </w:p>
        </w:tc>
        <w:tc>
          <w:tcPr>
            <w:tcW w:w="60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Batteries are checked to confirm that they are operational and fully charged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d</w:t>
            </w:r>
          </w:p>
        </w:tc>
        <w:tc>
          <w:tcPr>
            <w:tcW w:w="60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Radios are set to operate on the channels required for mooring or untying operations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3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Communicate with others during mooring and untying operations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a</w:t>
            </w:r>
          </w:p>
        </w:tc>
        <w:tc>
          <w:tcPr>
            <w:tcW w:w="605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Correct communication is maintained with others on the mooring team and with the pilot and crew on the vessel and the tug and launch crews throughout mooring and untying operations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b</w:t>
            </w:r>
          </w:p>
        </w:tc>
        <w:tc>
          <w:tcPr>
            <w:tcW w:w="605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Verbal communication is clear and concise and appropriate action is taken to confirm that the other person(s) concerned have correctly heard and interpreted the communication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c</w:t>
            </w:r>
          </w:p>
        </w:tc>
        <w:tc>
          <w:tcPr>
            <w:tcW w:w="605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t>Radio communication is conducted using required procedures and protocols</w:t>
            </w:r>
          </w:p>
        </w:tc>
      </w:tr>
    </w:tbl>
    <w:p w:rsidR="00000000" w:rsidRPr="00D370B7" w:rsidP="00D370B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6057"/>
      </w:tblGrid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</w:p>
          <w:p w:rsidR="00000000" w:rsidRPr="00D370B7" w:rsidP="00D370B7">
            <w:pPr>
              <w:pStyle w:val="BodyText"/>
            </w:pPr>
            <w:r w:rsidRPr="00D370B7">
              <w:rPr>
                <w:rStyle w:val="SpecialBold"/>
              </w:rPr>
              <w:t>ELEMENT</w:t>
            </w:r>
          </w:p>
        </w:tc>
        <w:tc>
          <w:tcPr>
            <w:tcW w:w="639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PERFORMANCE CRITERIA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</w:p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</w:p>
          <w:p w:rsidR="00000000" w:rsidRPr="00D370B7" w:rsidP="00D370B7">
            <w:pPr>
              <w:pStyle w:val="BodyText"/>
            </w:pPr>
            <w:r w:rsidRPr="00D370B7">
              <w:rPr>
                <w:rStyle w:val="SpecialBold"/>
              </w:rPr>
              <w:t>Communicate with others during mooring and untying operations</w:t>
            </w:r>
          </w:p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(</w:t>
            </w:r>
            <w:r w:rsidRPr="00D370B7">
              <w:rPr>
                <w:rStyle w:val="SpecialBold"/>
              </w:rPr>
              <w:t>continued</w:t>
            </w:r>
            <w:r w:rsidRPr="00D370B7">
              <w:t xml:space="preserve">) 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</w:p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d</w:t>
            </w:r>
          </w:p>
        </w:tc>
        <w:tc>
          <w:tcPr>
            <w:tcW w:w="6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</w:p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 xml:space="preserve">Appropriate methods are used to communicate with foreign crews on vessels 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e</w:t>
            </w:r>
          </w:p>
        </w:tc>
        <w:tc>
          <w:tcPr>
            <w:tcW w:w="6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Any safety concerns are promptly and clearly communicated to the pilot both prior to and during mooring and untying operations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f</w:t>
            </w:r>
          </w:p>
        </w:tc>
        <w:tc>
          <w:tcPr>
            <w:tcW w:w="6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t>Due care is taken when using radio communication equipment not to interfere with o</w:t>
            </w:r>
            <w:r w:rsidRPr="00D370B7">
              <w:t>perational communication between tug crews and the pilot of the vessel</w:t>
            </w:r>
          </w:p>
        </w:tc>
      </w:tr>
    </w:tbl>
    <w:p w:rsidR="00000000" w:rsidRPr="00D370B7" w:rsidP="00D370B7">
      <w:pPr>
        <w:pStyle w:val="BodyText"/>
      </w:pPr>
    </w:p>
    <w:p w:rsidR="00000000" w:rsidRPr="00D370B7" w:rsidP="00D370B7">
      <w:pPr>
        <w:pStyle w:val="AllowPageBreak"/>
      </w:pPr>
    </w:p>
    <w:p w:rsidR="00000000" w:rsidRPr="00D370B7" w:rsidP="00D370B7">
      <w:pPr>
        <w:pStyle w:val="Heading1"/>
      </w:pPr>
      <w:bookmarkStart w:id="9" w:name="O_150995"/>
      <w:bookmarkEnd w:id="9"/>
      <w:r w:rsidRPr="00D370B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12"/>
      </w:tblGrid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REQUIRED KNOWLEDGE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Emphasis"/>
              </w:rPr>
              <w:t>This describes the knowledge required for this unit</w:t>
            </w:r>
            <w:r w:rsidRPr="00D370B7">
              <w:t>.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1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Maritime regulations applicable to communication during the mooring and untying of vessels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2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 xml:space="preserve">Practices and procedures for communicating with others during mooring operations 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3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Relevant OH&amp;S codes of practice, policies and procedures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4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Basic principles and procedures for marine radio communication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5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Communication techniques and equipment required during mooring and untying operations, including protocols for radio use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6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Operational characteristics of different types of radios and other</w:t>
            </w:r>
            <w:r w:rsidRPr="00D370B7">
              <w:t xml:space="preserve"> forms of communication equipment used in mooring and untying operations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7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Radio calling and replying procedures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8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Purpose of silence periods when operating radio equipment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Factors that affect communication during mooring and untying operations, inclu</w:t>
            </w:r>
            <w:r w:rsidRPr="00D370B7">
              <w:t>ding the effects of noise, faulty equipment, discharged batteries, wind, weather, etc.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</w:p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REQUIRED SKILLS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Emphasis"/>
              </w:rPr>
              <w:t>This describes the basic skills required for this unit</w:t>
            </w:r>
            <w:r w:rsidRPr="00D370B7">
              <w:t>.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Communicate effectively with other personnel when mooring and untying a vessel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Interpret and follow procedures for communicating with others during mooring operations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Recognise problems that may occur when communicating with others during mooring and untying operations and take appropriate action to report and resolve them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Check that radios and communication equipment are functioning correctly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 xml:space="preserve">Test and recharge batteries used in radios and other communication equipment 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Adapt to the communication arrangements at different wharf facilities and sizes and types of vessel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Identify and correctly use various types of radios and other relevant communication equipment.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t>Take proper care of radios and communication equipment</w:t>
            </w:r>
          </w:p>
        </w:tc>
      </w:tr>
    </w:tbl>
    <w:p w:rsidR="00000000" w:rsidRPr="00D370B7" w:rsidP="00D370B7">
      <w:pPr>
        <w:pStyle w:val="BodyText"/>
      </w:pPr>
    </w:p>
    <w:p w:rsidR="00000000" w:rsidRPr="00D370B7" w:rsidP="00D370B7">
      <w:pPr>
        <w:pStyle w:val="AllowPageBreak"/>
      </w:pPr>
    </w:p>
    <w:p w:rsidR="00000000" w:rsidRPr="00D370B7" w:rsidP="00D370B7">
      <w:pPr>
        <w:pStyle w:val="Heading1"/>
      </w:pPr>
      <w:bookmarkStart w:id="10" w:name="O_150996"/>
      <w:bookmarkEnd w:id="10"/>
      <w:r w:rsidRPr="00D370B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"/>
        <w:gridCol w:w="1788"/>
        <w:gridCol w:w="361"/>
        <w:gridCol w:w="365"/>
        <w:gridCol w:w="5392"/>
        <w:gridCol w:w="266"/>
        <w:gridCol w:w="19"/>
      </w:tblGrid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5" w:type="dxa"/>
          <w:tblHeader/>
        </w:trPr>
        <w:tc>
          <w:tcPr>
            <w:tcW w:w="82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rPr>
                <w:rStyle w:val="SpecialBold"/>
              </w:rPr>
              <w:t>Evidence Guide</w:t>
            </w:r>
          </w:p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TDMME907A COMMUNICATE DURING SHORE-BASED MOORING AN</w:t>
            </w:r>
            <w:r w:rsidRPr="00D370B7">
              <w:rPr>
                <w:rStyle w:val="SpecialBold"/>
              </w:rPr>
              <w:t>D UNTYING OPERATIONS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</w:p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Emphasis"/>
              </w:rPr>
              <w:t>The Evidence Guide provides advice on assessment and must be read in conjunction with the Performance Criteria</w:t>
            </w:r>
            <w:r w:rsidRPr="00D370B7">
              <w:t xml:space="preserve">, </w:t>
            </w:r>
            <w:r w:rsidRPr="00D370B7">
              <w:rPr>
                <w:rStyle w:val="Emphasis"/>
              </w:rPr>
              <w:t>Required Skills and Knowledge</w:t>
            </w:r>
            <w:r w:rsidRPr="00D370B7">
              <w:t xml:space="preserve">, </w:t>
            </w:r>
            <w:r w:rsidRPr="00D370B7">
              <w:rPr>
                <w:rStyle w:val="Emphasis"/>
              </w:rPr>
              <w:t>the Range Statement and the Assessment Guidelines for this Training Package</w:t>
            </w:r>
            <w:r w:rsidRPr="00D370B7">
              <w:t>.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rPr>
                <w:rStyle w:val="SpecialBold"/>
              </w:rPr>
              <w:t>1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403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Assessment must confirm appropriate knowledge and skills to: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a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Communicate effectively with other members of the team during mooring and untying operations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b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 xml:space="preserve">Recognise any communication problems and take appropriate action 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c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Check radios and other communication equipment and take appropriate action if not working correctly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d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Set communication equipment to correct working channels for the vessels and port facility concerned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e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Check and recharge batteries used in radios and other communication equipment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02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</w:p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</w:p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 xml:space="preserve">Evidence required for demonstration of consistent </w:t>
            </w:r>
            <w:r w:rsidRPr="00D370B7">
              <w:rPr>
                <w:rStyle w:val="SpecialBold"/>
              </w:rPr>
              <w:t>performance</w:t>
            </w:r>
            <w:r w:rsidRPr="00D370B7">
              <w:t>:</w:t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</w:p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a</w:t>
            </w:r>
          </w:p>
        </w:tc>
        <w:tc>
          <w:tcPr>
            <w:tcW w:w="602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</w:p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Performance is demonstrated consistently over a period of time and in a suitable range of contexts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b</w:t>
            </w:r>
          </w:p>
        </w:tc>
        <w:tc>
          <w:tcPr>
            <w:tcW w:w="602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 xml:space="preserve">Applies underpinning knowledge and skills when: 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1</w:t>
            </w:r>
          </w:p>
        </w:tc>
        <w:tc>
          <w:tcPr>
            <w:tcW w:w="56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communicating with others during mooring and untying operations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2</w:t>
            </w:r>
          </w:p>
        </w:tc>
        <w:tc>
          <w:tcPr>
            <w:tcW w:w="56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 xml:space="preserve">recognising any communication problems and taking appropriate action 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3</w:t>
            </w:r>
          </w:p>
        </w:tc>
        <w:tc>
          <w:tcPr>
            <w:tcW w:w="56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checking radios and other communication equipment and taking appropriate action if not working correctly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4</w:t>
            </w:r>
          </w:p>
        </w:tc>
        <w:tc>
          <w:tcPr>
            <w:tcW w:w="56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 xml:space="preserve">setting communication equipment to correct working channels 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5</w:t>
            </w:r>
          </w:p>
        </w:tc>
        <w:tc>
          <w:tcPr>
            <w:tcW w:w="56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checking and recharging batteries used in radios and other communication equipment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c</w:t>
            </w:r>
          </w:p>
        </w:tc>
        <w:tc>
          <w:tcPr>
            <w:tcW w:w="602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 xml:space="preserve">Shows evidence of application of relevant workplace procedures, including 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1</w:t>
            </w:r>
          </w:p>
        </w:tc>
        <w:tc>
          <w:tcPr>
            <w:tcW w:w="56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relevant maritime and radio communication regulations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2</w:t>
            </w:r>
          </w:p>
        </w:tc>
        <w:tc>
          <w:tcPr>
            <w:tcW w:w="56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port and vessel security procedures, including operating radio communication channel instruction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3</w:t>
            </w:r>
          </w:p>
        </w:tc>
        <w:tc>
          <w:tcPr>
            <w:tcW w:w="56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 xml:space="preserve">OH&amp;S regulations and hazard prevention policies and procedures 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4</w:t>
            </w:r>
          </w:p>
        </w:tc>
        <w:tc>
          <w:tcPr>
            <w:tcW w:w="56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Company procedures and work instructions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5</w:t>
            </w:r>
          </w:p>
        </w:tc>
        <w:tc>
          <w:tcPr>
            <w:tcW w:w="56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t>relevant manufacturer's instructions relating to the use of radios and other communication equipment</w:t>
            </w:r>
          </w:p>
        </w:tc>
      </w:tr>
    </w:tbl>
    <w:p w:rsidR="00000000" w:rsidRPr="00D370B7" w:rsidP="00D370B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"/>
        <w:gridCol w:w="1788"/>
        <w:gridCol w:w="361"/>
        <w:gridCol w:w="365"/>
        <w:gridCol w:w="305"/>
        <w:gridCol w:w="5087"/>
        <w:gridCol w:w="218"/>
        <w:gridCol w:w="7"/>
        <w:gridCol w:w="41"/>
      </w:tblGrid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266" w:type="dxa"/>
          <w:tblHeader/>
        </w:trPr>
        <w:tc>
          <w:tcPr>
            <w:tcW w:w="82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rPr>
                <w:rStyle w:val="SpecialBold"/>
              </w:rPr>
              <w:t>Evidence Guide</w:t>
            </w:r>
            <w:r w:rsidRPr="00D370B7">
              <w:t xml:space="preserve"> (</w:t>
            </w:r>
            <w:r w:rsidRPr="00D370B7">
              <w:rPr>
                <w:rStyle w:val="SpecialBold"/>
              </w:rPr>
              <w:t>continued</w:t>
            </w:r>
            <w:r w:rsidRPr="00D370B7">
              <w:t xml:space="preserve">) </w:t>
            </w:r>
          </w:p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TDMME907A COMMUNICATE DURING SHORE-BASED MOORING AND UNTYING OPERATIONS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</w:p>
          <w:p w:rsidR="00000000" w:rsidRPr="00D370B7" w:rsidP="00D370B7">
            <w:pPr>
              <w:pStyle w:val="BodyText"/>
            </w:pPr>
            <w:r w:rsidRPr="00D370B7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rPr>
                <w:rStyle w:val="SpecialBold"/>
              </w:rPr>
              <w:t>Evidence required for demonstration of consistent performance</w:t>
            </w:r>
            <w:r w:rsidRPr="00D370B7">
              <w:t>:</w:t>
            </w:r>
          </w:p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(</w:t>
            </w:r>
            <w:r w:rsidRPr="00D370B7">
              <w:rPr>
                <w:rStyle w:val="SpecialBold"/>
              </w:rPr>
              <w:t>continued</w:t>
            </w:r>
            <w:r w:rsidRPr="00D370B7">
              <w:t xml:space="preserve">) 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d</w:t>
            </w:r>
          </w:p>
        </w:tc>
        <w:tc>
          <w:tcPr>
            <w:tcW w:w="602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Action is taken promptly to report and/or rectify any problems that may occur when communicating with others during mooring and untying operations in accordance with company proc</w:t>
            </w:r>
            <w:r w:rsidRPr="00D370B7">
              <w:t>edures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e</w:t>
            </w:r>
          </w:p>
        </w:tc>
        <w:tc>
          <w:tcPr>
            <w:tcW w:w="602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Work is completed systematically with required attention to detail and safety requirements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f</w:t>
            </w:r>
          </w:p>
        </w:tc>
        <w:tc>
          <w:tcPr>
            <w:tcW w:w="602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 xml:space="preserve">Recognises and adapts appropriately to cultural differences in the workplace, including modes of behaviour and interactions and communication </w:t>
            </w:r>
            <w:r w:rsidRPr="00D370B7">
              <w:t>with others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1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Context of assessment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a</w:t>
            </w:r>
          </w:p>
        </w:tc>
        <w:tc>
          <w:tcPr>
            <w:tcW w:w="597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Assessment of competency must comply with the assessment requirements of the relevant maritime regulations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b</w:t>
            </w:r>
          </w:p>
        </w:tc>
        <w:tc>
          <w:tcPr>
            <w:tcW w:w="597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Assessment of this unit must be undertaken within relevant marine authority approved and audited arrangements by a registered training organisation: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1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As a minimum, assessment of knowledge must be conducted through appropriate written/oral examinations, and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2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Appropriate practical assessment must occur: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i</w:t>
            </w:r>
          </w:p>
        </w:tc>
        <w:tc>
          <w:tcPr>
            <w:tcW w:w="53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 xml:space="preserve">at the registered training organisation; and/or 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ii</w:t>
            </w:r>
          </w:p>
        </w:tc>
        <w:tc>
          <w:tcPr>
            <w:tcW w:w="530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on an shore-side terminal or wharf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1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2090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4</w:t>
            </w:r>
            <w:r w:rsidRPr="00D370B7">
              <w:tab/>
            </w:r>
            <w:r w:rsidRPr="00D370B7">
              <w:rPr>
                <w:rStyle w:val="SpecialBold"/>
              </w:rPr>
              <w:t>Specific resources required for assessment</w:t>
            </w:r>
          </w:p>
        </w:tc>
        <w:tc>
          <w:tcPr>
            <w:tcW w:w="6336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Access is required to opportunities to: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2090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a</w:t>
            </w:r>
          </w:p>
        </w:tc>
        <w:tc>
          <w:tcPr>
            <w:tcW w:w="597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participate in a range of exercises, case studies and other simulated practical and knowledge assessments that demonstrate the skills and knowledge to communicate with others during mooring and untying operations; and/or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2090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b</w:t>
            </w:r>
          </w:p>
        </w:tc>
        <w:tc>
          <w:tcPr>
            <w:tcW w:w="597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t>communicate with others during actual shore-based mooring and untying operations for an ocean-going vessel at an Australian terminal or wharf.</w:t>
            </w:r>
          </w:p>
        </w:tc>
      </w:tr>
    </w:tbl>
    <w:p w:rsidR="00000000" w:rsidRPr="00D370B7" w:rsidP="00D370B7">
      <w:pPr>
        <w:pStyle w:val="BodyText"/>
      </w:pPr>
    </w:p>
    <w:p w:rsidR="00000000" w:rsidRPr="00D370B7" w:rsidP="00D370B7">
      <w:pPr>
        <w:pStyle w:val="AllowPageBreak"/>
      </w:pPr>
    </w:p>
    <w:p w:rsidR="00000000" w:rsidRPr="00D370B7" w:rsidP="00D370B7">
      <w:pPr>
        <w:pStyle w:val="Heading1"/>
      </w:pPr>
      <w:bookmarkStart w:id="11" w:name="O_150997"/>
      <w:bookmarkEnd w:id="11"/>
      <w:r w:rsidRPr="00D370B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8"/>
        <w:gridCol w:w="1743"/>
        <w:gridCol w:w="358"/>
        <w:gridCol w:w="10"/>
        <w:gridCol w:w="44"/>
        <w:gridCol w:w="5705"/>
        <w:gridCol w:w="259"/>
        <w:gridCol w:w="53"/>
        <w:gridCol w:w="6"/>
        <w:gridCol w:w="34"/>
        <w:gridCol w:w="31"/>
      </w:tblGrid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5"/>
          <w:wAfter w:w="383" w:type="dxa"/>
          <w:tblHeader/>
        </w:trPr>
        <w:tc>
          <w:tcPr>
            <w:tcW w:w="82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rPr>
                <w:rStyle w:val="SpecialBold"/>
              </w:rPr>
              <w:t>Range Statement</w:t>
            </w:r>
          </w:p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TDMME907A COMMUNICATE DURING SHORE-BASED MOORING AND UNTYING</w:t>
            </w:r>
            <w:r w:rsidRPr="00D370B7">
              <w:rPr>
                <w:rStyle w:val="SpecialBold"/>
              </w:rPr>
              <w:t xml:space="preserve"> OPERATIONS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8560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</w:p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Emphasis"/>
              </w:rPr>
              <w:t>The Range Statement relates to the unit of competency as a whole</w:t>
            </w:r>
            <w:r w:rsidRPr="00D370B7">
              <w:t xml:space="preserve">. </w:t>
            </w:r>
            <w:r w:rsidRPr="00D370B7">
              <w:rPr>
                <w:rStyle w:val="Emphasis"/>
              </w:rPr>
              <w:t>It allows for different work environments and situations that may affect performance</w:t>
            </w:r>
            <w:r w:rsidRPr="00D370B7">
              <w:t>.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2091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rPr>
                <w:rStyle w:val="SpecialBold"/>
              </w:rPr>
              <w:t>VARIABLE</w:t>
            </w:r>
          </w:p>
        </w:tc>
        <w:tc>
          <w:tcPr>
            <w:tcW w:w="6469" w:type="dxa"/>
            <w:gridSpan w:val="8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SCOPE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8560" w:type="dxa"/>
            <w:gridSpan w:val="11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1</w:t>
            </w:r>
            <w:r w:rsidRPr="00D370B7">
              <w:t>.</w:t>
            </w:r>
            <w:r w:rsidRPr="00D370B7">
              <w:tab/>
            </w:r>
            <w:r w:rsidRPr="00D370B7">
              <w:rPr>
                <w:rStyle w:val="SpecialBold"/>
              </w:rPr>
              <w:t>GENERAL CONTEXT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124" w:type="dxa"/>
        </w:trPr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7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124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rPr>
                <w:rStyle w:val="SpecialBold"/>
              </w:rPr>
              <w:t>a</w:t>
            </w:r>
            <w:r w:rsidRPr="00D370B7">
              <w:t>.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Work must be carried out</w:t>
            </w:r>
            <w:r w:rsidRPr="00D370B7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1</w:t>
            </w:r>
          </w:p>
        </w:tc>
        <w:tc>
          <w:tcPr>
            <w:tcW w:w="600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in compliance with relevant maritime regulations and IMO Conventions and Codes, including the relevant sections of the AMSA Marine Orders as they apply to mooring and untying operations on ocean-going vessels.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0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124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rPr>
                <w:rStyle w:val="SpecialBold"/>
              </w:rPr>
              <w:t>b</w:t>
            </w:r>
            <w:r w:rsidRPr="00D370B7">
              <w:t>.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Work is performed</w:t>
            </w:r>
            <w:r w:rsidRPr="00D370B7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1</w:t>
            </w:r>
          </w:p>
        </w:tc>
        <w:tc>
          <w:tcPr>
            <w:tcW w:w="6008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under supervision as part of a mooring or untying team, with accountability and responsibility for self and others in achieving the prescribed outcomes.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124" w:type="dxa"/>
        </w:trPr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7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124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rPr>
                <w:rStyle w:val="SpecialBold"/>
              </w:rPr>
              <w:t>c</w:t>
            </w:r>
            <w:r w:rsidRPr="00D370B7">
              <w:t>.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Work involves</w:t>
            </w:r>
            <w:r w:rsidRPr="00D370B7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1</w:t>
            </w:r>
          </w:p>
        </w:tc>
        <w:tc>
          <w:tcPr>
            <w:tcW w:w="601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the conduct of a range of mooring and untying techniques across a variety of vessel types and port facilities.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71" w:type="dxa"/>
        </w:trPr>
        <w:tc>
          <w:tcPr>
            <w:tcW w:w="209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29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5" w:type="dxa"/>
        </w:trPr>
        <w:tc>
          <w:tcPr>
            <w:tcW w:w="8526" w:type="dxa"/>
            <w:gridSpan w:val="10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2</w:t>
            </w:r>
            <w:r w:rsidRPr="00D370B7">
              <w:t>.</w:t>
            </w:r>
            <w:r w:rsidRPr="00D370B7">
              <w:tab/>
            </w:r>
            <w:r w:rsidRPr="00D370B7">
              <w:rPr>
                <w:rStyle w:val="SpecialBold"/>
              </w:rPr>
              <w:t>WORKSITE ENVIRONMENT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5" w:type="dxa"/>
        </w:trPr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35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rPr>
                <w:rStyle w:val="SpecialBold"/>
              </w:rPr>
              <w:t>a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Mooring and untying operations may be carried out</w:t>
            </w:r>
            <w:r w:rsidRPr="00D370B7">
              <w:t>:</w:t>
            </w: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1</w:t>
            </w:r>
          </w:p>
        </w:tc>
        <w:tc>
          <w:tcPr>
            <w:tcW w:w="6057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t>for any ocean-going Australian or international c</w:t>
            </w:r>
            <w:r w:rsidRPr="00D370B7">
              <w:t>ommercial vessel.</w:t>
            </w:r>
          </w:p>
          <w:p w:rsidR="00000000" w:rsidP="00D370B7">
            <w:pPr>
              <w:pStyle w:val="BodyText"/>
              <w:rPr>
                <w:lang w:val="en-NZ"/>
              </w:rPr>
            </w:pP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9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rPr>
                <w:rStyle w:val="SpecialBold"/>
              </w:rPr>
              <w:t>b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 xml:space="preserve">Mooring and untying operations may </w:t>
            </w:r>
            <w:r w:rsidRPr="00D370B7">
              <w:rPr>
                <w:rStyle w:val="SpecialBold"/>
              </w:rPr>
              <w:t>be carried out</w:t>
            </w:r>
            <w:r w:rsidRPr="00D370B7">
              <w:t>:</w:t>
            </w: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1</w:t>
            </w:r>
          </w:p>
        </w:tc>
        <w:tc>
          <w:tcPr>
            <w:tcW w:w="605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by day or night in both normal and emergency situations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2</w:t>
            </w:r>
          </w:p>
        </w:tc>
        <w:tc>
          <w:tcPr>
            <w:tcW w:w="605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 xml:space="preserve">under any permissible conditions of weather 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3</w:t>
            </w:r>
          </w:p>
        </w:tc>
        <w:tc>
          <w:tcPr>
            <w:tcW w:w="605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at various shoreside terminals and wharves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9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rPr>
                <w:rStyle w:val="SpecialBold"/>
              </w:rPr>
              <w:t>c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Mooring and untying operations may include</w:t>
            </w:r>
            <w:r w:rsidRPr="00D370B7">
              <w:t>:</w:t>
            </w: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1</w:t>
            </w:r>
          </w:p>
        </w:tc>
        <w:tc>
          <w:tcPr>
            <w:tcW w:w="605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preparing a berth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2</w:t>
            </w:r>
          </w:p>
        </w:tc>
        <w:tc>
          <w:tcPr>
            <w:tcW w:w="605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receiving heaving line from a launch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3</w:t>
            </w:r>
          </w:p>
        </w:tc>
        <w:tc>
          <w:tcPr>
            <w:tcW w:w="605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receiving a heaving line from a vessel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4</w:t>
            </w:r>
          </w:p>
        </w:tc>
        <w:tc>
          <w:tcPr>
            <w:tcW w:w="605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returning a heaving line to a vessel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5</w:t>
            </w:r>
          </w:p>
        </w:tc>
        <w:tc>
          <w:tcPr>
            <w:tcW w:w="605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landing a gangway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6</w:t>
            </w:r>
          </w:p>
        </w:tc>
        <w:tc>
          <w:tcPr>
            <w:tcW w:w="605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t>untying and letting go a vessel</w:t>
            </w:r>
          </w:p>
        </w:tc>
      </w:tr>
    </w:tbl>
    <w:p w:rsidR="00000000" w:rsidRPr="00D370B7" w:rsidP="00D370B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8"/>
        <w:gridCol w:w="1744"/>
        <w:gridCol w:w="6"/>
        <w:gridCol w:w="378"/>
        <w:gridCol w:w="28"/>
        <w:gridCol w:w="28"/>
        <w:gridCol w:w="5676"/>
        <w:gridCol w:w="315"/>
        <w:gridCol w:w="22"/>
        <w:gridCol w:w="15"/>
        <w:gridCol w:w="31"/>
      </w:tblGrid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383" w:type="dxa"/>
          <w:tblHeader/>
        </w:trPr>
        <w:tc>
          <w:tcPr>
            <w:tcW w:w="82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rPr>
                <w:rStyle w:val="SpecialBold"/>
              </w:rPr>
              <w:t>Range Statement</w:t>
            </w:r>
            <w:r w:rsidRPr="00D370B7">
              <w:t xml:space="preserve"> (</w:t>
            </w:r>
            <w:r w:rsidRPr="00D370B7">
              <w:rPr>
                <w:rStyle w:val="SpecialBold"/>
              </w:rPr>
              <w:t>continued</w:t>
            </w:r>
            <w:r w:rsidRPr="00D370B7">
              <w:t xml:space="preserve">) </w:t>
            </w:r>
          </w:p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TDMME907A COMMUNICATE DURING SHORE-BASED MOORING AND UNTYING OPERATIONS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8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</w:p>
          <w:p w:rsidR="00000000" w:rsidRPr="00D370B7" w:rsidP="00D370B7">
            <w:pPr>
              <w:pStyle w:val="BodyText"/>
            </w:pPr>
            <w:r w:rsidRPr="00D370B7">
              <w:rPr>
                <w:rStyle w:val="SpecialBold"/>
              </w:rPr>
              <w:t>VARIABLE</w:t>
            </w:r>
          </w:p>
        </w:tc>
        <w:tc>
          <w:tcPr>
            <w:tcW w:w="6493" w:type="dxa"/>
            <w:gridSpan w:val="8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SCOPE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8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8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rPr>
                <w:rStyle w:val="SpecialBold"/>
              </w:rPr>
              <w:t>d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Communication required during mooring operations may include</w:t>
            </w:r>
            <w:r w:rsidRPr="00D370B7">
              <w:t>:</w:t>
            </w:r>
          </w:p>
        </w:tc>
        <w:tc>
          <w:tcPr>
            <w:tcW w:w="440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1</w:t>
            </w:r>
          </w:p>
        </w:tc>
        <w:tc>
          <w:tcPr>
            <w:tcW w:w="60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Oral communication with mooring supervisor or master and other members of the mooring or untying team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2</w:t>
            </w:r>
          </w:p>
        </w:tc>
        <w:tc>
          <w:tcPr>
            <w:tcW w:w="60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VHF radio between tug crew and pilot on vessel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3</w:t>
            </w:r>
          </w:p>
        </w:tc>
        <w:tc>
          <w:tcPr>
            <w:tcW w:w="60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VHF radio between tug crew and mooring launch crew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4</w:t>
            </w:r>
          </w:p>
        </w:tc>
        <w:tc>
          <w:tcPr>
            <w:tcW w:w="60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VHF radio between mooring launch crew and pilot on vessel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5</w:t>
            </w:r>
          </w:p>
        </w:tc>
        <w:tc>
          <w:tcPr>
            <w:tcW w:w="60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radio between mooring supervisor (shoreside) and pilot on vessel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6</w:t>
            </w:r>
          </w:p>
        </w:tc>
        <w:tc>
          <w:tcPr>
            <w:tcW w:w="60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radio between mooring supervisor (shoreside) and mooring personnel (bow)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7</w:t>
            </w:r>
          </w:p>
        </w:tc>
        <w:tc>
          <w:tcPr>
            <w:tcW w:w="60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radio between mooring supervisor (shoreside) and mooring personnel (stern)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8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rPr>
                <w:rStyle w:val="SpecialBold"/>
              </w:rPr>
              <w:t>e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Persons and vessels involved in mooring and untying operations may include</w:t>
            </w:r>
            <w:r w:rsidRPr="00D370B7">
              <w:t>:</w:t>
            </w: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1</w:t>
            </w:r>
          </w:p>
        </w:tc>
        <w:tc>
          <w:tcPr>
            <w:tcW w:w="605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vessel and crew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2</w:t>
            </w:r>
          </w:p>
        </w:tc>
        <w:tc>
          <w:tcPr>
            <w:tcW w:w="605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pilot vessel and pilot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3</w:t>
            </w:r>
          </w:p>
        </w:tc>
        <w:tc>
          <w:tcPr>
            <w:tcW w:w="605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tug(s) and tug crew(s)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4</w:t>
            </w:r>
          </w:p>
        </w:tc>
        <w:tc>
          <w:tcPr>
            <w:tcW w:w="605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mooring launch and crew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5</w:t>
            </w:r>
          </w:p>
        </w:tc>
        <w:tc>
          <w:tcPr>
            <w:tcW w:w="605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mooring supervisor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6</w:t>
            </w:r>
          </w:p>
        </w:tc>
        <w:tc>
          <w:tcPr>
            <w:tcW w:w="605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Mooring personnel (bow)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7</w:t>
            </w:r>
          </w:p>
        </w:tc>
        <w:tc>
          <w:tcPr>
            <w:tcW w:w="605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mooring personnel (stern)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99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8" w:type="dxa"/>
        </w:trPr>
        <w:tc>
          <w:tcPr>
            <w:tcW w:w="348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rPr>
                <w:rStyle w:val="SpecialBold"/>
              </w:rPr>
              <w:t>f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Safety precautions include</w:t>
            </w:r>
            <w:r w:rsidRPr="00D370B7">
              <w:t>:</w:t>
            </w:r>
          </w:p>
        </w:tc>
        <w:tc>
          <w:tcPr>
            <w:tcW w:w="440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1</w:t>
            </w:r>
          </w:p>
        </w:tc>
        <w:tc>
          <w:tcPr>
            <w:tcW w:w="59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checking own personal fitness and medical wellbeing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8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2</w:t>
            </w:r>
          </w:p>
        </w:tc>
        <w:tc>
          <w:tcPr>
            <w:tcW w:w="59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 xml:space="preserve">removal of any rings from fingers to avoid them being caught on steel wire ropes 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8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3</w:t>
            </w:r>
          </w:p>
        </w:tc>
        <w:tc>
          <w:tcPr>
            <w:tcW w:w="59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confirming availability of a personal flotation device upon arrival at a mooring operation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8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4</w:t>
            </w:r>
          </w:p>
        </w:tc>
        <w:tc>
          <w:tcPr>
            <w:tcW w:w="59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wearing of suitable clothing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8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5</w:t>
            </w:r>
          </w:p>
        </w:tc>
        <w:tc>
          <w:tcPr>
            <w:tcW w:w="59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obtaining and using required personal protective equipment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8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6</w:t>
            </w:r>
          </w:p>
        </w:tc>
        <w:tc>
          <w:tcPr>
            <w:tcW w:w="59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keeping work area hazard-free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8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7</w:t>
            </w:r>
          </w:p>
        </w:tc>
        <w:tc>
          <w:tcPr>
            <w:tcW w:w="59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checking whereabouts of edge of wharf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8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8</w:t>
            </w:r>
          </w:p>
        </w:tc>
        <w:tc>
          <w:tcPr>
            <w:tcW w:w="59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checking whereabouts of other members of the mooring/untying team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99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8" w:type="dxa"/>
        </w:trPr>
        <w:tc>
          <w:tcPr>
            <w:tcW w:w="34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rPr>
                <w:rStyle w:val="SpecialBold"/>
              </w:rPr>
              <w:t>g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Personal protective equipment may include</w:t>
            </w:r>
            <w:r w:rsidRPr="00D370B7">
              <w:t>:</w:t>
            </w:r>
          </w:p>
        </w:tc>
        <w:tc>
          <w:tcPr>
            <w:tcW w:w="38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1</w:t>
            </w:r>
          </w:p>
        </w:tc>
        <w:tc>
          <w:tcPr>
            <w:tcW w:w="604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safety footwear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8" w:type="dxa"/>
        </w:trPr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8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2</w:t>
            </w:r>
          </w:p>
        </w:tc>
        <w:tc>
          <w:tcPr>
            <w:tcW w:w="604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t>safety helmet</w:t>
            </w:r>
          </w:p>
        </w:tc>
      </w:tr>
    </w:tbl>
    <w:p w:rsidR="00000000" w:rsidRPr="00D370B7" w:rsidP="00D370B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8"/>
        <w:gridCol w:w="1740"/>
        <w:gridCol w:w="362"/>
        <w:gridCol w:w="12"/>
        <w:gridCol w:w="14"/>
        <w:gridCol w:w="5732"/>
        <w:gridCol w:w="315"/>
        <w:gridCol w:w="7"/>
        <w:gridCol w:w="61"/>
      </w:tblGrid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383" w:type="dxa"/>
          <w:tblHeader/>
        </w:trPr>
        <w:tc>
          <w:tcPr>
            <w:tcW w:w="82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rPr>
                <w:rStyle w:val="SpecialBold"/>
              </w:rPr>
              <w:t>Range Statement</w:t>
            </w:r>
            <w:r w:rsidRPr="00D370B7">
              <w:t xml:space="preserve"> (</w:t>
            </w:r>
            <w:r w:rsidRPr="00D370B7">
              <w:rPr>
                <w:rStyle w:val="SpecialBold"/>
              </w:rPr>
              <w:t>continued</w:t>
            </w:r>
            <w:r w:rsidRPr="00D370B7">
              <w:t xml:space="preserve">) </w:t>
            </w:r>
          </w:p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TDMME907A COMMUNICATE DURING SHORE-BASED MOORING AND UNTYING OPERATIONS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</w:p>
          <w:p w:rsidR="00000000" w:rsidRPr="00D370B7" w:rsidP="00D370B7">
            <w:pPr>
              <w:pStyle w:val="BodyText"/>
            </w:pPr>
            <w:r w:rsidRPr="00D370B7">
              <w:rPr>
                <w:rStyle w:val="SpecialBold"/>
              </w:rPr>
              <w:t>VARIABLE</w:t>
            </w:r>
          </w:p>
        </w:tc>
        <w:tc>
          <w:tcPr>
            <w:tcW w:w="6503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SCOPE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8" w:type="dxa"/>
        </w:trPr>
        <w:tc>
          <w:tcPr>
            <w:tcW w:w="348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</w:p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g</w:t>
            </w:r>
          </w:p>
        </w:tc>
        <w:tc>
          <w:tcPr>
            <w:tcW w:w="174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</w:p>
          <w:p w:rsidR="00000000" w:rsidRPr="00D370B7" w:rsidP="00D370B7">
            <w:pPr>
              <w:pStyle w:val="BodyText"/>
            </w:pPr>
            <w:r w:rsidRPr="00D370B7">
              <w:rPr>
                <w:rStyle w:val="SpecialBold"/>
              </w:rPr>
              <w:t>Personal protective equipment may include</w:t>
            </w:r>
            <w:r w:rsidRPr="00D370B7">
              <w:t>:</w:t>
            </w:r>
          </w:p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(</w:t>
            </w:r>
            <w:r w:rsidRPr="00D370B7">
              <w:rPr>
                <w:rStyle w:val="SpecialBold"/>
              </w:rPr>
              <w:t>continued</w:t>
            </w:r>
            <w:r w:rsidRPr="00D370B7">
              <w:t xml:space="preserve">) </w:t>
            </w:r>
          </w:p>
        </w:tc>
        <w:tc>
          <w:tcPr>
            <w:tcW w:w="388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</w:p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3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</w:p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 xml:space="preserve">suitable gloves (optional)  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8" w:type="dxa"/>
        </w:trPr>
        <w:tc>
          <w:tcPr>
            <w:tcW w:w="34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88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4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safety vest and reflective braces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8" w:type="dxa"/>
        </w:trPr>
        <w:tc>
          <w:tcPr>
            <w:tcW w:w="34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88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5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personal collar insert for flotation device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03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8" w:type="dxa"/>
        </w:trPr>
        <w:tc>
          <w:tcPr>
            <w:tcW w:w="348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rPr>
                <w:rStyle w:val="SpecialBold"/>
              </w:rPr>
              <w:t>h</w:t>
            </w:r>
          </w:p>
        </w:tc>
        <w:tc>
          <w:tcPr>
            <w:tcW w:w="174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Documentation and records</w:t>
            </w:r>
            <w:r w:rsidRPr="00D370B7">
              <w:t xml:space="preserve"> </w:t>
            </w:r>
            <w:r w:rsidRPr="00D370B7">
              <w:rPr>
                <w:rStyle w:val="SpecialBold"/>
              </w:rPr>
              <w:t>may include</w:t>
            </w:r>
            <w:r w:rsidRPr="00D370B7">
              <w:t>:</w:t>
            </w:r>
          </w:p>
        </w:tc>
        <w:tc>
          <w:tcPr>
            <w:tcW w:w="37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1</w:t>
            </w:r>
          </w:p>
        </w:tc>
        <w:tc>
          <w:tcPr>
            <w:tcW w:w="606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mooring and untying plans, procedures, checklists and instructions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8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2</w:t>
            </w:r>
          </w:p>
        </w:tc>
        <w:tc>
          <w:tcPr>
            <w:tcW w:w="606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relevant sections of maritime regulations concerning mooring and untying operations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8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3</w:t>
            </w:r>
          </w:p>
        </w:tc>
        <w:tc>
          <w:tcPr>
            <w:tcW w:w="606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rope and equipment manufacturer's instructions and procedures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8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6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safety instructions and procedures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8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4</w:t>
            </w:r>
          </w:p>
        </w:tc>
        <w:tc>
          <w:tcPr>
            <w:tcW w:w="606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instructions of relevant maritime authorities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8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5</w:t>
            </w:r>
          </w:p>
        </w:tc>
        <w:tc>
          <w:tcPr>
            <w:tcW w:w="606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reports and records of mooring operations or any safety incident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03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1" w:type="dxa"/>
        </w:trPr>
        <w:tc>
          <w:tcPr>
            <w:tcW w:w="34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rPr>
                <w:rStyle w:val="SpecialBold"/>
              </w:rPr>
              <w:t>i</w:t>
            </w:r>
          </w:p>
        </w:tc>
        <w:tc>
          <w:tcPr>
            <w:tcW w:w="1740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Applicable legislation</w:t>
            </w:r>
            <w:r w:rsidRPr="00D370B7">
              <w:t xml:space="preserve">, </w:t>
            </w:r>
            <w:r w:rsidRPr="00D370B7">
              <w:rPr>
                <w:rStyle w:val="SpecialBold"/>
              </w:rPr>
              <w:t>regulations and codes may include</w:t>
            </w:r>
            <w:r w:rsidRPr="00D370B7">
              <w:t>:</w:t>
            </w:r>
          </w:p>
        </w:tc>
        <w:tc>
          <w:tcPr>
            <w:tcW w:w="36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1</w:t>
            </w:r>
          </w:p>
        </w:tc>
        <w:tc>
          <w:tcPr>
            <w:tcW w:w="608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relevant sections of maritime regulations concerning mooring and untying operations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1" w:type="dxa"/>
        </w:trPr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2</w:t>
            </w:r>
          </w:p>
        </w:tc>
        <w:tc>
          <w:tcPr>
            <w:tcW w:w="608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Relevant regulations concerning the use of radio and communication equipment</w:t>
            </w:r>
          </w:p>
        </w:tc>
      </w:tr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1" w:type="dxa"/>
        </w:trPr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t>3</w:t>
            </w:r>
          </w:p>
        </w:tc>
        <w:tc>
          <w:tcPr>
            <w:tcW w:w="608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t>relevant port and vessel security requirements and regulations</w:t>
            </w:r>
          </w:p>
        </w:tc>
      </w:tr>
    </w:tbl>
    <w:p w:rsidR="00000000" w:rsidRPr="00D370B7" w:rsidP="00D370B7">
      <w:pPr>
        <w:pStyle w:val="BodyText"/>
      </w:pPr>
    </w:p>
    <w:p w:rsidR="00000000" w:rsidRPr="00D370B7" w:rsidP="00D370B7">
      <w:pPr>
        <w:pStyle w:val="AllowPageBreak"/>
      </w:pPr>
    </w:p>
    <w:p w:rsidR="00000000" w:rsidRPr="00D370B7" w:rsidP="00D370B7">
      <w:pPr>
        <w:pStyle w:val="Heading1"/>
      </w:pPr>
      <w:bookmarkStart w:id="12" w:name="O_150998"/>
      <w:bookmarkEnd w:id="12"/>
      <w:r w:rsidRPr="00D370B7">
        <w:t>Unit Sector(s)</w:t>
      </w:r>
    </w:p>
    <w:p w:rsidR="00000000" w:rsidRPr="00D370B7" w:rsidP="00D370B7">
      <w:pPr>
        <w:pStyle w:val="BodyText"/>
      </w:pPr>
      <w:r w:rsidRPr="00D370B7">
        <w:t>Not applicable.</w:t>
      </w:r>
    </w:p>
    <w:p w:rsidR="00000000" w:rsidRPr="00D370B7" w:rsidP="00D370B7">
      <w:pPr>
        <w:pStyle w:val="AllowPageBreak"/>
      </w:pPr>
    </w:p>
    <w:p w:rsidR="00000000" w:rsidRPr="00D370B7" w:rsidP="00D370B7">
      <w:pPr>
        <w:pStyle w:val="Heading1"/>
      </w:pPr>
      <w:bookmarkStart w:id="13" w:name="O_163730"/>
      <w:bookmarkEnd w:id="13"/>
      <w:r w:rsidRPr="00D370B7">
        <w:t>Field</w:t>
      </w:r>
    </w:p>
    <w:p w:rsidR="00D36569" w:rsidP="00D370B7">
      <w:pPr>
        <w:pStyle w:val="BodyText"/>
      </w:pPr>
      <w:r w:rsidRPr="00D370B7">
        <w:t>Field</w:t>
      </w:r>
      <w:r w:rsidRPr="00D370B7">
        <w:tab/>
        <w:t>ME</w:t>
      </w:r>
      <w:r w:rsidRPr="00D370B7">
        <w:tab/>
        <w:t>Communication</w:t>
      </w:r>
    </w:p>
    <w:p w:rsidR="00D36569" w:rsidP="00D370B7">
      <w:pPr>
        <w:pStyle w:val="BodyText"/>
      </w:pPr>
    </w:p>
    <w:p w:rsidR="00000000" w:rsidRPr="00D370B7" w:rsidP="00D370B7">
      <w:pPr>
        <w:pStyle w:val="Heading1"/>
      </w:pPr>
      <w:bookmarkStart w:id="14" w:name="O_163731"/>
      <w:bookmarkEnd w:id="14"/>
      <w:r w:rsidRPr="00D370B7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D3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B7">
            <w:pPr>
              <w:pStyle w:val="BodyText"/>
              <w:rPr>
                <w:lang w:val="en-NZ"/>
              </w:rPr>
            </w:pPr>
            <w:r w:rsidRPr="00D370B7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B7" w:rsidP="00D370B7">
            <w:pPr>
              <w:pStyle w:val="BodyText"/>
            </w:pPr>
            <w:r w:rsidRPr="00D370B7">
              <w:t>The unit may be assessed in conjunction with other units that relate to the functions of the occupation(s) concerned.</w:t>
            </w:r>
          </w:p>
        </w:tc>
      </w:tr>
    </w:tbl>
    <w:p w:rsidR="00000000" w:rsidRPr="00D370B7" w:rsidP="00D370B7">
      <w:pPr>
        <w:pStyle w:val="BodyText"/>
      </w:pPr>
    </w:p>
    <w:p w:rsidR="00000000" w:rsidRPr="00D370B7" w:rsidP="00D370B7"/>
    <w:sectPr w:rsidSect="00D370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0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36569" w:rsidP="00D3656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0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69" w:rsidP="00D370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D36569" w:rsidP="00D370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D36569" w:rsidP="00D370B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0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0B7" w:rsidRPr="00D36569" w:rsidP="00D3656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0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69" w:rsidRPr="002D2AF8" w:rsidP="00D370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TDMME907A COMMUNICATE DURING SHORE-BASED MOORING AND UNTYING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2012</w:t>
    </w:r>
    <w:r>
      <w:fldChar w:fldCharType="end"/>
    </w:r>
  </w:p>
  <w:p w:rsidR="00D36569" w:rsidP="00D370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0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70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70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70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70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70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70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70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70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70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70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70B7"/>
  </w:style>
  <w:style w:type="character" w:customStyle="1" w:styleId="Heading1Char">
    <w:name w:val="Heading 1 Char"/>
    <w:basedOn w:val="DefaultParagraphFont"/>
    <w:link w:val="Heading1"/>
    <w:rsid w:val="00D370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70B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70B7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D370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70B7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D370B7"/>
    <w:rPr>
      <w:b/>
      <w:spacing w:val="0"/>
    </w:rPr>
  </w:style>
  <w:style w:type="character" w:styleId="Emphasis">
    <w:name w:val="Emphasis"/>
    <w:basedOn w:val="DefaultParagraphFont"/>
    <w:qFormat/>
    <w:rsid w:val="00D370B7"/>
    <w:rPr>
      <w:i/>
    </w:rPr>
  </w:style>
  <w:style w:type="paragraph" w:customStyle="1" w:styleId="SuperHeading">
    <w:name w:val="SuperHeading"/>
    <w:basedOn w:val="Normal"/>
    <w:rsid w:val="00D370B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370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70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70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70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70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70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70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70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70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70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70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70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70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70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370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70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70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70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70B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370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70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70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70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70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70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70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70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70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70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70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70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70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70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70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70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70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70B7"/>
  </w:style>
  <w:style w:type="paragraph" w:styleId="TableofFigures">
    <w:name w:val="table of figures"/>
    <w:basedOn w:val="Normal"/>
    <w:next w:val="Normal"/>
    <w:semiHidden/>
    <w:rsid w:val="00D370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70B7"/>
    <w:pPr>
      <w:numPr>
        <w:numId w:val="9"/>
      </w:numPr>
    </w:pPr>
  </w:style>
  <w:style w:type="character" w:customStyle="1" w:styleId="WingdingSymbols">
    <w:name w:val="Wingding Symbols"/>
    <w:rsid w:val="00D370B7"/>
    <w:rPr>
      <w:rFonts w:ascii="Wingdings" w:hAnsi="Wingdings"/>
    </w:rPr>
  </w:style>
  <w:style w:type="paragraph" w:customStyle="1" w:styleId="TableHeading">
    <w:name w:val="Table Heading"/>
    <w:basedOn w:val="HeadingBase"/>
    <w:rsid w:val="00D370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70B7"/>
    <w:rPr>
      <w:color w:val="0033CC"/>
      <w:u w:val="none"/>
    </w:rPr>
  </w:style>
  <w:style w:type="paragraph" w:customStyle="1" w:styleId="BodyTextRight">
    <w:name w:val="Body Text Right"/>
    <w:basedOn w:val="BodyText"/>
    <w:rsid w:val="00D370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70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70B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70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70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70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70B7"/>
    <w:rPr>
      <w:sz w:val="32"/>
    </w:rPr>
  </w:style>
  <w:style w:type="paragraph" w:customStyle="1" w:styleId="HeadingProcedure">
    <w:name w:val="Heading Procedure"/>
    <w:basedOn w:val="HeadingBase"/>
    <w:next w:val="Normal"/>
    <w:rsid w:val="00D370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70B7"/>
    <w:pPr>
      <w:spacing w:before="60" w:after="60"/>
    </w:pPr>
  </w:style>
  <w:style w:type="paragraph" w:styleId="ListContinue">
    <w:name w:val="List Continue"/>
    <w:basedOn w:val="List"/>
    <w:rsid w:val="00D370B7"/>
    <w:pPr>
      <w:ind w:firstLine="0"/>
    </w:pPr>
  </w:style>
  <w:style w:type="paragraph" w:customStyle="1" w:styleId="ListNote">
    <w:name w:val="List Note"/>
    <w:basedOn w:val="List"/>
    <w:rsid w:val="00D370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70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70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70B7"/>
    <w:rPr>
      <w:rFonts w:ascii="Courier New" w:hAnsi="Courier New"/>
    </w:rPr>
  </w:style>
  <w:style w:type="paragraph" w:customStyle="1" w:styleId="NoteBullet">
    <w:name w:val="Note Bullet"/>
    <w:basedOn w:val="Note"/>
    <w:rsid w:val="00D370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70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70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70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70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70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70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70B7"/>
    <w:rPr>
      <w:b/>
      <w:smallCaps/>
    </w:rPr>
  </w:style>
  <w:style w:type="paragraph" w:customStyle="1" w:styleId="TableListNumber">
    <w:name w:val="Table List Number"/>
    <w:basedOn w:val="ListNumber"/>
    <w:rsid w:val="00D370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70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70B7"/>
    <w:pPr>
      <w:numPr>
        <w:numId w:val="7"/>
      </w:numPr>
    </w:pPr>
  </w:style>
  <w:style w:type="paragraph" w:customStyle="1" w:styleId="ListAlpha2">
    <w:name w:val="List Alpha 2"/>
    <w:basedOn w:val="List2"/>
    <w:rsid w:val="00D370B7"/>
    <w:pPr>
      <w:numPr>
        <w:numId w:val="6"/>
      </w:numPr>
    </w:pPr>
  </w:style>
  <w:style w:type="paragraph" w:styleId="List2">
    <w:name w:val="List 2"/>
    <w:basedOn w:val="BodyText"/>
    <w:rsid w:val="00D370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70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70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70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70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70B7"/>
    <w:pPr>
      <w:numPr>
        <w:numId w:val="1"/>
      </w:numPr>
    </w:pPr>
  </w:style>
  <w:style w:type="paragraph" w:styleId="ListBullet5">
    <w:name w:val="List Bullet 5"/>
    <w:basedOn w:val="List5"/>
    <w:rsid w:val="00D370B7"/>
    <w:pPr>
      <w:numPr>
        <w:numId w:val="2"/>
      </w:numPr>
    </w:pPr>
  </w:style>
  <w:style w:type="paragraph" w:styleId="ListContinue2">
    <w:name w:val="List Continue 2"/>
    <w:basedOn w:val="List2"/>
    <w:rsid w:val="00D370B7"/>
    <w:pPr>
      <w:ind w:firstLine="0"/>
    </w:pPr>
  </w:style>
  <w:style w:type="paragraph" w:styleId="ListContinue3">
    <w:name w:val="List Continue 3"/>
    <w:basedOn w:val="List3"/>
    <w:rsid w:val="00D370B7"/>
    <w:pPr>
      <w:ind w:left="1021" w:firstLine="0"/>
    </w:pPr>
  </w:style>
  <w:style w:type="paragraph" w:styleId="ListContinue4">
    <w:name w:val="List Continue 4"/>
    <w:basedOn w:val="List4"/>
    <w:rsid w:val="00D370B7"/>
    <w:pPr>
      <w:ind w:firstLine="0"/>
    </w:pPr>
  </w:style>
  <w:style w:type="paragraph" w:styleId="ListContinue5">
    <w:name w:val="List Continue 5"/>
    <w:basedOn w:val="List5"/>
    <w:rsid w:val="00D370B7"/>
    <w:pPr>
      <w:ind w:firstLine="0"/>
    </w:pPr>
  </w:style>
  <w:style w:type="paragraph" w:styleId="ListNumber3">
    <w:name w:val="List Number 3"/>
    <w:basedOn w:val="List3"/>
    <w:rsid w:val="00D370B7"/>
    <w:pPr>
      <w:numPr>
        <w:numId w:val="3"/>
      </w:numPr>
    </w:pPr>
  </w:style>
  <w:style w:type="paragraph" w:styleId="ListNumber4">
    <w:name w:val="List Number 4"/>
    <w:basedOn w:val="List4"/>
    <w:rsid w:val="00D370B7"/>
    <w:pPr>
      <w:numPr>
        <w:numId w:val="4"/>
      </w:numPr>
    </w:pPr>
  </w:style>
  <w:style w:type="paragraph" w:styleId="ListNumber5">
    <w:name w:val="List Number 5"/>
    <w:basedOn w:val="List5"/>
    <w:rsid w:val="00D370B7"/>
    <w:pPr>
      <w:numPr>
        <w:numId w:val="5"/>
      </w:numPr>
    </w:pPr>
  </w:style>
  <w:style w:type="paragraph" w:styleId="BlockText">
    <w:name w:val="Block Text"/>
    <w:basedOn w:val="Normal"/>
    <w:rsid w:val="00D370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70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70B7"/>
    <w:rPr>
      <w:sz w:val="16"/>
      <w:vertAlign w:val="superscript"/>
    </w:rPr>
  </w:style>
  <w:style w:type="character" w:customStyle="1" w:styleId="Symbols">
    <w:name w:val="Symbols"/>
    <w:basedOn w:val="DefaultParagraphFont"/>
    <w:rsid w:val="00D370B7"/>
    <w:rPr>
      <w:rFonts w:ascii="Symbol" w:hAnsi="Symbol"/>
    </w:rPr>
  </w:style>
  <w:style w:type="character" w:customStyle="1" w:styleId="MenuOptions">
    <w:name w:val="Menu Options"/>
    <w:basedOn w:val="DefaultParagraphFont"/>
    <w:rsid w:val="00D370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70B7"/>
    <w:rPr>
      <w:b/>
    </w:rPr>
  </w:style>
  <w:style w:type="character" w:customStyle="1" w:styleId="Underlined">
    <w:name w:val="Underlined"/>
    <w:basedOn w:val="DefaultParagraphFont"/>
    <w:rsid w:val="00D370B7"/>
    <w:rPr>
      <w:u w:val="single"/>
    </w:rPr>
  </w:style>
  <w:style w:type="paragraph" w:customStyle="1" w:styleId="TableBodyTextRight">
    <w:name w:val="Table Body Text Right"/>
    <w:basedOn w:val="TableBodyText"/>
    <w:rsid w:val="00D370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70B7"/>
    <w:rPr>
      <w:sz w:val="18"/>
    </w:rPr>
  </w:style>
  <w:style w:type="paragraph" w:customStyle="1" w:styleId="BodySmallRight">
    <w:name w:val="Body Small Right"/>
    <w:basedOn w:val="BodyTextRight"/>
    <w:rsid w:val="00D370B7"/>
    <w:rPr>
      <w:sz w:val="18"/>
      <w:szCs w:val="18"/>
    </w:rPr>
  </w:style>
  <w:style w:type="paragraph" w:customStyle="1" w:styleId="MarginEdition">
    <w:name w:val="Margin Edition"/>
    <w:basedOn w:val="MarginNote"/>
    <w:rsid w:val="00D370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70B7"/>
    <w:rPr>
      <w:sz w:val="2"/>
      <w:szCs w:val="2"/>
    </w:rPr>
  </w:style>
  <w:style w:type="character" w:customStyle="1" w:styleId="Small">
    <w:name w:val="Small"/>
    <w:basedOn w:val="DefaultParagraphFont"/>
    <w:rsid w:val="00D370B7"/>
    <w:rPr>
      <w:sz w:val="16"/>
    </w:rPr>
  </w:style>
  <w:style w:type="paragraph" w:customStyle="1" w:styleId="WideTable">
    <w:name w:val="Wide Table"/>
    <w:basedOn w:val="Normal"/>
    <w:rsid w:val="00D370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70B7"/>
  </w:style>
  <w:style w:type="paragraph" w:styleId="Quote">
    <w:name w:val="Quote"/>
    <w:basedOn w:val="Heading1"/>
    <w:link w:val="QuoteChar"/>
    <w:qFormat/>
    <w:rsid w:val="00D370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70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70B7"/>
    <w:pPr>
      <w:pageBreakBefore/>
    </w:pPr>
  </w:style>
  <w:style w:type="paragraph" w:customStyle="1" w:styleId="Border">
    <w:name w:val="Border"/>
    <w:basedOn w:val="Normal"/>
    <w:qFormat/>
    <w:rsid w:val="00D370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70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0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0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70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70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70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70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70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70B7"/>
    <w:rPr>
      <w:u w:val="single"/>
    </w:rPr>
  </w:style>
  <w:style w:type="character" w:customStyle="1" w:styleId="BoldandItalics">
    <w:name w:val="Bold and Italics"/>
    <w:qFormat/>
    <w:rsid w:val="00D370B7"/>
    <w:rPr>
      <w:b/>
      <w:i/>
      <w:u w:val="none"/>
    </w:rPr>
  </w:style>
  <w:style w:type="paragraph" w:styleId="BalloonText">
    <w:name w:val="Balloon Text"/>
    <w:basedOn w:val="Normal"/>
    <w:link w:val="BalloonTextChar"/>
    <w:rsid w:val="00D370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0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70B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70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70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70B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1775</Words>
  <Characters>10486</Characters>
  <Application>Microsoft Office Word</Application>
  <DocSecurity>0</DocSecurity>
  <Lines>722</Lines>
  <Paragraphs>315</Paragraphs>
  <ScaleCrop>false</ScaleCrop>
  <Company>Author-it Software Corporation Ltd.</Company>
  <LinksUpToDate>false</LinksUpToDate>
  <CharactersWithSpaces>11965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TDMME907A COMMUNICATE DURING SHORE-BASED MOORING AND UNTYING OPERATIONS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2012-10-10T07:05:00Z</dcterms:created>
  <dcterms:modified xsi:type="dcterms:W3CDTF">2012-10-10T07:05:00Z</dcterms:modified>
</cp:coreProperties>
</file>