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562" w:rsidP="00B65562">
      <w:pPr>
        <w:pStyle w:val="Title"/>
      </w:pPr>
      <w:bookmarkStart w:id="0" w:name="_GoBack"/>
      <w:bookmarkEnd w:id="0"/>
      <w:r>
        <w:fldChar w:fldCharType="begin"/>
      </w:r>
      <w:r>
        <w:instrText xml:space="preserve"> TITLE   \* MERGEFORMAT </w:instrText>
      </w:r>
      <w:r>
        <w:fldChar w:fldCharType="separate"/>
      </w:r>
      <w:r>
        <w:t>TDMME807C TRANSMIT AND RECEIVE INFORMATION BY GMDSS SUBSYSTEMS AND EQUIPMENT</w:t>
      </w:r>
      <w:r>
        <w:fldChar w:fldCharType="end"/>
      </w:r>
    </w:p>
    <w:p w:rsidR="00B65562" w:rsidP="00B65562">
      <w:pPr>
        <w:pStyle w:val="Version"/>
        <w:sectPr w:rsidSect="00A57B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7B7E" w:rsidP="00A57B7E">
      <w:pPr>
        <w:pStyle w:val="SuperHeading"/>
      </w:pPr>
      <w:r w:rsidRPr="00A57B7E">
        <w:t>TDMME807C TRANSMIT AND RECEIVE INFORMATION BY GMDSS SUBSYSTEMS AND EQUIPMENT</w:t>
      </w:r>
    </w:p>
    <w:p w:rsidR="00000000" w:rsidRPr="00A57B7E" w:rsidP="00A57B7E">
      <w:pPr>
        <w:pStyle w:val="SuperHeading"/>
      </w:pPr>
    </w:p>
    <w:p w:rsidR="00000000" w:rsidRPr="00A57B7E" w:rsidP="00A57B7E">
      <w:pPr>
        <w:pStyle w:val="Heading1"/>
      </w:pPr>
      <w:bookmarkStart w:id="1" w:name="O_150975"/>
      <w:bookmarkEnd w:id="1"/>
      <w:r w:rsidRPr="00A57B7E">
        <w:t>Modification History</w:t>
      </w:r>
    </w:p>
    <w:p w:rsidR="00000000" w:rsidRPr="00A57B7E" w:rsidP="00A57B7E">
      <w:pPr>
        <w:pStyle w:val="BodyText"/>
      </w:pPr>
      <w:r w:rsidRPr="00A57B7E">
        <w:t>Not applicable.</w:t>
      </w:r>
    </w:p>
    <w:p w:rsidR="00000000" w:rsidRPr="00A57B7E" w:rsidP="00A57B7E">
      <w:pPr>
        <w:pStyle w:val="AllowPageBreak"/>
      </w:pPr>
    </w:p>
    <w:p w:rsidR="00000000" w:rsidRPr="00A57B7E" w:rsidP="00A57B7E">
      <w:pPr>
        <w:pStyle w:val="Heading1"/>
      </w:pPr>
      <w:bookmarkStart w:id="2" w:name="O_150976"/>
      <w:bookmarkEnd w:id="2"/>
      <w:r w:rsidRPr="00A57B7E">
        <w:t>Unit Descriptor</w:t>
      </w:r>
    </w:p>
    <w:tbl>
      <w:tblPr>
        <w:tblW w:w="0" w:type="auto"/>
        <w:tblLayout w:type="fixed"/>
        <w:tblCellMar>
          <w:left w:w="62" w:type="dxa"/>
          <w:right w:w="62" w:type="dxa"/>
        </w:tblCellMar>
        <w:tblLook w:val="0000"/>
      </w:tblPr>
      <w:tblGrid>
        <w:gridCol w:w="1974"/>
        <w:gridCol w:w="6481"/>
      </w:tblGrid>
      <w:tr w:rsidTr="00B65562">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B7E" w:rsidP="00A57B7E">
            <w:pPr>
              <w:pStyle w:val="BodyText"/>
            </w:pPr>
            <w:r w:rsidRPr="00A57B7E">
              <w:t>UN</w:t>
            </w:r>
            <w:r w:rsidRPr="00A57B7E">
              <w:t>IT DESCRIPTOR:</w:t>
            </w:r>
          </w:p>
          <w:p w:rsidR="00000000" w:rsidP="00A57B7E">
            <w:pPr>
              <w:pStyle w:val="BodyText"/>
              <w:rPr>
                <w:lang w:val="en-NZ"/>
              </w:rPr>
            </w:pPr>
            <w:r w:rsidRPr="00A57B7E">
              <w:rPr>
                <w:rStyle w:val="SpecialBold"/>
              </w:rPr>
              <w:t>This unit involves the skills and knowledge required to transmit and receive information by GMDSS subsystems and equipment</w:t>
            </w:r>
            <w:r w:rsidRPr="00A57B7E">
              <w:t xml:space="preserve">, </w:t>
            </w:r>
            <w:r w:rsidRPr="00A57B7E">
              <w:rPr>
                <w:rStyle w:val="SpecialBold"/>
              </w:rPr>
              <w:t>including using the equipment for search and rescue radio communication</w:t>
            </w:r>
            <w:r w:rsidRPr="00A57B7E">
              <w:t xml:space="preserve">, </w:t>
            </w:r>
            <w:r w:rsidRPr="00A57B7E">
              <w:rPr>
                <w:rStyle w:val="SpecialBold"/>
              </w:rPr>
              <w:t>preventing false distress alerts</w:t>
            </w:r>
            <w:r w:rsidRPr="00A57B7E">
              <w:t xml:space="preserve">, </w:t>
            </w:r>
            <w:r w:rsidRPr="00A57B7E">
              <w:rPr>
                <w:rStyle w:val="SpecialBold"/>
              </w:rPr>
              <w:t>mitigating</w:t>
            </w:r>
            <w:r w:rsidRPr="00A57B7E">
              <w:rPr>
                <w:rStyle w:val="SpecialBold"/>
              </w:rPr>
              <w:t xml:space="preserve"> the effects of false distress alerts</w:t>
            </w:r>
            <w:r w:rsidRPr="00A57B7E">
              <w:t xml:space="preserve">, </w:t>
            </w:r>
            <w:r w:rsidRPr="00A57B7E">
              <w:rPr>
                <w:rStyle w:val="SpecialBold"/>
              </w:rPr>
              <w:t>implementing preventative safety measures in relation to radio equipment hazards</w:t>
            </w:r>
            <w:r w:rsidRPr="00A57B7E">
              <w:t xml:space="preserve">, </w:t>
            </w:r>
            <w:r w:rsidRPr="00A57B7E">
              <w:rPr>
                <w:rStyle w:val="SpecialBold"/>
              </w:rPr>
              <w:t>and providing radio services during emergencies such as abandonment of vessel</w:t>
            </w:r>
            <w:r w:rsidRPr="00A57B7E">
              <w:t xml:space="preserve">, </w:t>
            </w:r>
            <w:r w:rsidRPr="00A57B7E">
              <w:rPr>
                <w:rStyle w:val="SpecialBold"/>
              </w:rPr>
              <w:t>fire on board vessel</w:t>
            </w:r>
            <w:r w:rsidRPr="00A57B7E">
              <w:t xml:space="preserve">, </w:t>
            </w:r>
            <w:r w:rsidRPr="00A57B7E">
              <w:rPr>
                <w:rStyle w:val="SpecialBold"/>
              </w:rPr>
              <w:t>and breakdown of radio installatio</w:t>
            </w:r>
            <w:r w:rsidRPr="00A57B7E">
              <w:rPr>
                <w:rStyle w:val="SpecialBold"/>
              </w:rPr>
              <w:t>ns</w:t>
            </w:r>
            <w:r w:rsidRPr="00A57B7E">
              <w:t>.</w:t>
            </w:r>
          </w:p>
        </w:tc>
      </w:tr>
      <w:tr w:rsidTr="00B65562">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A57B7E" w:rsidP="00A57B7E">
            <w:pPr>
              <w:pStyle w:val="BodyText"/>
            </w:pPr>
          </w:p>
        </w:tc>
      </w:tr>
    </w:tbl>
    <w:p w:rsidR="00000000" w:rsidRPr="00A57B7E" w:rsidP="00A57B7E">
      <w:pPr>
        <w:pStyle w:val="BodyText"/>
      </w:pPr>
    </w:p>
    <w:p w:rsidR="00000000" w:rsidRPr="00A57B7E" w:rsidP="00A57B7E">
      <w:pPr>
        <w:pStyle w:val="AllowPageBreak"/>
      </w:pPr>
    </w:p>
    <w:p w:rsidR="00000000" w:rsidRPr="00A57B7E" w:rsidP="00A57B7E">
      <w:pPr>
        <w:pStyle w:val="Heading1"/>
      </w:pPr>
      <w:bookmarkStart w:id="3" w:name="O_150977"/>
      <w:bookmarkEnd w:id="3"/>
      <w:r w:rsidRPr="00A57B7E">
        <w:t>Application of the Unit</w:t>
      </w:r>
    </w:p>
    <w:tbl>
      <w:tblPr>
        <w:tblW w:w="0" w:type="auto"/>
        <w:tblLayout w:type="fixed"/>
        <w:tblCellMar>
          <w:left w:w="62" w:type="dxa"/>
          <w:right w:w="62" w:type="dxa"/>
        </w:tblCellMar>
        <w:tblLook w:val="0000"/>
      </w:tblPr>
      <w:tblGrid>
        <w:gridCol w:w="1974"/>
        <w:gridCol w:w="6481"/>
      </w:tblGrid>
      <w:tr w:rsidTr="00B65562">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B7E" w:rsidP="00A57B7E">
            <w:pPr>
              <w:pStyle w:val="BodyText"/>
            </w:pPr>
            <w:r w:rsidRPr="00A57B7E">
              <w:t>The unit has applications in qualifications for Masters of commercial vessels requiring proficiency in the use of GMDSS subsystems and equipment to transmit and receive</w:t>
            </w:r>
            <w:r w:rsidRPr="00A57B7E">
              <w:t xml:space="preserve"> information to and from shore and vessel-based operators.</w:t>
            </w:r>
          </w:p>
        </w:tc>
      </w:tr>
    </w:tbl>
    <w:p w:rsidR="00000000" w:rsidRPr="00A57B7E" w:rsidP="00A57B7E">
      <w:pPr>
        <w:pStyle w:val="BodyText"/>
      </w:pPr>
    </w:p>
    <w:p w:rsidR="00000000" w:rsidRPr="00A57B7E" w:rsidP="00A57B7E">
      <w:pPr>
        <w:pStyle w:val="AllowPageBreak"/>
      </w:pPr>
    </w:p>
    <w:p w:rsidR="00000000" w:rsidRPr="00A57B7E" w:rsidP="00A57B7E">
      <w:pPr>
        <w:pStyle w:val="Heading1"/>
      </w:pPr>
      <w:bookmarkStart w:id="4" w:name="O_150978"/>
      <w:bookmarkEnd w:id="4"/>
      <w:r w:rsidRPr="00A57B7E">
        <w:t>Licensing/Regulatory Information</w:t>
      </w:r>
    </w:p>
    <w:tbl>
      <w:tblPr>
        <w:tblW w:w="0" w:type="auto"/>
        <w:tblLayout w:type="fixed"/>
        <w:tblCellMar>
          <w:left w:w="62" w:type="dxa"/>
          <w:right w:w="62" w:type="dxa"/>
        </w:tblCellMar>
        <w:tblLook w:val="0000"/>
      </w:tblPr>
      <w:tblGrid>
        <w:gridCol w:w="1974"/>
        <w:gridCol w:w="6481"/>
      </w:tblGrid>
      <w:tr w:rsidTr="00B65562">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Licensing</w:t>
            </w:r>
            <w:r w:rsidRPr="00A57B7E">
              <w:t>/</w:t>
            </w:r>
            <w:r w:rsidRPr="00A57B7E">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B7E" w:rsidP="00A57B7E">
            <w:pPr>
              <w:pStyle w:val="BodyText"/>
            </w:pPr>
            <w:r w:rsidRPr="00A57B7E">
              <w:t>The unit is consistent with the relevant maritime regulations and certification requirements as specified in Marine Orders, Part 6, Marine Radio Qualifications, Issue 5.</w:t>
            </w:r>
          </w:p>
        </w:tc>
      </w:tr>
    </w:tbl>
    <w:p w:rsidR="00000000" w:rsidRPr="00A57B7E" w:rsidP="00A57B7E">
      <w:pPr>
        <w:pStyle w:val="BodyText"/>
      </w:pPr>
    </w:p>
    <w:p w:rsidR="00000000" w:rsidRPr="00A57B7E" w:rsidP="00A57B7E">
      <w:pPr>
        <w:pStyle w:val="AllowPageBreak"/>
      </w:pPr>
    </w:p>
    <w:p w:rsidR="00000000" w:rsidRPr="00A57B7E" w:rsidP="00A57B7E">
      <w:pPr>
        <w:pStyle w:val="Heading1"/>
      </w:pPr>
      <w:bookmarkStart w:id="5" w:name="O_150980"/>
      <w:bookmarkEnd w:id="5"/>
      <w:r w:rsidRPr="00A57B7E">
        <w:t>Pre-Requisites</w:t>
      </w:r>
    </w:p>
    <w:p w:rsidR="00000000" w:rsidRPr="00A57B7E" w:rsidP="00A57B7E">
      <w:pPr>
        <w:pStyle w:val="BodyText"/>
      </w:pPr>
      <w:r w:rsidRPr="00A57B7E">
        <w:t>Not applicable.</w:t>
      </w:r>
    </w:p>
    <w:p w:rsidR="00000000" w:rsidRPr="00A57B7E" w:rsidP="00A57B7E">
      <w:pPr>
        <w:pStyle w:val="AllowPageBreak"/>
      </w:pPr>
    </w:p>
    <w:p w:rsidR="00000000" w:rsidRPr="00A57B7E" w:rsidP="00A57B7E">
      <w:pPr>
        <w:pStyle w:val="Heading1"/>
      </w:pPr>
      <w:bookmarkStart w:id="6" w:name="O_150979"/>
      <w:bookmarkEnd w:id="6"/>
      <w:r w:rsidRPr="00A57B7E">
        <w:t>Employability Skill</w:t>
      </w:r>
      <w:r w:rsidRPr="00A57B7E">
        <w:t>s Information</w:t>
      </w:r>
    </w:p>
    <w:p w:rsidR="00000000" w:rsidRPr="00A57B7E" w:rsidP="00A57B7E">
      <w:pPr>
        <w:pStyle w:val="BodyText"/>
      </w:pPr>
      <w:r w:rsidRPr="00A57B7E">
        <w:t>Not applicable.</w:t>
      </w:r>
    </w:p>
    <w:p w:rsidR="00000000" w:rsidRPr="00A57B7E" w:rsidP="00A57B7E">
      <w:pPr>
        <w:pStyle w:val="AllowPageBreak"/>
      </w:pPr>
    </w:p>
    <w:p w:rsidR="00000000" w:rsidRPr="00A57B7E" w:rsidP="00A57B7E">
      <w:pPr>
        <w:pStyle w:val="Heading1"/>
      </w:pPr>
      <w:bookmarkStart w:id="7" w:name="O_150981"/>
      <w:bookmarkEnd w:id="7"/>
      <w:r w:rsidRPr="00A57B7E">
        <w:t>Elements and Performance Criteria Pre-Content</w:t>
      </w:r>
    </w:p>
    <w:tbl>
      <w:tblPr>
        <w:tblW w:w="0" w:type="auto"/>
        <w:tblLayout w:type="fixed"/>
        <w:tblCellMar>
          <w:left w:w="62" w:type="dxa"/>
          <w:right w:w="62" w:type="dxa"/>
        </w:tblCellMar>
        <w:tblLook w:val="0000"/>
      </w:tblPr>
      <w:tblGrid>
        <w:gridCol w:w="1946"/>
        <w:gridCol w:w="6490"/>
      </w:tblGrid>
      <w:tr w:rsidTr="00B65562">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A57B7E" w:rsidP="00A57B7E">
            <w:pPr>
              <w:pStyle w:val="BodyText"/>
            </w:pPr>
            <w:r w:rsidRPr="00A57B7E">
              <w:rPr>
                <w:rStyle w:val="Emphasis"/>
              </w:rPr>
              <w:t>Elements describe the essential outcomes of a unit of competency</w:t>
            </w:r>
            <w:r w:rsidRPr="00A57B7E">
              <w:t>.</w:t>
            </w:r>
          </w:p>
        </w:tc>
        <w:tc>
          <w:tcPr>
            <w:tcW w:w="6490" w:type="dxa"/>
            <w:tcBorders>
              <w:top w:val="single" w:sz="6" w:space="0" w:color="auto"/>
              <w:left w:val="single" w:sz="6" w:space="0" w:color="auto"/>
              <w:bottom w:val="nil"/>
              <w:right w:val="nil"/>
            </w:tcBorders>
            <w:tcMar>
              <w:top w:w="0" w:type="dxa"/>
              <w:left w:w="62" w:type="dxa"/>
              <w:bottom w:w="0" w:type="dxa"/>
              <w:right w:w="62" w:type="dxa"/>
            </w:tcMar>
          </w:tcPr>
          <w:p w:rsidR="00000000" w:rsidRPr="00A57B7E" w:rsidP="00A57B7E">
            <w:pPr>
              <w:pStyle w:val="BodyText"/>
            </w:pPr>
            <w:r w:rsidRPr="00A57B7E">
              <w:rPr>
                <w:rStyle w:val="Emphasis"/>
              </w:rPr>
              <w:t>Performance Criteria describe the required performance needed to demonstrate achievement of the e</w:t>
            </w:r>
            <w:r w:rsidRPr="00A57B7E">
              <w:rPr>
                <w:rStyle w:val="Emphasis"/>
              </w:rPr>
              <w:t>lement</w:t>
            </w:r>
            <w:r w:rsidRPr="00A57B7E">
              <w:t xml:space="preserve">. </w:t>
            </w:r>
            <w:r w:rsidRPr="00A57B7E">
              <w:rPr>
                <w:rStyle w:val="Emphasis"/>
              </w:rPr>
              <w:t>Assessment of performance is to be consistent with the Evidence Guide</w:t>
            </w:r>
            <w:r w:rsidRPr="00A57B7E">
              <w:t>.</w:t>
            </w:r>
          </w:p>
        </w:tc>
      </w:tr>
    </w:tbl>
    <w:p w:rsidR="00000000" w:rsidRPr="00A57B7E" w:rsidP="00A57B7E">
      <w:pPr>
        <w:pStyle w:val="BodyText"/>
      </w:pPr>
    </w:p>
    <w:p w:rsidR="00000000" w:rsidRPr="00A57B7E" w:rsidP="00A57B7E">
      <w:pPr>
        <w:pStyle w:val="AllowPageBreak"/>
      </w:pPr>
    </w:p>
    <w:p w:rsidR="00000000" w:rsidRPr="00A57B7E" w:rsidP="00A57B7E">
      <w:pPr>
        <w:pStyle w:val="Heading1"/>
      </w:pPr>
      <w:bookmarkStart w:id="8" w:name="O_150982"/>
      <w:bookmarkEnd w:id="8"/>
      <w:r w:rsidRPr="00A57B7E">
        <w:t>Elements and Performance Criteria</w:t>
      </w:r>
    </w:p>
    <w:tbl>
      <w:tblPr>
        <w:tblW w:w="0" w:type="auto"/>
        <w:tblLayout w:type="fixed"/>
        <w:tblCellMar>
          <w:left w:w="62" w:type="dxa"/>
          <w:right w:w="62" w:type="dxa"/>
        </w:tblCellMar>
        <w:tblLook w:val="0000"/>
      </w:tblPr>
      <w:tblGrid>
        <w:gridCol w:w="340"/>
        <w:gridCol w:w="1606"/>
        <w:gridCol w:w="340"/>
        <w:gridCol w:w="20"/>
        <w:gridCol w:w="6002"/>
        <w:gridCol w:w="28"/>
      </w:tblGrid>
      <w:tr w:rsidTr="00B65562">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57B7E" w:rsidP="00A57B7E">
            <w:pPr>
              <w:pStyle w:val="BodyText"/>
            </w:pPr>
            <w:r w:rsidRPr="00A57B7E">
              <w:rPr>
                <w:rStyle w:val="SpecialBold"/>
              </w:rPr>
              <w:t>ELEMENT</w:t>
            </w:r>
          </w:p>
        </w:tc>
        <w:tc>
          <w:tcPr>
            <w:tcW w:w="6390"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rPr>
                <w:rStyle w:val="SpecialBold"/>
              </w:rPr>
              <w:t>PERFORMANCE CRITERIA</w:t>
            </w:r>
          </w:p>
        </w:tc>
      </w:tr>
      <w:tr w:rsidTr="00B65562">
        <w:tblPrEx>
          <w:tblW w:w="0" w:type="auto"/>
          <w:tblLayout w:type="fixed"/>
          <w:tblCellMar>
            <w:left w:w="62" w:type="dxa"/>
            <w:right w:w="62" w:type="dxa"/>
          </w:tblCellMar>
          <w:tblLook w:val="0000"/>
        </w:tblPrEx>
        <w:trPr>
          <w:gridAfter w:val="1"/>
          <w:wAfter w:w="28"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2" w:type="dxa"/>
            <w:gridSpan w:val="2"/>
            <w:tcBorders>
              <w:top w:val="single" w:sz="6" w:space="0" w:color="auto"/>
              <w:left w:val="nil"/>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Operate GMDSS subsystems and equipment to transmit and receive messages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a</w:t>
            </w:r>
          </w:p>
        </w:tc>
        <w:tc>
          <w:tcPr>
            <w:tcW w:w="6030"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Types of GMDSS communication equipment are selected and operated within limits of specifications</w:t>
            </w:r>
          </w:p>
        </w:tc>
      </w:tr>
      <w:tr w:rsidTr="00B655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b</w:t>
            </w:r>
          </w:p>
        </w:tc>
        <w:tc>
          <w:tcPr>
            <w:tcW w:w="6030"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 xml:space="preserve">GMDSS communication equipment is operated to transmit and receive various types of signal in accordance with manufacturer's instructions, established </w:t>
            </w:r>
            <w:r w:rsidRPr="00A57B7E">
              <w:t>GMDSS procedures and regulatory requirements</w:t>
            </w:r>
          </w:p>
        </w:tc>
      </w:tr>
      <w:tr w:rsidTr="00B655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c</w:t>
            </w:r>
          </w:p>
        </w:tc>
        <w:tc>
          <w:tcPr>
            <w:tcW w:w="6030"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GMDSS procedures appropriate for the sea area concerned are correctly applied in accordance with regulatory requirements</w:t>
            </w:r>
          </w:p>
        </w:tc>
      </w:tr>
      <w:tr w:rsidTr="00B655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d</w:t>
            </w:r>
          </w:p>
        </w:tc>
        <w:tc>
          <w:tcPr>
            <w:tcW w:w="6030"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Regulations and procedures applicable to vessel stations equipped with GMDSS communication equipment and digital selective calling (DSC) facilities are applied during radio communication</w:t>
            </w:r>
          </w:p>
        </w:tc>
      </w:tr>
      <w:tr w:rsidTr="00B655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e</w:t>
            </w:r>
          </w:p>
        </w:tc>
        <w:tc>
          <w:tcPr>
            <w:tcW w:w="6030" w:type="dxa"/>
            <w:gridSpan w:val="2"/>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t>OH&amp;S procedures and hazard control strategies are applied when o</w:t>
            </w:r>
            <w:r w:rsidRPr="00A57B7E">
              <w:t>perating radio equipment in accordance with vessel's ISM Code safety management system</w:t>
            </w:r>
          </w:p>
        </w:tc>
      </w:tr>
    </w:tbl>
    <w:p w:rsidR="00000000" w:rsidRPr="00A57B7E" w:rsidP="00A57B7E">
      <w:pPr>
        <w:pStyle w:val="BodyText"/>
      </w:pPr>
    </w:p>
    <w:tbl>
      <w:tblPr>
        <w:tblW w:w="0" w:type="auto"/>
        <w:tblLayout w:type="fixed"/>
        <w:tblCellMar>
          <w:left w:w="62" w:type="dxa"/>
          <w:right w:w="62" w:type="dxa"/>
        </w:tblCellMar>
        <w:tblLook w:val="0000"/>
      </w:tblPr>
      <w:tblGrid>
        <w:gridCol w:w="340"/>
        <w:gridCol w:w="1604"/>
        <w:gridCol w:w="340"/>
        <w:gridCol w:w="20"/>
        <w:gridCol w:w="6004"/>
        <w:gridCol w:w="30"/>
      </w:tblGrid>
      <w:tr w:rsidTr="00B65562">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57B7E" w:rsidP="00A57B7E">
            <w:pPr>
              <w:pStyle w:val="BodyText"/>
            </w:pPr>
          </w:p>
          <w:p w:rsidR="00000000" w:rsidRPr="00A57B7E" w:rsidP="00A57B7E">
            <w:pPr>
              <w:pStyle w:val="BodyText"/>
            </w:pPr>
            <w:r w:rsidRPr="00A57B7E">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rPr>
                <w:rStyle w:val="SpecialBold"/>
              </w:rPr>
              <w:t>PERFORMANCE CRITERIA</w:t>
            </w:r>
          </w:p>
        </w:tc>
      </w:tr>
      <w:tr w:rsidTr="00B65562">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Maintain and fault-find radio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a</w:t>
            </w:r>
          </w:p>
        </w:tc>
        <w:tc>
          <w:tcPr>
            <w:tcW w:w="6054"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Routine maintenance checks are carried out on GMDSS equipment in accordance with manufacturer's instructions and specifications and company procedures</w:t>
            </w:r>
          </w:p>
        </w:tc>
      </w:tr>
      <w:tr w:rsidTr="00B655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b</w:t>
            </w:r>
          </w:p>
        </w:tc>
        <w:tc>
          <w:tcPr>
            <w:tcW w:w="6054"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Out-of-specification performance and faults in GMDSS equipment are correctly identified and investigated using prescribed fault finding techniques in accordance with established user maintenance procedures and manufacturer's instructions</w:t>
            </w:r>
          </w:p>
        </w:tc>
      </w:tr>
      <w:tr w:rsidTr="00B6556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t>c</w:t>
            </w:r>
          </w:p>
        </w:tc>
        <w:tc>
          <w:tcPr>
            <w:tcW w:w="6054"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Identified faults and defective GMDSS equipment and component parts are rectified or replaced in accordance with manufacturer's instructions and established maintenance procedures</w:t>
            </w:r>
          </w:p>
        </w:tc>
      </w:tr>
      <w:tr w:rsidTr="00B65562">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c>
          <w:tcPr>
            <w:tcW w:w="340" w:type="dxa"/>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3</w:t>
            </w:r>
          </w:p>
        </w:tc>
        <w:tc>
          <w:tcPr>
            <w:tcW w:w="1604" w:type="dxa"/>
            <w:tcBorders>
              <w:top w:val="nil"/>
              <w:left w:val="nil"/>
              <w:bottom w:val="nil"/>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Provide radio services during emergencies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a</w:t>
            </w:r>
          </w:p>
        </w:tc>
        <w:tc>
          <w:tcPr>
            <w:tcW w:w="6034" w:type="dxa"/>
            <w:gridSpan w:val="2"/>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t>Radio pro</w:t>
            </w:r>
            <w:r w:rsidRPr="00A57B7E">
              <w:t>cedures as defined in the international and national radio regulations and SOLAS Convention are applied during emergency situations and search and rescue operations</w:t>
            </w:r>
          </w:p>
        </w:tc>
      </w:tr>
    </w:tbl>
    <w:p w:rsidR="00000000" w:rsidRPr="00A57B7E" w:rsidP="00A57B7E">
      <w:pPr>
        <w:pStyle w:val="BodyText"/>
      </w:pPr>
    </w:p>
    <w:p w:rsidR="00000000" w:rsidRPr="00A57B7E" w:rsidP="00A57B7E">
      <w:pPr>
        <w:pStyle w:val="AllowPageBreak"/>
      </w:pPr>
    </w:p>
    <w:p w:rsidR="00000000" w:rsidRPr="00A57B7E" w:rsidP="00A57B7E">
      <w:pPr>
        <w:pStyle w:val="Heading1"/>
      </w:pPr>
      <w:bookmarkStart w:id="9" w:name="O_150983"/>
      <w:bookmarkEnd w:id="9"/>
      <w:r w:rsidRPr="00A57B7E">
        <w:t>Required Skills and Knowledge</w:t>
      </w:r>
    </w:p>
    <w:tbl>
      <w:tblPr>
        <w:tblW w:w="0" w:type="auto"/>
        <w:tblLayout w:type="fixed"/>
        <w:tblCellMar>
          <w:left w:w="62" w:type="dxa"/>
          <w:right w:w="62" w:type="dxa"/>
        </w:tblCellMar>
        <w:tblLook w:val="0000"/>
      </w:tblPr>
      <w:tblGrid>
        <w:gridCol w:w="423"/>
        <w:gridCol w:w="353"/>
        <w:gridCol w:w="7562"/>
      </w:tblGrid>
      <w:tr w:rsidTr="00B65562">
        <w:tblPrEx>
          <w:tblW w:w="0" w:type="auto"/>
          <w:tblLayout w:type="fixed"/>
          <w:tblCellMar>
            <w:left w:w="62" w:type="dxa"/>
            <w:right w:w="62" w:type="dxa"/>
          </w:tblCellMar>
          <w:tblLook w:val="0000"/>
        </w:tblPrEx>
        <w:trPr>
          <w:tblHeader/>
        </w:trPr>
        <w:tc>
          <w:tcPr>
            <w:tcW w:w="833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rPr>
                <w:rStyle w:val="SpecialBold"/>
              </w:rPr>
              <w:t>REQUIRED KNOWLEDGE</w:t>
            </w:r>
          </w:p>
        </w:tc>
      </w:tr>
      <w:tr w:rsidTr="00B65562">
        <w:tblPrEx>
          <w:tblW w:w="0" w:type="auto"/>
          <w:tblLayout w:type="fixed"/>
          <w:tblCellMar>
            <w:left w:w="62" w:type="dxa"/>
            <w:right w:w="62" w:type="dxa"/>
          </w:tblCellMar>
          <w:tblLook w:val="0000"/>
        </w:tblPrEx>
        <w:tc>
          <w:tcPr>
            <w:tcW w:w="833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rPr>
                <w:rStyle w:val="Emphasis"/>
              </w:rPr>
              <w:t>This describes the knowledge required for this unit</w:t>
            </w:r>
            <w:r w:rsidRPr="00A57B7E">
              <w:t>.</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7915"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Sections of maritime regulations related to marine radio communication</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2</w:t>
            </w:r>
          </w:p>
        </w:tc>
        <w:tc>
          <w:tcPr>
            <w:tcW w:w="7915"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International and national radio regulations applicable to mobile marine communication</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3</w:t>
            </w:r>
          </w:p>
        </w:tc>
        <w:tc>
          <w:tcPr>
            <w:tcW w:w="7915"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Principles of radio propagation, including:</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basic propagation mechanisms at LF, MF, HF and VHF</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b</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maximum useable frequency (MUF)</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optimum working frequency (OWF)</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d</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frequency bands</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e</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classes of emission</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f</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 xml:space="preserve">duplex, simplex paired frequencies and ITU channels </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4</w:t>
            </w:r>
          </w:p>
        </w:tc>
        <w:tc>
          <w:tcPr>
            <w:tcW w:w="7915"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Different types of marine radio equipment, their features, applications, operating characteristics and operating procedures</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5</w:t>
            </w:r>
          </w:p>
        </w:tc>
        <w:tc>
          <w:tcPr>
            <w:tcW w:w="7915"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 xml:space="preserve">Prohibitions on connecting non-GMDSS equipment </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6</w:t>
            </w:r>
          </w:p>
        </w:tc>
        <w:tc>
          <w:tcPr>
            <w:tcW w:w="7915"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Types, applications and features of basic antenna systems used in marine radio communication</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7</w:t>
            </w:r>
          </w:p>
        </w:tc>
        <w:tc>
          <w:tcPr>
            <w:tcW w:w="7915"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Basic principles and procedures for marine radio communication, including:</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correct use of frequencies, frequency bands and modes of emission</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b</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frequencies for routine call and reply</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distress, urgency and safety communication</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d</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definition of coverage and sea areas for digital selective calling (DSC)</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e</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radio calling, replying and relaying procedures</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f</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purpose of silence periods when operating radio equipment</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g</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limitations on the performance of different types of marine radio equipment</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h</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purpose for and procedures for the monitoring of calling and working frequencies</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methods of communicating vess</w:t>
            </w:r>
            <w:r w:rsidRPr="00A57B7E">
              <w:t>el position</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8</w:t>
            </w:r>
          </w:p>
        </w:tc>
        <w:tc>
          <w:tcPr>
            <w:tcW w:w="7915"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Procedures for using various GMDSS systems and services, including:</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Inmarsat services (A, B, C, M and E)</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b</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enhanced group calling system (EGC)</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w:t>
            </w:r>
          </w:p>
        </w:tc>
        <w:tc>
          <w:tcPr>
            <w:tcW w:w="7562"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DSC facilities and usage</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d</w:t>
            </w:r>
          </w:p>
        </w:tc>
        <w:tc>
          <w:tcPr>
            <w:tcW w:w="7562" w:type="dxa"/>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t>EGC receiver</w:t>
            </w:r>
          </w:p>
        </w:tc>
      </w:tr>
    </w:tbl>
    <w:p w:rsidR="00000000" w:rsidRPr="00A57B7E" w:rsidP="00A57B7E">
      <w:pPr>
        <w:pStyle w:val="BodyText"/>
      </w:pPr>
    </w:p>
    <w:tbl>
      <w:tblPr>
        <w:tblW w:w="0" w:type="auto"/>
        <w:tblLayout w:type="fixed"/>
        <w:tblCellMar>
          <w:left w:w="62" w:type="dxa"/>
          <w:right w:w="62" w:type="dxa"/>
        </w:tblCellMar>
        <w:tblLook w:val="0000"/>
      </w:tblPr>
      <w:tblGrid>
        <w:gridCol w:w="423"/>
        <w:gridCol w:w="353"/>
        <w:gridCol w:w="7553"/>
        <w:gridCol w:w="9"/>
      </w:tblGrid>
      <w:tr w:rsidTr="00B65562">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e</w:t>
            </w:r>
          </w:p>
        </w:tc>
        <w:tc>
          <w:tcPr>
            <w:tcW w:w="7562"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 xml:space="preserve">MSI services </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f</w:t>
            </w:r>
          </w:p>
        </w:tc>
        <w:tc>
          <w:tcPr>
            <w:tcW w:w="7562"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NAVTEXT system</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g</w:t>
            </w:r>
          </w:p>
        </w:tc>
        <w:tc>
          <w:tcPr>
            <w:tcW w:w="7562"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SafetyNET system</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9</w:t>
            </w:r>
          </w:p>
        </w:tc>
        <w:tc>
          <w:tcPr>
            <w:tcW w:w="7915"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Procedures for deploying and operating survival craft radio equipment, including EPIRBs and SARTs</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10</w:t>
            </w:r>
          </w:p>
        </w:tc>
        <w:tc>
          <w:tcPr>
            <w:tcW w:w="79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The principles and procedures of the search and rescue (SAR) system, including:</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w:t>
            </w:r>
          </w:p>
        </w:tc>
        <w:tc>
          <w:tcPr>
            <w:tcW w:w="75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the role of the Rescue Coordination Centre</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b</w:t>
            </w:r>
          </w:p>
        </w:tc>
        <w:tc>
          <w:tcPr>
            <w:tcW w:w="75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the role of a SAR unit</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w:t>
            </w:r>
          </w:p>
        </w:tc>
        <w:tc>
          <w:tcPr>
            <w:tcW w:w="75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the use and operation of vessel reporting systems, including AUSREP and AMVER</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11</w:t>
            </w:r>
          </w:p>
        </w:tc>
        <w:tc>
          <w:tcPr>
            <w:tcW w:w="79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Maintenance strategies and requirements for GMDSS equipment as defined in SOLAS and Radio Regulations</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12</w:t>
            </w:r>
          </w:p>
        </w:tc>
        <w:tc>
          <w:tcPr>
            <w:tcW w:w="79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Operational checks, including:</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w:t>
            </w:r>
          </w:p>
        </w:tc>
        <w:tc>
          <w:tcPr>
            <w:tcW w:w="75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checking of radio performance (using built in test facilities)</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b</w:t>
            </w:r>
          </w:p>
        </w:tc>
        <w:tc>
          <w:tcPr>
            <w:tcW w:w="75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testing fuses</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w:t>
            </w:r>
          </w:p>
        </w:tc>
        <w:tc>
          <w:tcPr>
            <w:tcW w:w="75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measuring capacity of batteries and the specific gravity of the electrolyte</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d</w:t>
            </w:r>
          </w:p>
        </w:tc>
        <w:tc>
          <w:tcPr>
            <w:tcW w:w="755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measuring on and off load voltage.</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13</w:t>
            </w:r>
          </w:p>
        </w:tc>
        <w:tc>
          <w:tcPr>
            <w:tcW w:w="79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Radio equipment faults and defects and related fault finding techniques and remedial procedures</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14</w:t>
            </w:r>
          </w:p>
        </w:tc>
        <w:tc>
          <w:tcPr>
            <w:tcW w:w="79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Hazards associated with radio transmission and the repair and maintenance of radio equipment and related hazard control measures and OH&amp;S regulations.</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15</w:t>
            </w:r>
          </w:p>
        </w:tc>
        <w:tc>
          <w:tcPr>
            <w:tcW w:w="79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 basic understanding of the Australian marine search and rescue system</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16</w:t>
            </w:r>
          </w:p>
        </w:tc>
        <w:tc>
          <w:tcPr>
            <w:tcW w:w="79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Procedures for the transmitting and decoding of the phonetic alphabet excluding the figure code</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17</w:t>
            </w:r>
          </w:p>
        </w:tc>
        <w:tc>
          <w:tcPr>
            <w:tcW w:w="79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Radio communication problems and appropriate action and solutions</w:t>
            </w:r>
          </w:p>
        </w:tc>
      </w:tr>
      <w:tr w:rsidTr="00B6556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18</w:t>
            </w:r>
          </w:p>
        </w:tc>
        <w:tc>
          <w:tcPr>
            <w:tcW w:w="7906" w:type="dxa"/>
            <w:gridSpan w:val="2"/>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t>Procedures for keeping records of radio communication</w:t>
            </w:r>
          </w:p>
        </w:tc>
      </w:tr>
    </w:tbl>
    <w:p w:rsidR="00000000" w:rsidRPr="00A57B7E" w:rsidP="00A57B7E">
      <w:pPr>
        <w:pStyle w:val="BodyText"/>
      </w:pPr>
    </w:p>
    <w:tbl>
      <w:tblPr>
        <w:tblW w:w="0" w:type="auto"/>
        <w:tblLayout w:type="fixed"/>
        <w:tblCellMar>
          <w:left w:w="62" w:type="dxa"/>
          <w:right w:w="62" w:type="dxa"/>
        </w:tblCellMar>
        <w:tblLook w:val="0000"/>
      </w:tblPr>
      <w:tblGrid>
        <w:gridCol w:w="423"/>
        <w:gridCol w:w="7906"/>
      </w:tblGrid>
      <w:tr w:rsidTr="00B65562">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A57B7E" w:rsidP="00A57B7E">
            <w:pPr>
              <w:pStyle w:val="BodyText"/>
            </w:pPr>
          </w:p>
          <w:p w:rsidR="00000000" w:rsidP="00A57B7E">
            <w:pPr>
              <w:pStyle w:val="BodyText"/>
              <w:rPr>
                <w:lang w:val="en-NZ"/>
              </w:rPr>
            </w:pPr>
            <w:r w:rsidRPr="00A57B7E">
              <w:rPr>
                <w:rStyle w:val="SpecialBold"/>
              </w:rPr>
              <w:t>REQUIRED SKILLS</w:t>
            </w:r>
          </w:p>
        </w:tc>
      </w:tr>
      <w:tr w:rsidTr="00B65562">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rPr>
                <w:rStyle w:val="Emphasis"/>
              </w:rPr>
              <w:t>This describes the basic skills required for this unit</w:t>
            </w:r>
            <w:r w:rsidRPr="00A57B7E">
              <w:t>.</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7906"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Communicate effectively with others when using GMDSS subsystems and equipment</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2</w:t>
            </w:r>
          </w:p>
        </w:tc>
        <w:tc>
          <w:tcPr>
            <w:tcW w:w="7906"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Read and interpret instructions for the use of GMDSS subsystems and equipment</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3</w:t>
            </w:r>
          </w:p>
        </w:tc>
        <w:tc>
          <w:tcPr>
            <w:tcW w:w="7906"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Read and interpret marine radio regulations, rules and instructions</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4</w:t>
            </w:r>
          </w:p>
        </w:tc>
        <w:tc>
          <w:tcPr>
            <w:tcW w:w="7906"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Use the phonetic alphabet</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5</w:t>
            </w:r>
          </w:p>
        </w:tc>
        <w:tc>
          <w:tcPr>
            <w:tcW w:w="7906"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Keep records of radio communication</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6</w:t>
            </w:r>
          </w:p>
        </w:tc>
        <w:tc>
          <w:tcPr>
            <w:tcW w:w="7906"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Work collaboratively with other shipboard personnel and passengers</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7</w:t>
            </w:r>
          </w:p>
        </w:tc>
        <w:tc>
          <w:tcPr>
            <w:tcW w:w="7906"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Recognise typical faults and problems with GMDSS subsystems and equipment and take appropriate action</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8</w:t>
            </w:r>
          </w:p>
        </w:tc>
        <w:tc>
          <w:tcPr>
            <w:tcW w:w="7906"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 xml:space="preserve">Adapt to changes in GMDSS subsystems and equipment and elated procedures </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9</w:t>
            </w:r>
          </w:p>
        </w:tc>
        <w:tc>
          <w:tcPr>
            <w:tcW w:w="7906"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Oper</w:t>
            </w:r>
            <w:r w:rsidRPr="00A57B7E">
              <w:t>ate the GMDSS subsystems and equipment in accordance with manufacturer's instructions</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10</w:t>
            </w:r>
          </w:p>
        </w:tc>
        <w:tc>
          <w:tcPr>
            <w:tcW w:w="7906"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Conduct operational checks on GMDSS subsystems and equipment</w:t>
            </w:r>
          </w:p>
        </w:tc>
      </w:tr>
      <w:tr w:rsidTr="00B6556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11</w:t>
            </w:r>
          </w:p>
        </w:tc>
        <w:tc>
          <w:tcPr>
            <w:tcW w:w="7906" w:type="dxa"/>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t>Apply OH&amp;S procedures and precautions when using and checking GMDSS subsystems and equipment</w:t>
            </w:r>
          </w:p>
        </w:tc>
      </w:tr>
    </w:tbl>
    <w:p w:rsidR="00000000" w:rsidRPr="00A57B7E" w:rsidP="00A57B7E">
      <w:pPr>
        <w:pStyle w:val="BodyText"/>
      </w:pPr>
    </w:p>
    <w:p w:rsidR="00000000" w:rsidRPr="00A57B7E" w:rsidP="00A57B7E">
      <w:pPr>
        <w:pStyle w:val="AllowPageBreak"/>
      </w:pPr>
    </w:p>
    <w:p w:rsidR="00000000" w:rsidRPr="00A57B7E" w:rsidP="00A57B7E">
      <w:pPr>
        <w:pStyle w:val="Heading1"/>
      </w:pPr>
      <w:bookmarkStart w:id="10" w:name="O_150984"/>
      <w:bookmarkEnd w:id="10"/>
      <w:r w:rsidRPr="00A57B7E">
        <w:t>Evidence Guide</w:t>
      </w:r>
    </w:p>
    <w:tbl>
      <w:tblPr>
        <w:tblW w:w="0" w:type="auto"/>
        <w:tblLayout w:type="fixed"/>
        <w:tblCellMar>
          <w:left w:w="62" w:type="dxa"/>
          <w:right w:w="62" w:type="dxa"/>
        </w:tblCellMar>
        <w:tblLook w:val="0000"/>
      </w:tblPr>
      <w:tblGrid>
        <w:gridCol w:w="303"/>
        <w:gridCol w:w="1789"/>
        <w:gridCol w:w="360"/>
        <w:gridCol w:w="357"/>
        <w:gridCol w:w="5399"/>
        <w:gridCol w:w="270"/>
        <w:gridCol w:w="15"/>
      </w:tblGrid>
      <w:tr w:rsidTr="00B65562">
        <w:tblPrEx>
          <w:tblW w:w="0" w:type="auto"/>
          <w:tblLayout w:type="fixed"/>
          <w:tblCellMar>
            <w:left w:w="62" w:type="dxa"/>
            <w:right w:w="62" w:type="dxa"/>
          </w:tblCellMar>
          <w:tblLook w:val="0000"/>
        </w:tblPrEx>
        <w:trPr>
          <w:gridAfter w:val="2"/>
          <w:wAfter w:w="285" w:type="dxa"/>
          <w:tblHeader/>
        </w:trPr>
        <w:tc>
          <w:tcPr>
            <w:tcW w:w="820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B7E" w:rsidP="00A57B7E">
            <w:pPr>
              <w:pStyle w:val="BodyText"/>
            </w:pPr>
            <w:r w:rsidRPr="00A57B7E">
              <w:rPr>
                <w:rStyle w:val="SpecialBold"/>
              </w:rPr>
              <w:t>Evidence Guide</w:t>
            </w:r>
          </w:p>
          <w:p w:rsidR="00000000" w:rsidP="00A57B7E">
            <w:pPr>
              <w:pStyle w:val="BodyText"/>
              <w:rPr>
                <w:lang w:val="en-NZ"/>
              </w:rPr>
            </w:pPr>
            <w:r w:rsidRPr="00A57B7E">
              <w:rPr>
                <w:rStyle w:val="SpecialBold"/>
              </w:rPr>
              <w:t>TDMME807C TRANSMIT AND RECEIVE INFORMATION BY GMDSS SUBSYSTEMS AND EQUIPMENT</w:t>
            </w:r>
          </w:p>
        </w:tc>
      </w:tr>
      <w:tr w:rsidTr="00B65562">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A57B7E" w:rsidP="00A57B7E">
            <w:pPr>
              <w:pStyle w:val="BodyText"/>
            </w:pPr>
          </w:p>
          <w:p w:rsidR="00000000" w:rsidP="00A57B7E">
            <w:pPr>
              <w:pStyle w:val="BodyText"/>
              <w:rPr>
                <w:lang w:val="en-NZ"/>
              </w:rPr>
            </w:pPr>
            <w:r w:rsidRPr="00A57B7E">
              <w:rPr>
                <w:rStyle w:val="Emphasis"/>
              </w:rPr>
              <w:t>The Evidence Guide provides advice on assessment and must be read in conjunction with the Performance Criteria</w:t>
            </w:r>
            <w:r w:rsidRPr="00A57B7E">
              <w:t xml:space="preserve">, </w:t>
            </w:r>
            <w:r w:rsidRPr="00A57B7E">
              <w:rPr>
                <w:rStyle w:val="Emphasis"/>
              </w:rPr>
              <w:t>Required Skills</w:t>
            </w:r>
            <w:r w:rsidRPr="00A57B7E">
              <w:rPr>
                <w:rStyle w:val="Emphasis"/>
              </w:rPr>
              <w:t xml:space="preserve"> and Knowledge</w:t>
            </w:r>
            <w:r w:rsidRPr="00A57B7E">
              <w:t xml:space="preserve">, </w:t>
            </w:r>
            <w:r w:rsidRPr="00A57B7E">
              <w:rPr>
                <w:rStyle w:val="Emphasis"/>
              </w:rPr>
              <w:t>the Range Statement and the Assessment Guidelines for this Training Package</w:t>
            </w:r>
            <w:r w:rsidRPr="00A57B7E">
              <w:t>.</w:t>
            </w:r>
          </w:p>
        </w:tc>
      </w:tr>
      <w:tr w:rsidTr="00B65562">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A57B7E" w:rsidP="00A57B7E">
            <w:pPr>
              <w:pStyle w:val="BodyText"/>
            </w:pPr>
            <w:r w:rsidRPr="00A57B7E">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Critical aspects of evidence required to demonstrate competency in this unit</w:t>
            </w:r>
          </w:p>
        </w:tc>
        <w:tc>
          <w:tcPr>
            <w:tcW w:w="6386" w:type="dxa"/>
            <w:gridSpan w:val="4"/>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Assessment must confirm appropriate knowledge and skills to:</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a</w:t>
            </w:r>
          </w:p>
        </w:tc>
        <w:tc>
          <w:tcPr>
            <w:tcW w:w="6026"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Operate GMDSS sub systems and equipment to transmit and receive messages</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b</w:t>
            </w:r>
          </w:p>
        </w:tc>
        <w:tc>
          <w:tcPr>
            <w:tcW w:w="6026"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Maintain and fault-find GMDSS radio equipment</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c</w:t>
            </w:r>
          </w:p>
        </w:tc>
        <w:tc>
          <w:tcPr>
            <w:tcW w:w="6026"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Access search and rescue radio facilities</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d</w:t>
            </w:r>
          </w:p>
        </w:tc>
        <w:tc>
          <w:tcPr>
            <w:tcW w:w="6026"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Deploy and operate an EPIRB and a SART</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t>e</w:t>
            </w:r>
          </w:p>
        </w:tc>
        <w:tc>
          <w:tcPr>
            <w:tcW w:w="6026" w:type="dxa"/>
            <w:gridSpan w:val="3"/>
            <w:tcBorders>
              <w:top w:val="nil"/>
              <w:left w:val="nil"/>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t>Maintain records of radio communication</w:t>
            </w:r>
          </w:p>
        </w:tc>
      </w:tr>
      <w:tr w:rsidTr="00B65562">
        <w:tblPrEx>
          <w:tblW w:w="0" w:type="auto"/>
          <w:tblLayout w:type="fixed"/>
          <w:tblCellMar>
            <w:left w:w="62" w:type="dxa"/>
            <w:right w:w="62" w:type="dxa"/>
          </w:tblCellMar>
          <w:tblLook w:val="0000"/>
        </w:tblPrEx>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a</w:t>
            </w:r>
          </w:p>
        </w:tc>
        <w:tc>
          <w:tcPr>
            <w:tcW w:w="6026"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Performance is demonstrated consistently over a period of time and in a suitable range of contexts</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b</w:t>
            </w:r>
          </w:p>
        </w:tc>
        <w:tc>
          <w:tcPr>
            <w:tcW w:w="6026"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Consistently applies underpinning knowledge and skills when:</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5669"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operating GMDSS subsystems and equipment to transmit and receive messages</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2</w:t>
            </w:r>
          </w:p>
        </w:tc>
        <w:tc>
          <w:tcPr>
            <w:tcW w:w="5669"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maintaining and fault finding GMDSS equipment</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3</w:t>
            </w:r>
          </w:p>
        </w:tc>
        <w:tc>
          <w:tcPr>
            <w:tcW w:w="5669"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accessing search and rescue radio facilities</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4</w:t>
            </w:r>
          </w:p>
        </w:tc>
        <w:tc>
          <w:tcPr>
            <w:tcW w:w="5669"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deploying and operating an EPIRB and a SART</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5</w:t>
            </w:r>
          </w:p>
        </w:tc>
        <w:tc>
          <w:tcPr>
            <w:tcW w:w="5669"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identifying and evaluating radio communication problems and determining appropriate courses of action</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6</w:t>
            </w:r>
          </w:p>
        </w:tc>
        <w:tc>
          <w:tcPr>
            <w:tcW w:w="5669"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maintaining records of radio communication</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c</w:t>
            </w:r>
          </w:p>
        </w:tc>
        <w:tc>
          <w:tcPr>
            <w:tcW w:w="6026"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Shows evidence of application of relevant</w:t>
            </w:r>
            <w:r w:rsidRPr="00A57B7E">
              <w:t xml:space="preserve"> workplace procedures, including:</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5669"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relevant sections of IMO STCW 95 Convention and Code and AMSA Marine Orders</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2</w:t>
            </w:r>
          </w:p>
        </w:tc>
        <w:tc>
          <w:tcPr>
            <w:tcW w:w="5669"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OH&amp;S procedures and legislation</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3</w:t>
            </w:r>
          </w:p>
        </w:tc>
        <w:tc>
          <w:tcPr>
            <w:tcW w:w="5669"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job procedures and work instructions</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4</w:t>
            </w:r>
          </w:p>
        </w:tc>
        <w:tc>
          <w:tcPr>
            <w:tcW w:w="5669"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guidelines relating to the use of a GMDSS communication subsystems and equipment on board the vessel</w:t>
            </w:r>
          </w:p>
        </w:tc>
      </w:tr>
      <w:tr w:rsidTr="00B6556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d</w:t>
            </w:r>
          </w:p>
        </w:tc>
        <w:tc>
          <w:tcPr>
            <w:tcW w:w="6026" w:type="dxa"/>
            <w:gridSpan w:val="3"/>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t>Action is taken promptly to report radio communication problems in accordance with established procedures</w:t>
            </w:r>
          </w:p>
        </w:tc>
      </w:tr>
    </w:tbl>
    <w:p w:rsidR="00000000" w:rsidRPr="00A57B7E" w:rsidP="00A57B7E">
      <w:pPr>
        <w:pStyle w:val="BodyText"/>
      </w:pPr>
    </w:p>
    <w:tbl>
      <w:tblPr>
        <w:tblW w:w="0" w:type="auto"/>
        <w:tblLayout w:type="fixed"/>
        <w:tblCellMar>
          <w:left w:w="62" w:type="dxa"/>
          <w:right w:w="62" w:type="dxa"/>
        </w:tblCellMar>
        <w:tblLook w:val="0000"/>
      </w:tblPr>
      <w:tblGrid>
        <w:gridCol w:w="286"/>
        <w:gridCol w:w="17"/>
        <w:gridCol w:w="1789"/>
        <w:gridCol w:w="360"/>
        <w:gridCol w:w="357"/>
        <w:gridCol w:w="357"/>
        <w:gridCol w:w="5042"/>
        <w:gridCol w:w="270"/>
        <w:gridCol w:w="15"/>
      </w:tblGrid>
      <w:tr w:rsidTr="00B65562">
        <w:tblPrEx>
          <w:tblW w:w="0" w:type="auto"/>
          <w:tblLayout w:type="fixed"/>
          <w:tblCellMar>
            <w:left w:w="62" w:type="dxa"/>
            <w:right w:w="62" w:type="dxa"/>
          </w:tblCellMar>
          <w:tblLook w:val="0000"/>
        </w:tblPrEx>
        <w:trPr>
          <w:gridAfter w:val="2"/>
          <w:wAfter w:w="285" w:type="dxa"/>
          <w:tblHeader/>
        </w:trPr>
        <w:tc>
          <w:tcPr>
            <w:tcW w:w="8208"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B7E" w:rsidP="00A57B7E">
            <w:pPr>
              <w:pStyle w:val="BodyText"/>
            </w:pPr>
            <w:r w:rsidRPr="00A57B7E">
              <w:rPr>
                <w:rStyle w:val="SpecialBold"/>
              </w:rPr>
              <w:t>Evidence Guide</w:t>
            </w:r>
            <w:r w:rsidRPr="00A57B7E">
              <w:t xml:space="preserve"> (</w:t>
            </w:r>
            <w:r w:rsidRPr="00A57B7E">
              <w:rPr>
                <w:rStyle w:val="SpecialBold"/>
              </w:rPr>
              <w:t>continued</w:t>
            </w:r>
            <w:r w:rsidRPr="00A57B7E">
              <w:t xml:space="preserve">) </w:t>
            </w:r>
          </w:p>
          <w:p w:rsidR="00000000" w:rsidP="00A57B7E">
            <w:pPr>
              <w:pStyle w:val="BodyText"/>
              <w:rPr>
                <w:lang w:val="en-NZ"/>
              </w:rPr>
            </w:pPr>
            <w:r w:rsidRPr="00A57B7E">
              <w:rPr>
                <w:rStyle w:val="SpecialBold"/>
              </w:rPr>
              <w:t>TDMME807C TRANSMIT AND RECEIVE INFORMATION BY GMDSS SUBSYSTEMS AND EQUIPMENT</w:t>
            </w:r>
          </w:p>
        </w:tc>
      </w:tr>
      <w:tr w:rsidTr="00B65562">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single" w:sz="6" w:space="0" w:color="auto"/>
              <w:left w:val="nil"/>
              <w:bottom w:val="nil"/>
              <w:right w:val="nil"/>
            </w:tcBorders>
            <w:tcMar>
              <w:top w:w="0" w:type="dxa"/>
              <w:left w:w="62" w:type="dxa"/>
              <w:bottom w:w="0" w:type="dxa"/>
              <w:right w:w="62" w:type="dxa"/>
            </w:tcMar>
          </w:tcPr>
          <w:p w:rsidR="00000000" w:rsidRPr="00A57B7E" w:rsidP="00A57B7E">
            <w:pPr>
              <w:pStyle w:val="BodyText"/>
            </w:pPr>
          </w:p>
          <w:p w:rsidR="00000000" w:rsidRPr="00A57B7E" w:rsidP="00A57B7E">
            <w:pPr>
              <w:pStyle w:val="BodyText"/>
            </w:pPr>
            <w:r w:rsidRPr="00A57B7E">
              <w:rPr>
                <w:rStyle w:val="SpecialBold"/>
              </w:rPr>
              <w:t>2</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57B7E" w:rsidP="00A57B7E">
            <w:pPr>
              <w:pStyle w:val="BodyText"/>
            </w:pPr>
            <w:r w:rsidRPr="00A57B7E">
              <w:rPr>
                <w:rStyle w:val="SpecialBold"/>
              </w:rPr>
              <w:t>Evidence required for demonstration of consistent performance</w:t>
            </w:r>
          </w:p>
          <w:p w:rsidR="00000000" w:rsidP="00A57B7E">
            <w:pPr>
              <w:pStyle w:val="BodyText"/>
              <w:rPr>
                <w:lang w:val="en-NZ"/>
              </w:rPr>
            </w:pPr>
            <w:r w:rsidRPr="00A57B7E">
              <w:t>(</w:t>
            </w:r>
            <w:r w:rsidRPr="00A57B7E">
              <w:rPr>
                <w:rStyle w:val="SpecialBold"/>
              </w:rPr>
              <w:t>continued</w:t>
            </w:r>
            <w:r w:rsidRPr="00A57B7E">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e</w:t>
            </w:r>
          </w:p>
        </w:tc>
        <w:tc>
          <w:tcPr>
            <w:tcW w:w="6026"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 xml:space="preserve">Work is completed systematically with required attention to detail </w:t>
            </w:r>
          </w:p>
        </w:tc>
      </w:tr>
      <w:tr w:rsidTr="00B65562">
        <w:tblPrEx>
          <w:tblW w:w="0" w:type="auto"/>
          <w:tblLayout w:type="fixed"/>
          <w:tblCellMar>
            <w:left w:w="62" w:type="dxa"/>
            <w:right w:w="62" w:type="dxa"/>
          </w:tblCellMar>
          <w:tblLook w:val="0000"/>
        </w:tblPrEx>
        <w:trPr>
          <w:gridAfter w:val="1"/>
          <w:wAfter w:w="15" w:type="dxa"/>
        </w:trPr>
        <w:tc>
          <w:tcPr>
            <w:tcW w:w="303" w:type="dxa"/>
            <w:gridSpan w:val="2"/>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f</w:t>
            </w:r>
          </w:p>
        </w:tc>
        <w:tc>
          <w:tcPr>
            <w:tcW w:w="6026"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Recognises and adapts appropriately to cultural differences in the workplace, including modes of behaviour and interactions between crew and others</w:t>
            </w:r>
          </w:p>
        </w:tc>
      </w:tr>
      <w:tr w:rsidTr="00B65562">
        <w:tblPrEx>
          <w:tblW w:w="0" w:type="auto"/>
          <w:tblLayout w:type="fixed"/>
          <w:tblCellMar>
            <w:left w:w="62" w:type="dxa"/>
            <w:right w:w="62" w:type="dxa"/>
          </w:tblCellMar>
          <w:tblLook w:val="0000"/>
        </w:tblPrEx>
        <w:tc>
          <w:tcPr>
            <w:tcW w:w="2092"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3</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a</w:t>
            </w:r>
          </w:p>
        </w:tc>
        <w:tc>
          <w:tcPr>
            <w:tcW w:w="6026"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Assessment of competency must comply with the assessment requirements of the relevant maritime regulations</w:t>
            </w:r>
          </w:p>
        </w:tc>
      </w:tr>
      <w:tr w:rsidTr="00B65562">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b</w:t>
            </w:r>
          </w:p>
        </w:tc>
        <w:tc>
          <w:tcPr>
            <w:tcW w:w="6026"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Assessment of this unit must be undertaken within relevant marine authority approved and audited arrangements by a registered training organisation:</w:t>
            </w:r>
          </w:p>
        </w:tc>
      </w:tr>
      <w:tr w:rsidTr="00B65562">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5669"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As a minimum, as</w:t>
            </w:r>
            <w:r w:rsidRPr="00A57B7E">
              <w:t>sessment of knowledge must be conducted through appropriate written/oral examinations</w:t>
            </w:r>
          </w:p>
        </w:tc>
      </w:tr>
      <w:tr w:rsidTr="00B65562">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2</w:t>
            </w:r>
          </w:p>
        </w:tc>
        <w:tc>
          <w:tcPr>
            <w:tcW w:w="5669"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Appropriate practical assessment must occur:</w:t>
            </w:r>
          </w:p>
        </w:tc>
      </w:tr>
      <w:tr w:rsidTr="00B65562">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w:t>
            </w:r>
          </w:p>
        </w:tc>
        <w:tc>
          <w:tcPr>
            <w:tcW w:w="5312"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 xml:space="preserve">at the registered training organisation; and/or </w:t>
            </w:r>
          </w:p>
        </w:tc>
      </w:tr>
      <w:tr w:rsidTr="00B65562">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t>ii</w:t>
            </w:r>
          </w:p>
        </w:tc>
        <w:tc>
          <w:tcPr>
            <w:tcW w:w="5312" w:type="dxa"/>
            <w:gridSpan w:val="2"/>
            <w:tcBorders>
              <w:top w:val="nil"/>
              <w:left w:val="nil"/>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t>on an appropriate working or training vessel</w:t>
            </w:r>
          </w:p>
        </w:tc>
      </w:tr>
      <w:tr w:rsidTr="00B65562">
        <w:tblPrEx>
          <w:tblW w:w="0" w:type="auto"/>
          <w:tblLayout w:type="fixed"/>
          <w:tblCellMar>
            <w:left w:w="62" w:type="dxa"/>
            <w:right w:w="62" w:type="dxa"/>
          </w:tblCellMar>
          <w:tblLook w:val="0000"/>
        </w:tblPrEx>
        <w:tc>
          <w:tcPr>
            <w:tcW w:w="2092"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1"/>
          <w:wAfter w:w="15" w:type="dxa"/>
        </w:trPr>
        <w:tc>
          <w:tcPr>
            <w:tcW w:w="286" w:type="dxa"/>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4</w:t>
            </w:r>
          </w:p>
        </w:tc>
        <w:tc>
          <w:tcPr>
            <w:tcW w:w="1806" w:type="dxa"/>
            <w:gridSpan w:val="2"/>
            <w:vMerge w:val="restart"/>
            <w:tcBorders>
              <w:top w:val="nil"/>
              <w:left w:val="nil"/>
              <w:bottom w:val="nil"/>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Specific</w:t>
            </w:r>
            <w:r w:rsidRPr="00A57B7E">
              <w:t xml:space="preserve"> </w:t>
            </w:r>
            <w:r w:rsidRPr="00A57B7E">
              <w:rPr>
                <w:rStyle w:val="SpecialBold"/>
              </w:rPr>
              <w:t>resources</w:t>
            </w:r>
            <w:r w:rsidRPr="00A57B7E">
              <w:t xml:space="preserve"> </w:t>
            </w:r>
            <w:r w:rsidRPr="00A57B7E">
              <w:rPr>
                <w:rStyle w:val="SpecialBold"/>
              </w:rPr>
              <w:t>required for assessment</w:t>
            </w:r>
          </w:p>
        </w:tc>
        <w:tc>
          <w:tcPr>
            <w:tcW w:w="6386" w:type="dxa"/>
            <w:gridSpan w:val="5"/>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Access is required to opportunities to:</w:t>
            </w:r>
          </w:p>
        </w:tc>
      </w:tr>
      <w:tr w:rsidTr="00B65562">
        <w:tblPrEx>
          <w:tblW w:w="0" w:type="auto"/>
          <w:tblLayout w:type="fixed"/>
          <w:tblCellMar>
            <w:left w:w="62" w:type="dxa"/>
            <w:right w:w="62" w:type="dxa"/>
          </w:tblCellMar>
          <w:tblLook w:val="0000"/>
        </w:tblPrEx>
        <w:trPr>
          <w:gridAfter w:val="1"/>
          <w:wAfter w:w="15" w:type="dxa"/>
        </w:trPr>
        <w:tc>
          <w:tcPr>
            <w:tcW w:w="2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a</w:t>
            </w:r>
          </w:p>
        </w:tc>
        <w:tc>
          <w:tcPr>
            <w:tcW w:w="6026"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 xml:space="preserve">demonstrate performance in suitably simulated radio communication activities using the GMDSS System covering a range of normal, emergency and </w:t>
            </w:r>
            <w:r w:rsidRPr="00A57B7E">
              <w:t>search and rescue radio communication situations that may be typically experienced on a vessel; and/or</w:t>
            </w:r>
          </w:p>
        </w:tc>
      </w:tr>
      <w:tr w:rsidTr="00B65562">
        <w:tblPrEx>
          <w:tblW w:w="0" w:type="auto"/>
          <w:tblLayout w:type="fixed"/>
          <w:tblCellMar>
            <w:left w:w="62" w:type="dxa"/>
            <w:right w:w="62" w:type="dxa"/>
          </w:tblCellMar>
          <w:tblLook w:val="0000"/>
        </w:tblPrEx>
        <w:trPr>
          <w:gridAfter w:val="1"/>
          <w:wAfter w:w="15" w:type="dxa"/>
        </w:trPr>
        <w:tc>
          <w:tcPr>
            <w:tcW w:w="28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b</w:t>
            </w:r>
          </w:p>
        </w:tc>
        <w:tc>
          <w:tcPr>
            <w:tcW w:w="6026" w:type="dxa"/>
            <w:gridSpan w:val="4"/>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t>use GMDSS radio communication equipment in an appropriate range of operational situations on board an operational commercial or training vessel</w:t>
            </w:r>
          </w:p>
        </w:tc>
      </w:tr>
    </w:tbl>
    <w:p w:rsidR="00000000" w:rsidRPr="00A57B7E" w:rsidP="00A57B7E">
      <w:pPr>
        <w:pStyle w:val="BodyText"/>
      </w:pPr>
    </w:p>
    <w:p w:rsidR="00000000" w:rsidRPr="00A57B7E" w:rsidP="00A57B7E">
      <w:pPr>
        <w:pStyle w:val="AllowPageBreak"/>
      </w:pPr>
    </w:p>
    <w:p w:rsidR="00000000" w:rsidRPr="00A57B7E" w:rsidP="00A57B7E">
      <w:pPr>
        <w:pStyle w:val="Heading1"/>
      </w:pPr>
      <w:bookmarkStart w:id="11" w:name="O_150985"/>
      <w:bookmarkEnd w:id="11"/>
      <w:r w:rsidRPr="00A57B7E">
        <w:t>Range Statement</w:t>
      </w:r>
    </w:p>
    <w:tbl>
      <w:tblPr>
        <w:tblW w:w="0" w:type="auto"/>
        <w:tblLayout w:type="fixed"/>
        <w:tblCellMar>
          <w:left w:w="62" w:type="dxa"/>
          <w:right w:w="62" w:type="dxa"/>
        </w:tblCellMar>
        <w:tblLook w:val="0000"/>
      </w:tblPr>
      <w:tblGrid>
        <w:gridCol w:w="340"/>
        <w:gridCol w:w="6"/>
        <w:gridCol w:w="1744"/>
        <w:gridCol w:w="357"/>
        <w:gridCol w:w="11"/>
        <w:gridCol w:w="44"/>
        <w:gridCol w:w="306"/>
        <w:gridCol w:w="5400"/>
        <w:gridCol w:w="267"/>
        <w:gridCol w:w="18"/>
        <w:gridCol w:w="28"/>
      </w:tblGrid>
      <w:tr w:rsidTr="00B65562">
        <w:tblPrEx>
          <w:tblW w:w="0" w:type="auto"/>
          <w:tblLayout w:type="fixed"/>
          <w:tblCellMar>
            <w:left w:w="62" w:type="dxa"/>
            <w:right w:w="62" w:type="dxa"/>
          </w:tblCellMar>
          <w:tblLook w:val="0000"/>
        </w:tblPrEx>
        <w:trPr>
          <w:gridAfter w:val="3"/>
          <w:wAfter w:w="313" w:type="dxa"/>
          <w:tblHeader/>
        </w:trPr>
        <w:tc>
          <w:tcPr>
            <w:tcW w:w="8208" w:type="dxa"/>
            <w:gridSpan w:val="8"/>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B7E" w:rsidP="00A57B7E">
            <w:pPr>
              <w:pStyle w:val="BodyText"/>
            </w:pPr>
            <w:r w:rsidRPr="00A57B7E">
              <w:rPr>
                <w:rStyle w:val="SpecialBold"/>
              </w:rPr>
              <w:t>Range Statement</w:t>
            </w:r>
          </w:p>
          <w:p w:rsidR="00000000" w:rsidP="00A57B7E">
            <w:pPr>
              <w:pStyle w:val="BodyText"/>
              <w:rPr>
                <w:lang w:val="en-NZ"/>
              </w:rPr>
            </w:pPr>
            <w:r w:rsidRPr="00A57B7E">
              <w:rPr>
                <w:rStyle w:val="SpecialBold"/>
              </w:rPr>
              <w:t>TDMME807C TRANSMIT AND RECEIVE INFORMATION BY GMDSS SUBSYSTEMS AND EQUIPMENT</w:t>
            </w:r>
          </w:p>
        </w:tc>
      </w:tr>
      <w:tr w:rsidTr="00B65562">
        <w:tblPrEx>
          <w:tblW w:w="0" w:type="auto"/>
          <w:tblLayout w:type="fixed"/>
          <w:tblCellMar>
            <w:left w:w="62" w:type="dxa"/>
            <w:right w:w="62" w:type="dxa"/>
          </w:tblCellMar>
          <w:tblLook w:val="0000"/>
        </w:tblPrEx>
        <w:tc>
          <w:tcPr>
            <w:tcW w:w="8521" w:type="dxa"/>
            <w:gridSpan w:val="11"/>
            <w:tcBorders>
              <w:top w:val="nil"/>
              <w:left w:val="nil"/>
              <w:bottom w:val="nil"/>
              <w:right w:val="nil"/>
            </w:tcBorders>
            <w:tcMar>
              <w:top w:w="0" w:type="dxa"/>
              <w:left w:w="62" w:type="dxa"/>
              <w:bottom w:w="0" w:type="dxa"/>
              <w:right w:w="62" w:type="dxa"/>
            </w:tcMar>
          </w:tcPr>
          <w:p w:rsidR="00000000" w:rsidRPr="00A57B7E" w:rsidP="00A57B7E">
            <w:pPr>
              <w:pStyle w:val="BodyText"/>
            </w:pPr>
          </w:p>
          <w:p w:rsidR="00000000" w:rsidP="00A57B7E">
            <w:pPr>
              <w:pStyle w:val="BodyText"/>
              <w:rPr>
                <w:lang w:val="en-NZ"/>
              </w:rPr>
            </w:pPr>
            <w:r w:rsidRPr="00A57B7E">
              <w:rPr>
                <w:rStyle w:val="Emphasis"/>
              </w:rPr>
              <w:t>The Range Statement relates to the unit of competency as a whole</w:t>
            </w:r>
            <w:r w:rsidRPr="00A57B7E">
              <w:t xml:space="preserve">. </w:t>
            </w:r>
            <w:r w:rsidRPr="00A57B7E">
              <w:rPr>
                <w:rStyle w:val="Emphasis"/>
              </w:rPr>
              <w:t>It allows for different work environments and situations that may affect performance</w:t>
            </w:r>
            <w:r w:rsidRPr="00A57B7E">
              <w:t>.</w:t>
            </w:r>
          </w:p>
        </w:tc>
      </w:tr>
      <w:tr w:rsidTr="00B65562">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A57B7E" w:rsidP="00A57B7E">
            <w:pPr>
              <w:pStyle w:val="BodyText"/>
            </w:pPr>
            <w:r w:rsidRPr="00A57B7E">
              <w:rPr>
                <w:rStyle w:val="SpecialBold"/>
              </w:rPr>
              <w:t>VARIABLE</w:t>
            </w:r>
          </w:p>
        </w:tc>
        <w:tc>
          <w:tcPr>
            <w:tcW w:w="6431" w:type="dxa"/>
            <w:gridSpan w:val="8"/>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rPr>
                <w:rStyle w:val="SpecialBold"/>
              </w:rPr>
              <w:t>SCOPE</w:t>
            </w:r>
          </w:p>
        </w:tc>
      </w:tr>
      <w:tr w:rsidTr="00B65562">
        <w:tblPrEx>
          <w:tblW w:w="0" w:type="auto"/>
          <w:tblLayout w:type="fixed"/>
          <w:tblCellMar>
            <w:left w:w="62" w:type="dxa"/>
            <w:right w:w="62" w:type="dxa"/>
          </w:tblCellMar>
          <w:tblLook w:val="0000"/>
        </w:tblPrEx>
        <w:tc>
          <w:tcPr>
            <w:tcW w:w="8521" w:type="dxa"/>
            <w:gridSpan w:val="11"/>
            <w:tcBorders>
              <w:top w:val="nil"/>
              <w:left w:val="nil"/>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rPr>
                <w:rStyle w:val="SpecialBold"/>
              </w:rPr>
              <w:t>1</w:t>
            </w:r>
            <w:r w:rsidRPr="00A57B7E">
              <w:t>.</w:t>
            </w:r>
            <w:r w:rsidRPr="00A57B7E">
              <w:tab/>
            </w:r>
            <w:r w:rsidRPr="00A57B7E">
              <w:rPr>
                <w:rStyle w:val="SpecialBold"/>
              </w:rPr>
              <w:t>GENERAL CONTEXT</w:t>
            </w:r>
          </w:p>
        </w:tc>
      </w:tr>
      <w:tr w:rsidTr="00B65562">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57B7E" w:rsidP="00A57B7E">
            <w:pPr>
              <w:pStyle w:val="BodyText"/>
            </w:pPr>
            <w:r w:rsidRPr="00A57B7E">
              <w:rPr>
                <w:rStyle w:val="SpecialBold"/>
              </w:rPr>
              <w:t>a</w:t>
            </w:r>
            <w:r w:rsidRPr="00A57B7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Work must be carried out</w:t>
            </w:r>
            <w:r w:rsidRPr="00A57B7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t>1</w:t>
            </w:r>
          </w:p>
        </w:tc>
        <w:tc>
          <w:tcPr>
            <w:tcW w:w="6017" w:type="dxa"/>
            <w:gridSpan w:val="4"/>
            <w:tcBorders>
              <w:top w:val="nil"/>
              <w:left w:val="nil"/>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t>in compliance with the relevant sections of the Radio Regulations adopted by the World Administrative Radio Conference for the Mobile Services (1987), and maritime regulations</w:t>
            </w:r>
          </w:p>
        </w:tc>
      </w:tr>
      <w:tr w:rsidTr="00B6556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57B7E" w:rsidP="00A57B7E">
            <w:pPr>
              <w:pStyle w:val="BodyText"/>
            </w:pPr>
            <w:r w:rsidRPr="00A57B7E">
              <w:rPr>
                <w:rStyle w:val="SpecialBold"/>
              </w:rPr>
              <w:t>b</w:t>
            </w:r>
            <w:r w:rsidRPr="00A57B7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Work is performed</w:t>
            </w:r>
            <w:r w:rsidRPr="00A57B7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t>1</w:t>
            </w:r>
          </w:p>
        </w:tc>
        <w:tc>
          <w:tcPr>
            <w:tcW w:w="6017" w:type="dxa"/>
            <w:gridSpan w:val="4"/>
            <w:tcBorders>
              <w:top w:val="nil"/>
              <w:left w:val="nil"/>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t>relatively independently under broad operational requirements, with limited accountability and responsibility for self and others in achieving the prescribed outcomes</w:t>
            </w:r>
          </w:p>
        </w:tc>
      </w:tr>
      <w:tr w:rsidTr="00B65562">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57B7E" w:rsidP="00A57B7E">
            <w:pPr>
              <w:pStyle w:val="BodyText"/>
            </w:pPr>
            <w:r w:rsidRPr="00A57B7E">
              <w:rPr>
                <w:rStyle w:val="SpecialBold"/>
              </w:rPr>
              <w:t>c</w:t>
            </w:r>
            <w:r w:rsidRPr="00A57B7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Work involves</w:t>
            </w:r>
            <w:r w:rsidRPr="00A57B7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t>1</w:t>
            </w:r>
          </w:p>
        </w:tc>
        <w:tc>
          <w:tcPr>
            <w:tcW w:w="6017" w:type="dxa"/>
            <w:gridSpan w:val="4"/>
            <w:tcBorders>
              <w:top w:val="nil"/>
              <w:left w:val="nil"/>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t xml:space="preserve">the application of principles of marine radiotelephony to accurately transmit and receive messages using the GMDSS system. Use of correct procedures for transmitting and receiving of signals using GMDSS equipment appropriate for the sea area concerned, as </w:t>
            </w:r>
            <w:r w:rsidRPr="00A57B7E">
              <w:t>well as deployment and operation of satellite EPIRBs and SARTs is required</w:t>
            </w:r>
          </w:p>
        </w:tc>
      </w:tr>
      <w:tr w:rsidTr="00B6556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d</w:t>
            </w:r>
            <w:r w:rsidRPr="00A57B7E">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Work requires</w:t>
            </w:r>
            <w:r w:rsidRPr="00A57B7E">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6017"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 xml:space="preserve">the accurate and consistent use and user maintenance of the GMDSS system to send and receive messages and signals under normal and emergency </w:t>
            </w:r>
            <w:r w:rsidRPr="00A57B7E">
              <w:t>situations in accordance with international and national radio regulations</w:t>
            </w:r>
          </w:p>
        </w:tc>
      </w:tr>
      <w:tr w:rsidTr="00B65562">
        <w:tblPrEx>
          <w:tblW w:w="0" w:type="auto"/>
          <w:tblLayout w:type="fixed"/>
          <w:tblCellMar>
            <w:left w:w="62" w:type="dxa"/>
            <w:right w:w="62" w:type="dxa"/>
          </w:tblCellMar>
          <w:tblLook w:val="0000"/>
        </w:tblPrEx>
        <w:trPr>
          <w:gridAfter w:val="2"/>
          <w:wAfter w:w="46" w:type="dxa"/>
        </w:trPr>
        <w:tc>
          <w:tcPr>
            <w:tcW w:w="8475" w:type="dxa"/>
            <w:gridSpan w:val="9"/>
            <w:tcBorders>
              <w:top w:val="nil"/>
              <w:left w:val="nil"/>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rPr>
                <w:rStyle w:val="SpecialBold"/>
              </w:rPr>
              <w:t>2</w:t>
            </w:r>
            <w:r w:rsidRPr="00A57B7E">
              <w:t>.</w:t>
            </w:r>
            <w:r w:rsidRPr="00A57B7E">
              <w:tab/>
            </w:r>
            <w:r w:rsidRPr="00A57B7E">
              <w:rPr>
                <w:rStyle w:val="SpecialBold"/>
              </w:rPr>
              <w:t>WORKSITE ENVIRONMENT</w:t>
            </w:r>
          </w:p>
        </w:tc>
      </w:tr>
      <w:tr w:rsidTr="00B65562">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A57B7E" w:rsidP="00A57B7E">
            <w:pPr>
              <w:pStyle w:val="BodyText"/>
            </w:pPr>
            <w:r w:rsidRPr="00A57B7E">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Communication may be carried out</w:t>
            </w:r>
            <w:r w:rsidRPr="00A57B7E">
              <w:t xml:space="preserve">: </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t>1</w:t>
            </w:r>
          </w:p>
        </w:tc>
        <w:tc>
          <w:tcPr>
            <w:tcW w:w="6046" w:type="dxa"/>
            <w:gridSpan w:val="6"/>
            <w:tcBorders>
              <w:top w:val="nil"/>
              <w:left w:val="nil"/>
              <w:bottom w:val="single" w:sz="6" w:space="0" w:color="auto"/>
              <w:right w:val="nil"/>
            </w:tcBorders>
            <w:tcMar>
              <w:top w:w="0" w:type="dxa"/>
              <w:left w:w="62" w:type="dxa"/>
              <w:bottom w:w="0" w:type="dxa"/>
              <w:right w:w="62" w:type="dxa"/>
            </w:tcMar>
          </w:tcPr>
          <w:p w:rsidR="00000000" w:rsidRPr="00A57B7E" w:rsidP="00A57B7E">
            <w:pPr>
              <w:pStyle w:val="BodyText"/>
            </w:pPr>
            <w:r w:rsidRPr="00A57B7E">
              <w:t>in both normal and emergency situatio</w:t>
            </w:r>
            <w:r w:rsidRPr="00A57B7E">
              <w:t>ns using GMDSS equipment appropriate for the sea area concerned, emergency position indicating radio beacons (EPIRBs) and SARTs</w:t>
            </w:r>
          </w:p>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A57B7E" w:rsidP="00A57B7E">
            <w:pPr>
              <w:pStyle w:val="BodyText"/>
            </w:pPr>
            <w:r w:rsidRPr="00A57B7E">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Communication using the GMDSS system may be carried out</w:t>
            </w:r>
            <w:r w:rsidRPr="00A57B7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6046" w:type="dxa"/>
            <w:gridSpan w:val="6"/>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by day or night in both normal and emergency situations</w:t>
            </w:r>
          </w:p>
        </w:tc>
      </w:tr>
      <w:tr w:rsidTr="00B6556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2</w:t>
            </w:r>
          </w:p>
        </w:tc>
        <w:tc>
          <w:tcPr>
            <w:tcW w:w="6046" w:type="dxa"/>
            <w:gridSpan w:val="6"/>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 xml:space="preserve">under any possible conditions of weather </w:t>
            </w:r>
          </w:p>
        </w:tc>
      </w:tr>
      <w:tr w:rsidTr="00B6556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3</w:t>
            </w:r>
          </w:p>
        </w:tc>
        <w:tc>
          <w:tcPr>
            <w:tcW w:w="6046" w:type="dxa"/>
            <w:gridSpan w:val="6"/>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while underway</w:t>
            </w:r>
          </w:p>
        </w:tc>
      </w:tr>
      <w:tr w:rsidTr="00B6556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4</w:t>
            </w:r>
          </w:p>
        </w:tc>
        <w:tc>
          <w:tcPr>
            <w:tcW w:w="6046" w:type="dxa"/>
            <w:gridSpan w:val="6"/>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while anchored or moored</w:t>
            </w:r>
          </w:p>
        </w:tc>
      </w:tr>
      <w:tr w:rsidTr="00B6556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 xml:space="preserve">Radio equipment may </w:t>
            </w:r>
            <w:r w:rsidRPr="00A57B7E">
              <w:rPr>
                <w:rStyle w:val="SpecialBold"/>
              </w:rPr>
              <w:t>include</w:t>
            </w:r>
            <w:r w:rsidRPr="00A57B7E">
              <w:t>:</w:t>
            </w: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5991"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radiotelephony transceiving equipment, including:</w:t>
            </w:r>
          </w:p>
        </w:tc>
      </w:tr>
      <w:tr w:rsidTr="00B6556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w:t>
            </w:r>
          </w:p>
        </w:tc>
        <w:tc>
          <w:tcPr>
            <w:tcW w:w="5685"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medium frequency/high frequency equipment (MF/HF)</w:t>
            </w:r>
          </w:p>
        </w:tc>
      </w:tr>
      <w:tr w:rsidTr="00B6556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 w:type="dxa"/>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ii</w:t>
            </w:r>
          </w:p>
        </w:tc>
        <w:tc>
          <w:tcPr>
            <w:tcW w:w="5685" w:type="dxa"/>
            <w:gridSpan w:val="3"/>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t>very high frequency equipment (VHF)</w:t>
            </w:r>
          </w:p>
        </w:tc>
      </w:tr>
    </w:tbl>
    <w:p w:rsidR="00000000" w:rsidRPr="00A57B7E" w:rsidP="00A57B7E">
      <w:pPr>
        <w:pStyle w:val="BodyText"/>
      </w:pPr>
    </w:p>
    <w:tbl>
      <w:tblPr>
        <w:tblW w:w="0" w:type="auto"/>
        <w:tblLayout w:type="fixed"/>
        <w:tblCellMar>
          <w:left w:w="62" w:type="dxa"/>
          <w:right w:w="62" w:type="dxa"/>
        </w:tblCellMar>
        <w:tblLook w:val="0000"/>
      </w:tblPr>
      <w:tblGrid>
        <w:gridCol w:w="346"/>
        <w:gridCol w:w="1743"/>
        <w:gridCol w:w="357"/>
        <w:gridCol w:w="55"/>
        <w:gridCol w:w="27"/>
        <w:gridCol w:w="5680"/>
        <w:gridCol w:w="281"/>
        <w:gridCol w:w="28"/>
        <w:gridCol w:w="14"/>
        <w:gridCol w:w="18"/>
      </w:tblGrid>
      <w:tr w:rsidTr="00B65562">
        <w:tblPrEx>
          <w:tblW w:w="0" w:type="auto"/>
          <w:tblLayout w:type="fixed"/>
          <w:tblCellMar>
            <w:left w:w="62" w:type="dxa"/>
            <w:right w:w="62" w:type="dxa"/>
          </w:tblCellMar>
          <w:tblLook w:val="0000"/>
        </w:tblPrEx>
        <w:trPr>
          <w:gridAfter w:val="4"/>
          <w:wAfter w:w="341"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B7E" w:rsidP="00A57B7E">
            <w:pPr>
              <w:pStyle w:val="BodyText"/>
            </w:pPr>
            <w:r w:rsidRPr="00A57B7E">
              <w:rPr>
                <w:rStyle w:val="SpecialBold"/>
              </w:rPr>
              <w:t>Range Statement</w:t>
            </w:r>
            <w:r w:rsidRPr="00A57B7E">
              <w:t xml:space="preserve"> (</w:t>
            </w:r>
            <w:r w:rsidRPr="00A57B7E">
              <w:rPr>
                <w:rStyle w:val="SpecialBold"/>
              </w:rPr>
              <w:t>continued</w:t>
            </w:r>
            <w:r w:rsidRPr="00A57B7E">
              <w:t xml:space="preserve">) </w:t>
            </w:r>
          </w:p>
          <w:p w:rsidR="00000000" w:rsidP="00A57B7E">
            <w:pPr>
              <w:pStyle w:val="BodyText"/>
              <w:rPr>
                <w:lang w:val="en-NZ"/>
              </w:rPr>
            </w:pPr>
            <w:r w:rsidRPr="00A57B7E">
              <w:rPr>
                <w:rStyle w:val="SpecialBold"/>
              </w:rPr>
              <w:t>TDMME807C TRANSMIT AND RECEIVE INFORMATION BY GMDSS SUBSYSTEMS AND EQUIPMENT</w:t>
            </w:r>
          </w:p>
        </w:tc>
      </w:tr>
      <w:tr w:rsidTr="00B65562">
        <w:tblPrEx>
          <w:tblW w:w="0" w:type="auto"/>
          <w:tblLayout w:type="fixed"/>
          <w:tblCellMar>
            <w:left w:w="62" w:type="dxa"/>
            <w:right w:w="62" w:type="dxa"/>
          </w:tblCellMar>
          <w:tblLook w:val="0000"/>
        </w:tblPrEx>
        <w:trPr>
          <w:gridAfter w:val="2"/>
          <w:wAfter w:w="32" w:type="dxa"/>
        </w:trPr>
        <w:tc>
          <w:tcPr>
            <w:tcW w:w="2089" w:type="dxa"/>
            <w:gridSpan w:val="2"/>
            <w:tcBorders>
              <w:top w:val="nil"/>
              <w:left w:val="nil"/>
              <w:bottom w:val="nil"/>
              <w:right w:val="single" w:sz="6" w:space="0" w:color="auto"/>
            </w:tcBorders>
            <w:tcMar>
              <w:top w:w="0" w:type="dxa"/>
              <w:left w:w="62" w:type="dxa"/>
              <w:bottom w:w="0" w:type="dxa"/>
              <w:right w:w="62" w:type="dxa"/>
            </w:tcMar>
          </w:tcPr>
          <w:p w:rsidR="00000000" w:rsidRPr="00A57B7E" w:rsidP="00A57B7E">
            <w:pPr>
              <w:pStyle w:val="BodyText"/>
            </w:pPr>
          </w:p>
          <w:p w:rsidR="00000000" w:rsidRPr="00A57B7E" w:rsidP="00A57B7E">
            <w:pPr>
              <w:pStyle w:val="BodyText"/>
            </w:pPr>
            <w:r w:rsidRPr="00A57B7E">
              <w:rPr>
                <w:rStyle w:val="SpecialBold"/>
              </w:rPr>
              <w:t>VARIABLE</w:t>
            </w:r>
          </w:p>
        </w:tc>
        <w:tc>
          <w:tcPr>
            <w:tcW w:w="6428" w:type="dxa"/>
            <w:gridSpan w:val="6"/>
            <w:tcBorders>
              <w:top w:val="nil"/>
              <w:left w:val="single" w:sz="6" w:space="0" w:color="auto"/>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rPr>
                <w:rStyle w:val="SpecialBold"/>
              </w:rPr>
              <w:t>SCOPE</w:t>
            </w:r>
          </w:p>
        </w:tc>
      </w:tr>
      <w:tr w:rsidTr="00B65562">
        <w:tblPrEx>
          <w:tblW w:w="0" w:type="auto"/>
          <w:tblLayout w:type="fixed"/>
          <w:tblCellMar>
            <w:left w:w="62" w:type="dxa"/>
            <w:right w:w="62" w:type="dxa"/>
          </w:tblCellMar>
          <w:tblLook w:val="0000"/>
        </w:tblPrEx>
        <w:trPr>
          <w:gridAfter w:val="3"/>
          <w:wAfter w:w="60"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A57B7E" w:rsidP="00A57B7E">
            <w:pPr>
              <w:pStyle w:val="BodyText"/>
            </w:pPr>
          </w:p>
          <w:p w:rsidR="00000000" w:rsidP="00A57B7E">
            <w:pPr>
              <w:pStyle w:val="BodyText"/>
              <w:rPr>
                <w:lang w:val="en-NZ"/>
              </w:rPr>
            </w:pPr>
            <w:r w:rsidRPr="00A57B7E">
              <w:rPr>
                <w:rStyle w:val="SpecialBold"/>
              </w:rPr>
              <w:t>c</w:t>
            </w:r>
          </w:p>
        </w:tc>
        <w:tc>
          <w:tcPr>
            <w:tcW w:w="1743"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57B7E" w:rsidP="00A57B7E">
            <w:pPr>
              <w:pStyle w:val="BodyText"/>
            </w:pPr>
          </w:p>
          <w:p w:rsidR="00000000" w:rsidRPr="00A57B7E" w:rsidP="00A57B7E">
            <w:pPr>
              <w:pStyle w:val="BodyText"/>
            </w:pPr>
            <w:r w:rsidRPr="00A57B7E">
              <w:rPr>
                <w:rStyle w:val="SpecialBold"/>
              </w:rPr>
              <w:t>Radio equipment may include</w:t>
            </w:r>
            <w:r w:rsidRPr="00A57B7E">
              <w:t>:</w:t>
            </w:r>
          </w:p>
          <w:p w:rsidR="00000000" w:rsidP="00A57B7E">
            <w:pPr>
              <w:pStyle w:val="BodyText"/>
              <w:rPr>
                <w:lang w:val="en-NZ"/>
              </w:rPr>
            </w:pPr>
            <w:r w:rsidRPr="00A57B7E">
              <w:t>(</w:t>
            </w:r>
            <w:r w:rsidRPr="00A57B7E">
              <w:rPr>
                <w:rStyle w:val="SpecialBold"/>
              </w:rPr>
              <w:t>continued</w:t>
            </w:r>
            <w:r w:rsidRPr="00A57B7E">
              <w:t xml:space="preserve">) </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RPr="00A57B7E" w:rsidP="00A57B7E">
            <w:pPr>
              <w:pStyle w:val="BodyText"/>
            </w:pPr>
          </w:p>
          <w:p w:rsidR="00000000" w:rsidP="00A57B7E">
            <w:pPr>
              <w:pStyle w:val="BodyText"/>
              <w:rPr>
                <w:lang w:val="en-NZ"/>
              </w:rPr>
            </w:pPr>
            <w:r w:rsidRPr="00A57B7E">
              <w:t>2</w:t>
            </w:r>
          </w:p>
        </w:tc>
        <w:tc>
          <w:tcPr>
            <w:tcW w:w="5988" w:type="dxa"/>
            <w:gridSpan w:val="3"/>
            <w:tcBorders>
              <w:top w:val="nil"/>
              <w:left w:val="nil"/>
              <w:bottom w:val="nil"/>
              <w:right w:val="nil"/>
            </w:tcBorders>
            <w:tcMar>
              <w:top w:w="0" w:type="dxa"/>
              <w:left w:w="62" w:type="dxa"/>
              <w:bottom w:w="0" w:type="dxa"/>
              <w:right w:w="62" w:type="dxa"/>
            </w:tcMar>
          </w:tcPr>
          <w:p w:rsidR="00000000" w:rsidRPr="00A57B7E" w:rsidP="00A57B7E">
            <w:pPr>
              <w:pStyle w:val="BodyText"/>
            </w:pPr>
          </w:p>
          <w:p w:rsidR="00000000" w:rsidP="00A57B7E">
            <w:pPr>
              <w:pStyle w:val="BodyText"/>
              <w:rPr>
                <w:lang w:val="en-NZ"/>
              </w:rPr>
            </w:pPr>
            <w:r w:rsidRPr="00A57B7E">
              <w:t>digital selective c</w:t>
            </w:r>
            <w:r w:rsidRPr="00A57B7E">
              <w:t xml:space="preserve">alling (DSC) equipment  </w:t>
            </w:r>
          </w:p>
        </w:tc>
      </w:tr>
      <w:tr w:rsidTr="00B655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3</w:t>
            </w:r>
          </w:p>
        </w:tc>
        <w:tc>
          <w:tcPr>
            <w:tcW w:w="59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 xml:space="preserve">ECG receiver </w:t>
            </w:r>
          </w:p>
        </w:tc>
      </w:tr>
      <w:tr w:rsidTr="00B655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4</w:t>
            </w:r>
          </w:p>
        </w:tc>
        <w:tc>
          <w:tcPr>
            <w:tcW w:w="59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 xml:space="preserve">Navtext receiver </w:t>
            </w:r>
          </w:p>
        </w:tc>
      </w:tr>
      <w:tr w:rsidTr="00B655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5</w:t>
            </w:r>
          </w:p>
        </w:tc>
        <w:tc>
          <w:tcPr>
            <w:tcW w:w="59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emergency position indicating radio beacon (EPIRB)</w:t>
            </w:r>
          </w:p>
        </w:tc>
      </w:tr>
      <w:tr w:rsidTr="00B655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6</w:t>
            </w:r>
          </w:p>
        </w:tc>
        <w:tc>
          <w:tcPr>
            <w:tcW w:w="59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search and rescue transmitter (SART)</w:t>
            </w:r>
          </w:p>
        </w:tc>
      </w:tr>
      <w:tr w:rsidTr="00B655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7</w:t>
            </w:r>
          </w:p>
        </w:tc>
        <w:tc>
          <w:tcPr>
            <w:tcW w:w="59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batteries</w:t>
            </w:r>
          </w:p>
        </w:tc>
      </w:tr>
      <w:tr w:rsidTr="00B655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8</w:t>
            </w:r>
          </w:p>
        </w:tc>
        <w:tc>
          <w:tcPr>
            <w:tcW w:w="59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antennas</w:t>
            </w:r>
          </w:p>
        </w:tc>
      </w:tr>
      <w:tr w:rsidTr="00B655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9</w:t>
            </w:r>
          </w:p>
        </w:tc>
        <w:tc>
          <w:tcPr>
            <w:tcW w:w="59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electrical and radio cable connections</w:t>
            </w:r>
          </w:p>
        </w:tc>
      </w:tr>
      <w:tr w:rsidTr="00B65562">
        <w:tblPrEx>
          <w:tblW w:w="0" w:type="auto"/>
          <w:tblLayout w:type="fixed"/>
          <w:tblCellMar>
            <w:left w:w="62" w:type="dxa"/>
            <w:right w:w="62" w:type="dxa"/>
          </w:tblCellMar>
          <w:tblLook w:val="0000"/>
        </w:tblPrEx>
        <w:trPr>
          <w:gridAfter w:val="3"/>
          <w:wAfter w:w="60"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10</w:t>
            </w:r>
          </w:p>
        </w:tc>
        <w:tc>
          <w:tcPr>
            <w:tcW w:w="59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electrical fuses</w:t>
            </w:r>
          </w:p>
        </w:tc>
      </w:tr>
      <w:tr w:rsidTr="00B65562">
        <w:tblPrEx>
          <w:tblW w:w="0" w:type="auto"/>
          <w:tblLayout w:type="fixed"/>
          <w:tblCellMar>
            <w:left w:w="62" w:type="dxa"/>
            <w:right w:w="62" w:type="dxa"/>
          </w:tblCellMar>
          <w:tblLook w:val="0000"/>
        </w:tblPrEx>
        <w:trPr>
          <w:gridAfter w:val="3"/>
          <w:wAfter w:w="60" w:type="dxa"/>
        </w:trPr>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d</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Radio communication procedures may include</w:t>
            </w:r>
            <w:r w:rsidRPr="00A57B7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604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calling a coast station by radiotelephone</w:t>
            </w:r>
          </w:p>
        </w:tc>
      </w:tr>
      <w:tr w:rsidTr="00B65562">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2</w:t>
            </w:r>
          </w:p>
        </w:tc>
        <w:tc>
          <w:tcPr>
            <w:tcW w:w="604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ordering a manually switched call</w:t>
            </w:r>
          </w:p>
        </w:tc>
      </w:tr>
      <w:tr w:rsidTr="00B65562">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3</w:t>
            </w:r>
          </w:p>
        </w:tc>
        <w:tc>
          <w:tcPr>
            <w:tcW w:w="604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terminating a call</w:t>
            </w:r>
          </w:p>
        </w:tc>
      </w:tr>
      <w:tr w:rsidTr="00B65562">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4</w:t>
            </w:r>
          </w:p>
        </w:tc>
        <w:tc>
          <w:tcPr>
            <w:tcW w:w="604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spec</w:t>
            </w:r>
            <w:r w:rsidRPr="00A57B7E">
              <w:t>ial facilities available, including methods of calling a coast station by DSC selecting an automatic radiotelephone call</w:t>
            </w:r>
          </w:p>
        </w:tc>
      </w:tr>
      <w:tr w:rsidTr="00B65562">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e</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Radio communication may include</w:t>
            </w:r>
            <w:r w:rsidRPr="00A57B7E">
              <w:t>:</w:t>
            </w: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normal vessel-to-vessel service</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2</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normal vessel-to-shore service</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3</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port operations service</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4</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vessel movement service</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5</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distress</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6</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urgency</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7</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safety</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8</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navigational</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9</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medical advice</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10</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on-board communication</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11</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emergency position signals</w:t>
            </w:r>
          </w:p>
        </w:tc>
      </w:tr>
      <w:tr w:rsidTr="00B65562">
        <w:tblPrEx>
          <w:tblW w:w="0" w:type="auto"/>
          <w:tblLayout w:type="fixed"/>
          <w:tblCellMar>
            <w:left w:w="62" w:type="dxa"/>
            <w:right w:w="62" w:type="dxa"/>
          </w:tblCellMar>
          <w:tblLook w:val="0000"/>
        </w:tblPrEx>
        <w:tc>
          <w:tcPr>
            <w:tcW w:w="2089"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0" w:type="dxa"/>
            <w:gridSpan w:val="8"/>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f</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Organisations with which radio communication may be conducted may include</w:t>
            </w:r>
            <w:r w:rsidRPr="00A57B7E">
              <w:t>:</w:t>
            </w: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coast stations</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2</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limited coast stations</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3</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private shore stations</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4</w:t>
            </w:r>
          </w:p>
        </w:tc>
        <w:tc>
          <w:tcPr>
            <w:tcW w:w="6003" w:type="dxa"/>
            <w:gridSpan w:val="4"/>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pilot and port stations</w:t>
            </w:r>
          </w:p>
        </w:tc>
      </w:tr>
      <w:tr w:rsidTr="00B65562">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5</w:t>
            </w:r>
          </w:p>
        </w:tc>
        <w:tc>
          <w:tcPr>
            <w:tcW w:w="6003" w:type="dxa"/>
            <w:gridSpan w:val="4"/>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t>aircraft stations</w:t>
            </w:r>
          </w:p>
        </w:tc>
      </w:tr>
    </w:tbl>
    <w:p w:rsidR="00000000" w:rsidRPr="00A57B7E" w:rsidP="00A57B7E">
      <w:pPr>
        <w:pStyle w:val="BodyText"/>
      </w:pPr>
    </w:p>
    <w:tbl>
      <w:tblPr>
        <w:tblW w:w="0" w:type="auto"/>
        <w:tblLayout w:type="fixed"/>
        <w:tblCellMar>
          <w:left w:w="62" w:type="dxa"/>
          <w:right w:w="62" w:type="dxa"/>
        </w:tblCellMar>
        <w:tblLook w:val="0000"/>
      </w:tblPr>
      <w:tblGrid>
        <w:gridCol w:w="346"/>
        <w:gridCol w:w="1744"/>
        <w:gridCol w:w="7"/>
        <w:gridCol w:w="350"/>
        <w:gridCol w:w="82"/>
        <w:gridCol w:w="5679"/>
        <w:gridCol w:w="327"/>
        <w:gridCol w:w="14"/>
      </w:tblGrid>
      <w:tr w:rsidTr="00B65562">
        <w:tblPrEx>
          <w:tblW w:w="0" w:type="auto"/>
          <w:tblLayout w:type="fixed"/>
          <w:tblCellMar>
            <w:left w:w="62" w:type="dxa"/>
            <w:right w:w="62" w:type="dxa"/>
          </w:tblCellMar>
          <w:tblLook w:val="0000"/>
        </w:tblPrEx>
        <w:trPr>
          <w:gridAfter w:val="2"/>
          <w:wAfter w:w="341" w:type="dxa"/>
          <w:tblHeader/>
        </w:trPr>
        <w:tc>
          <w:tcPr>
            <w:tcW w:w="8208"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B7E" w:rsidP="00A57B7E">
            <w:pPr>
              <w:pStyle w:val="BodyText"/>
            </w:pPr>
            <w:r w:rsidRPr="00A57B7E">
              <w:rPr>
                <w:rStyle w:val="SpecialBold"/>
              </w:rPr>
              <w:t>Range Statement</w:t>
            </w:r>
            <w:r w:rsidRPr="00A57B7E">
              <w:t xml:space="preserve"> (</w:t>
            </w:r>
            <w:r w:rsidRPr="00A57B7E">
              <w:rPr>
                <w:rStyle w:val="SpecialBold"/>
              </w:rPr>
              <w:t>continued</w:t>
            </w:r>
            <w:r w:rsidRPr="00A57B7E">
              <w:t xml:space="preserve">) </w:t>
            </w:r>
          </w:p>
          <w:p w:rsidR="00000000" w:rsidP="00A57B7E">
            <w:pPr>
              <w:pStyle w:val="BodyText"/>
              <w:rPr>
                <w:lang w:val="en-NZ"/>
              </w:rPr>
            </w:pPr>
            <w:r w:rsidRPr="00A57B7E">
              <w:rPr>
                <w:rStyle w:val="SpecialBold"/>
              </w:rPr>
              <w:t>TDMME807C TRANSMIT AND RECEIVE INFORMATION BY GMDSS SUBSYSTEMS AND EQUIPMENT</w:t>
            </w:r>
          </w:p>
        </w:tc>
      </w:tr>
      <w:tr w:rsidTr="00B65562">
        <w:tblPrEx>
          <w:tblW w:w="0" w:type="auto"/>
          <w:tblLayout w:type="fixed"/>
          <w:tblCellMar>
            <w:left w:w="62" w:type="dxa"/>
            <w:right w:w="62" w:type="dxa"/>
          </w:tblCellMar>
          <w:tblLook w:val="0000"/>
        </w:tblPrEx>
        <w:tc>
          <w:tcPr>
            <w:tcW w:w="2097" w:type="dxa"/>
            <w:gridSpan w:val="3"/>
            <w:tcBorders>
              <w:top w:val="nil"/>
              <w:left w:val="nil"/>
              <w:bottom w:val="single" w:sz="6" w:space="0" w:color="auto"/>
              <w:right w:val="single" w:sz="6" w:space="0" w:color="auto"/>
            </w:tcBorders>
            <w:tcMar>
              <w:top w:w="0" w:type="dxa"/>
              <w:left w:w="62" w:type="dxa"/>
              <w:bottom w:w="0" w:type="dxa"/>
              <w:right w:w="62" w:type="dxa"/>
            </w:tcMar>
          </w:tcPr>
          <w:p w:rsidR="00000000" w:rsidRPr="00A57B7E" w:rsidP="00A57B7E">
            <w:pPr>
              <w:pStyle w:val="BodyText"/>
            </w:pPr>
          </w:p>
          <w:p w:rsidR="00000000" w:rsidRPr="00A57B7E" w:rsidP="00A57B7E">
            <w:pPr>
              <w:pStyle w:val="BodyText"/>
            </w:pPr>
            <w:r w:rsidRPr="00A57B7E">
              <w:rPr>
                <w:rStyle w:val="SpecialBold"/>
              </w:rPr>
              <w:t>VARIABLE</w:t>
            </w:r>
          </w:p>
        </w:tc>
        <w:tc>
          <w:tcPr>
            <w:tcW w:w="6452"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rPr>
                <w:rStyle w:val="SpecialBold"/>
              </w:rPr>
              <w:t>SCOPE</w:t>
            </w:r>
          </w:p>
        </w:tc>
      </w:tr>
      <w:tr w:rsidTr="00B6556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A57B7E" w:rsidP="00A57B7E">
            <w:pPr>
              <w:pStyle w:val="BodyText"/>
            </w:pPr>
            <w:r w:rsidRPr="00A57B7E">
              <w:rPr>
                <w:rStyle w:val="SpecialBold"/>
              </w:rPr>
              <w:t>Organisations with which radio communication may be conducted may include</w:t>
            </w:r>
            <w:r w:rsidRPr="00A57B7E">
              <w:t>:</w:t>
            </w:r>
          </w:p>
          <w:p w:rsidR="00000000" w:rsidP="00A57B7E">
            <w:pPr>
              <w:pStyle w:val="BodyText"/>
              <w:rPr>
                <w:lang w:val="en-NZ"/>
              </w:rPr>
            </w:pPr>
            <w:r w:rsidRPr="00A57B7E">
              <w:t>(</w:t>
            </w:r>
            <w:r w:rsidRPr="00A57B7E">
              <w:rPr>
                <w:rStyle w:val="SpecialBold"/>
              </w:rPr>
              <w:t>continued</w:t>
            </w:r>
            <w:r w:rsidRPr="00A57B7E">
              <w:t xml:space="preserve">) </w:t>
            </w: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6</w:t>
            </w:r>
          </w:p>
        </w:tc>
        <w:tc>
          <w:tcPr>
            <w:tcW w:w="60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 xml:space="preserve">rescue coordination centres </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7</w:t>
            </w:r>
          </w:p>
        </w:tc>
        <w:tc>
          <w:tcPr>
            <w:tcW w:w="60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volunteer coast guard stations</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8</w:t>
            </w:r>
          </w:p>
        </w:tc>
        <w:tc>
          <w:tcPr>
            <w:tcW w:w="60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search and rescue coordination centre location and operator</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9</w:t>
            </w:r>
          </w:p>
        </w:tc>
        <w:tc>
          <w:tcPr>
            <w:tcW w:w="60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state police forces</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10</w:t>
            </w:r>
          </w:p>
        </w:tc>
        <w:tc>
          <w:tcPr>
            <w:tcW w:w="60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company bases</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 w:type="dxa"/>
            <w:gridSpan w:val="3"/>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11</w:t>
            </w:r>
          </w:p>
        </w:tc>
        <w:tc>
          <w:tcPr>
            <w:tcW w:w="6006"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fishing organisations and cooperatives</w:t>
            </w:r>
          </w:p>
        </w:tc>
      </w:tr>
      <w:tr w:rsidTr="00B6556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Available radio services may include</w:t>
            </w:r>
            <w:r w:rsidRPr="00A57B7E">
              <w:t>:</w:t>
            </w: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medical advice se</w:t>
            </w:r>
            <w:r w:rsidRPr="00A57B7E">
              <w:t>rvices</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2</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search and rescue</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3</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AUSREP</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4</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Inmarsat services (A, B, C, M and E)</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5</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public correspondence</w:t>
            </w:r>
          </w:p>
        </w:tc>
      </w:tr>
      <w:tr w:rsidTr="00B6556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h</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EPIRB frequencies may include</w:t>
            </w:r>
            <w:r w:rsidRPr="00A57B7E">
              <w:t xml:space="preserve"> </w:t>
            </w: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406 MHz</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2</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121.5/243 MHz</w:t>
            </w:r>
          </w:p>
        </w:tc>
      </w:tr>
      <w:tr w:rsidTr="00B6556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i</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Documentation and records</w:t>
            </w:r>
            <w:r w:rsidRPr="00A57B7E">
              <w:t xml:space="preserve"> </w:t>
            </w:r>
            <w:r w:rsidRPr="00A57B7E">
              <w:rPr>
                <w:rStyle w:val="SpecialBold"/>
              </w:rPr>
              <w:t>may include</w:t>
            </w:r>
            <w:r w:rsidRPr="00A57B7E">
              <w:t xml:space="preserve"> </w:t>
            </w: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IMO STCW 95 Code concerning radio communication</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2</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sections of AMSA Marine Orders, NSCV and USL Code concerning radio communication</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3</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SOLAS Convention</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4</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radiotelephony regulations</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5</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radio communication log</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6</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radio equipment manufacturer's specifications and instructions</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7</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records of radio communication</w:t>
            </w:r>
          </w:p>
        </w:tc>
      </w:tr>
      <w:tr w:rsidTr="00B65562">
        <w:tblPrEx>
          <w:tblW w:w="0" w:type="auto"/>
          <w:tblLayout w:type="fixed"/>
          <w:tblCellMar>
            <w:left w:w="62" w:type="dxa"/>
            <w:right w:w="62" w:type="dxa"/>
          </w:tblCellMar>
          <w:tblLook w:val="0000"/>
        </w:tblPrEx>
        <w:trPr>
          <w:gridAfter w:val="1"/>
          <w:wAfter w:w="14"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5"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A57B7E">
            <w:pPr>
              <w:pStyle w:val="BodyText"/>
              <w:rPr>
                <w:lang w:val="en-NZ"/>
              </w:rPr>
            </w:pPr>
          </w:p>
        </w:tc>
      </w:tr>
      <w:tr w:rsidTr="00B6556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rPr>
                <w:rStyle w:val="SpecialBold"/>
              </w:rPr>
              <w:t>j</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Applicable legislation</w:t>
            </w:r>
            <w:r w:rsidRPr="00A57B7E">
              <w:t xml:space="preserve">, </w:t>
            </w:r>
            <w:r w:rsidRPr="00A57B7E">
              <w:rPr>
                <w:rStyle w:val="SpecialBold"/>
              </w:rPr>
              <w:t>regulations and codes may include</w:t>
            </w:r>
            <w:r w:rsidRPr="00A57B7E">
              <w:t>:</w:t>
            </w: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1</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IMO STCW 95 Convention and Code, NSCV and USL Code related to marine radio communication</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2</w:t>
            </w:r>
          </w:p>
        </w:tc>
        <w:tc>
          <w:tcPr>
            <w:tcW w:w="6088" w:type="dxa"/>
            <w:gridSpan w:val="3"/>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relevant sections of AMSA Marine Orders related to marine radio communication</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gridSpan w:val="2"/>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3</w:t>
            </w:r>
          </w:p>
        </w:tc>
        <w:tc>
          <w:tcPr>
            <w:tcW w:w="6088" w:type="dxa"/>
            <w:gridSpan w:val="3"/>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t>Radio regulations adopted by the World Administrative Radio Conference for the Mobile Services (1987)</w:t>
            </w:r>
          </w:p>
        </w:tc>
      </w:tr>
    </w:tbl>
    <w:p w:rsidR="00000000" w:rsidRPr="00A57B7E" w:rsidP="00A57B7E">
      <w:pPr>
        <w:pStyle w:val="BodyText"/>
      </w:pPr>
    </w:p>
    <w:tbl>
      <w:tblPr>
        <w:tblW w:w="0" w:type="auto"/>
        <w:tblLayout w:type="fixed"/>
        <w:tblCellMar>
          <w:left w:w="62" w:type="dxa"/>
          <w:right w:w="62" w:type="dxa"/>
        </w:tblCellMar>
        <w:tblLook w:val="0000"/>
      </w:tblPr>
      <w:tblGrid>
        <w:gridCol w:w="346"/>
        <w:gridCol w:w="1742"/>
        <w:gridCol w:w="359"/>
        <w:gridCol w:w="5761"/>
        <w:gridCol w:w="327"/>
        <w:gridCol w:w="14"/>
      </w:tblGrid>
      <w:tr w:rsidTr="00B65562">
        <w:tblPrEx>
          <w:tblW w:w="0" w:type="auto"/>
          <w:tblLayout w:type="fixed"/>
          <w:tblCellMar>
            <w:left w:w="62" w:type="dxa"/>
            <w:right w:w="62" w:type="dxa"/>
          </w:tblCellMar>
          <w:tblLook w:val="0000"/>
        </w:tblPrEx>
        <w:trPr>
          <w:gridAfter w:val="2"/>
          <w:wAfter w:w="341" w:type="dxa"/>
          <w:tblHeader/>
        </w:trPr>
        <w:tc>
          <w:tcPr>
            <w:tcW w:w="82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B7E" w:rsidP="00A57B7E">
            <w:pPr>
              <w:pStyle w:val="BodyText"/>
            </w:pPr>
            <w:r w:rsidRPr="00A57B7E">
              <w:rPr>
                <w:rStyle w:val="SpecialBold"/>
              </w:rPr>
              <w:t>Range Statement</w:t>
            </w:r>
            <w:r w:rsidRPr="00A57B7E">
              <w:t xml:space="preserve"> (</w:t>
            </w:r>
            <w:r w:rsidRPr="00A57B7E">
              <w:rPr>
                <w:rStyle w:val="SpecialBold"/>
              </w:rPr>
              <w:t>continued</w:t>
            </w:r>
            <w:r w:rsidRPr="00A57B7E">
              <w:t xml:space="preserve">) </w:t>
            </w:r>
          </w:p>
          <w:p w:rsidR="00000000" w:rsidP="00A57B7E">
            <w:pPr>
              <w:pStyle w:val="BodyText"/>
              <w:rPr>
                <w:lang w:val="en-NZ"/>
              </w:rPr>
            </w:pPr>
            <w:r w:rsidRPr="00A57B7E">
              <w:rPr>
                <w:rStyle w:val="SpecialBold"/>
              </w:rPr>
              <w:t>TDMME807C TRANSMIT AND RECEIVE INFORMATION BY GMDSS SUBSYSTEMS AND EQUIPMENT</w:t>
            </w:r>
          </w:p>
        </w:tc>
      </w:tr>
      <w:tr w:rsidTr="00B65562">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57B7E" w:rsidP="00A57B7E">
            <w:pPr>
              <w:pStyle w:val="BodyText"/>
            </w:pPr>
          </w:p>
          <w:p w:rsidR="00000000" w:rsidRPr="00A57B7E" w:rsidP="00A57B7E">
            <w:pPr>
              <w:pStyle w:val="BodyText"/>
            </w:pPr>
            <w:r w:rsidRPr="00A57B7E">
              <w:rPr>
                <w:rStyle w:val="SpecialBold"/>
              </w:rPr>
              <w:t>VARIABLE</w:t>
            </w:r>
          </w:p>
        </w:tc>
        <w:tc>
          <w:tcPr>
            <w:tcW w:w="646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57B7E">
            <w:pPr>
              <w:pStyle w:val="BodyText"/>
              <w:rPr>
                <w:lang w:val="en-NZ"/>
              </w:rPr>
            </w:pPr>
            <w:r w:rsidRPr="00A57B7E">
              <w:rPr>
                <w:rStyle w:val="SpecialBold"/>
              </w:rPr>
              <w:t>SCOPE</w:t>
            </w:r>
          </w:p>
        </w:tc>
      </w:tr>
      <w:tr w:rsidTr="00B65562">
        <w:tblPrEx>
          <w:tblW w:w="0" w:type="auto"/>
          <w:tblLayout w:type="fixed"/>
          <w:tblCellMar>
            <w:left w:w="62" w:type="dxa"/>
            <w:right w:w="62" w:type="dxa"/>
          </w:tblCellMar>
          <w:tblLook w:val="0000"/>
        </w:tblPrEx>
        <w:trPr>
          <w:gridAfter w:val="1"/>
          <w:wAfter w:w="14"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A57B7E" w:rsidP="00A57B7E">
            <w:pPr>
              <w:pStyle w:val="BodyText"/>
            </w:pPr>
          </w:p>
          <w:p w:rsidR="00000000" w:rsidP="00A57B7E">
            <w:pPr>
              <w:pStyle w:val="BodyText"/>
              <w:rPr>
                <w:lang w:val="en-NZ"/>
              </w:rPr>
            </w:pPr>
            <w:r w:rsidRPr="00A57B7E">
              <w:rPr>
                <w:rStyle w:val="SpecialBold"/>
              </w:rPr>
              <w:t>j</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57B7E" w:rsidP="00A57B7E">
            <w:pPr>
              <w:pStyle w:val="BodyText"/>
            </w:pPr>
          </w:p>
          <w:p w:rsidR="00000000" w:rsidRPr="00A57B7E" w:rsidP="00A57B7E">
            <w:pPr>
              <w:pStyle w:val="BodyText"/>
            </w:pPr>
            <w:r w:rsidRPr="00A57B7E">
              <w:rPr>
                <w:rStyle w:val="SpecialBold"/>
              </w:rPr>
              <w:t>Applicable legislation</w:t>
            </w:r>
            <w:r w:rsidRPr="00A57B7E">
              <w:t xml:space="preserve">, </w:t>
            </w:r>
            <w:r w:rsidRPr="00A57B7E">
              <w:rPr>
                <w:rStyle w:val="SpecialBold"/>
              </w:rPr>
              <w:t>regulations and codes may include</w:t>
            </w:r>
            <w:r w:rsidRPr="00A57B7E">
              <w:t>:</w:t>
            </w:r>
          </w:p>
          <w:p w:rsidR="00000000" w:rsidP="00A57B7E">
            <w:pPr>
              <w:pStyle w:val="BodyText"/>
              <w:rPr>
                <w:lang w:val="en-NZ"/>
              </w:rPr>
            </w:pPr>
            <w:r w:rsidRPr="00A57B7E">
              <w:t>(</w:t>
            </w:r>
            <w:r w:rsidRPr="00A57B7E">
              <w:rPr>
                <w:rStyle w:val="SpecialBold"/>
              </w:rPr>
              <w:t>continued</w:t>
            </w:r>
            <w:r w:rsidRPr="00A57B7E">
              <w:t xml:space="preserve">) </w:t>
            </w:r>
          </w:p>
        </w:tc>
        <w:tc>
          <w:tcPr>
            <w:tcW w:w="359" w:type="dxa"/>
            <w:tcBorders>
              <w:top w:val="nil"/>
              <w:left w:val="single" w:sz="6" w:space="0" w:color="auto"/>
              <w:bottom w:val="nil"/>
              <w:right w:val="nil"/>
            </w:tcBorders>
            <w:tcMar>
              <w:top w:w="0" w:type="dxa"/>
              <w:left w:w="62" w:type="dxa"/>
              <w:bottom w:w="0" w:type="dxa"/>
              <w:right w:w="62" w:type="dxa"/>
            </w:tcMar>
          </w:tcPr>
          <w:p w:rsidR="00000000" w:rsidRPr="00A57B7E" w:rsidP="00A57B7E">
            <w:pPr>
              <w:pStyle w:val="BodyText"/>
            </w:pPr>
          </w:p>
          <w:p w:rsidR="00000000" w:rsidP="00A57B7E">
            <w:pPr>
              <w:pStyle w:val="BodyText"/>
              <w:rPr>
                <w:lang w:val="en-NZ"/>
              </w:rPr>
            </w:pPr>
            <w:r w:rsidRPr="00A57B7E">
              <w:t>4</w:t>
            </w:r>
          </w:p>
        </w:tc>
        <w:tc>
          <w:tcPr>
            <w:tcW w:w="6088" w:type="dxa"/>
            <w:gridSpan w:val="2"/>
            <w:tcBorders>
              <w:top w:val="nil"/>
              <w:left w:val="nil"/>
              <w:bottom w:val="nil"/>
              <w:right w:val="nil"/>
            </w:tcBorders>
            <w:tcMar>
              <w:top w:w="0" w:type="dxa"/>
              <w:left w:w="62" w:type="dxa"/>
              <w:bottom w:w="0" w:type="dxa"/>
              <w:right w:w="62" w:type="dxa"/>
            </w:tcMar>
          </w:tcPr>
          <w:p w:rsidR="00000000" w:rsidRPr="00A57B7E" w:rsidP="00A57B7E">
            <w:pPr>
              <w:pStyle w:val="BodyText"/>
            </w:pPr>
          </w:p>
          <w:p w:rsidR="00000000" w:rsidP="00A57B7E">
            <w:pPr>
              <w:pStyle w:val="BodyText"/>
              <w:rPr>
                <w:lang w:val="en-NZ"/>
              </w:rPr>
            </w:pPr>
            <w:r w:rsidRPr="00A57B7E">
              <w:t xml:space="preserve">SOLAS Convention </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rsidP="00A57B7E">
            <w:pPr>
              <w:pStyle w:val="BodyText"/>
              <w:rPr>
                <w:lang w:val="en-NZ"/>
              </w:rPr>
            </w:pPr>
            <w:r w:rsidRPr="00A57B7E">
              <w:t>5</w:t>
            </w:r>
          </w:p>
        </w:tc>
        <w:tc>
          <w:tcPr>
            <w:tcW w:w="6088"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Australian radio communication legislation, including:</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w:t>
            </w:r>
            <w:r w:rsidRPr="00A57B7E">
              <w:tab/>
              <w:t xml:space="preserve">Australian Communications Authority Act </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ii</w:t>
            </w:r>
            <w:r w:rsidRPr="00A57B7E">
              <w:tab/>
              <w:t>Radiocommunications Act (1992)</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2"/>
            <w:tcBorders>
              <w:top w:val="nil"/>
              <w:left w:val="nil"/>
              <w:bottom w:val="nil"/>
              <w:right w:val="nil"/>
            </w:tcBorders>
            <w:tcMar>
              <w:top w:w="0" w:type="dxa"/>
              <w:left w:w="62" w:type="dxa"/>
              <w:bottom w:w="0" w:type="dxa"/>
              <w:right w:w="62" w:type="dxa"/>
            </w:tcMar>
          </w:tcPr>
          <w:p w:rsidR="00000000" w:rsidP="00A57B7E">
            <w:pPr>
              <w:pStyle w:val="BodyText"/>
              <w:rPr>
                <w:lang w:val="en-NZ"/>
              </w:rPr>
            </w:pPr>
            <w:r w:rsidRPr="00A57B7E">
              <w:t>iii</w:t>
            </w:r>
            <w:r w:rsidRPr="00A57B7E">
              <w:tab/>
            </w:r>
            <w:r w:rsidRPr="00A57B7E">
              <w:t>Telecommunications Act</w:t>
            </w:r>
          </w:p>
        </w:tc>
      </w:tr>
      <w:tr w:rsidTr="00B65562">
        <w:tblPrEx>
          <w:tblW w:w="0" w:type="auto"/>
          <w:tblLayout w:type="fixed"/>
          <w:tblCellMar>
            <w:left w:w="62" w:type="dxa"/>
            <w:right w:w="62" w:type="dxa"/>
          </w:tblCellMar>
          <w:tblLook w:val="0000"/>
        </w:tblPrEx>
        <w:trPr>
          <w:gridAfter w:val="1"/>
          <w:wAfter w:w="14"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2"/>
            <w:tcBorders>
              <w:top w:val="nil"/>
              <w:left w:val="nil"/>
              <w:bottom w:val="nil"/>
              <w:right w:val="nil"/>
            </w:tcBorders>
            <w:tcMar>
              <w:top w:w="0" w:type="dxa"/>
              <w:left w:w="62" w:type="dxa"/>
              <w:bottom w:w="0" w:type="dxa"/>
              <w:right w:w="62" w:type="dxa"/>
            </w:tcMar>
          </w:tcPr>
          <w:p w:rsidR="00000000" w:rsidRPr="00A57B7E" w:rsidP="00A57B7E">
            <w:pPr>
              <w:pStyle w:val="BodyText"/>
            </w:pPr>
            <w:r w:rsidRPr="00A57B7E">
              <w:t>iv</w:t>
            </w:r>
            <w:r w:rsidRPr="00A57B7E">
              <w:tab/>
              <w:t>Telecommunications (Transitional Provisions and Consequential Amendments) Act</w:t>
            </w:r>
          </w:p>
        </w:tc>
      </w:tr>
    </w:tbl>
    <w:p w:rsidR="00000000" w:rsidRPr="00A57B7E" w:rsidP="00A57B7E">
      <w:pPr>
        <w:pStyle w:val="BodyText"/>
      </w:pPr>
    </w:p>
    <w:p w:rsidR="00000000" w:rsidRPr="00A57B7E" w:rsidP="00A57B7E">
      <w:pPr>
        <w:pStyle w:val="AllowPageBreak"/>
      </w:pPr>
    </w:p>
    <w:p w:rsidR="00000000" w:rsidRPr="00A57B7E" w:rsidP="00A57B7E">
      <w:pPr>
        <w:pStyle w:val="Heading1"/>
      </w:pPr>
      <w:bookmarkStart w:id="12" w:name="O_150986"/>
      <w:bookmarkEnd w:id="12"/>
      <w:r w:rsidRPr="00A57B7E">
        <w:t>Unit Sector(s)</w:t>
      </w:r>
    </w:p>
    <w:p w:rsidR="00000000" w:rsidRPr="00A57B7E" w:rsidP="00A57B7E">
      <w:pPr>
        <w:pStyle w:val="BodyText"/>
      </w:pPr>
      <w:r w:rsidRPr="00A57B7E">
        <w:t>Not applicable.</w:t>
      </w:r>
    </w:p>
    <w:p w:rsidR="00000000" w:rsidRPr="00A57B7E" w:rsidP="00A57B7E">
      <w:pPr>
        <w:pStyle w:val="AllowPageBreak"/>
      </w:pPr>
    </w:p>
    <w:p w:rsidR="00000000" w:rsidRPr="00A57B7E" w:rsidP="00A57B7E">
      <w:pPr>
        <w:pStyle w:val="Heading1"/>
      </w:pPr>
      <w:bookmarkStart w:id="13" w:name="O_163728"/>
      <w:bookmarkEnd w:id="13"/>
      <w:r w:rsidRPr="00A57B7E">
        <w:t>Field</w:t>
      </w:r>
    </w:p>
    <w:p w:rsidR="00B65562" w:rsidP="00A57B7E">
      <w:pPr>
        <w:pStyle w:val="BodyText"/>
      </w:pPr>
      <w:r w:rsidRPr="00A57B7E">
        <w:t>Field</w:t>
      </w:r>
      <w:r w:rsidRPr="00A57B7E">
        <w:tab/>
        <w:t>E</w:t>
      </w:r>
      <w:r w:rsidRPr="00A57B7E">
        <w:tab/>
        <w:t>Communication</w:t>
      </w:r>
    </w:p>
    <w:p w:rsidR="00B65562" w:rsidP="00A57B7E">
      <w:pPr>
        <w:pStyle w:val="BodyText"/>
      </w:pPr>
    </w:p>
    <w:p w:rsidR="00000000" w:rsidRPr="00A57B7E" w:rsidP="00A57B7E">
      <w:pPr>
        <w:pStyle w:val="Heading1"/>
      </w:pPr>
      <w:bookmarkStart w:id="14" w:name="O_163729"/>
      <w:bookmarkEnd w:id="14"/>
      <w:r w:rsidRPr="00A57B7E">
        <w:t>Relationship to other units</w:t>
      </w:r>
    </w:p>
    <w:tbl>
      <w:tblPr>
        <w:tblW w:w="0" w:type="auto"/>
        <w:tblLayout w:type="fixed"/>
        <w:tblCellMar>
          <w:left w:w="62" w:type="dxa"/>
          <w:right w:w="62" w:type="dxa"/>
        </w:tblCellMar>
        <w:tblLook w:val="0000"/>
      </w:tblPr>
      <w:tblGrid>
        <w:gridCol w:w="1974"/>
        <w:gridCol w:w="6481"/>
      </w:tblGrid>
      <w:tr w:rsidTr="00B65562">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7B7E">
            <w:pPr>
              <w:pStyle w:val="BodyText"/>
              <w:rPr>
                <w:lang w:val="en-NZ"/>
              </w:rPr>
            </w:pPr>
            <w:r w:rsidRPr="00A57B7E">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7B7E" w:rsidP="00A57B7E">
            <w:pPr>
              <w:pStyle w:val="BodyText"/>
            </w:pPr>
            <w:r w:rsidRPr="00A57B7E">
              <w:t>The unit may be assessed in conjunction with other units that relate to the functions of the occupation(s) concerned.</w:t>
            </w:r>
          </w:p>
        </w:tc>
      </w:tr>
    </w:tbl>
    <w:p w:rsidR="00000000" w:rsidRPr="00A57B7E" w:rsidP="00A57B7E">
      <w:pPr>
        <w:pStyle w:val="BodyText"/>
      </w:pPr>
    </w:p>
    <w:p w:rsidR="00000000" w:rsidRPr="00A57B7E" w:rsidP="00A57B7E"/>
    <w:sectPr w:rsidSect="00A57B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562" w:rsidP="00B655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62" w:rsidP="00A57B7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65562" w:rsidP="00A57B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65562" w:rsidP="00A57B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7E" w:rsidRPr="00B65562" w:rsidP="00B655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562" w:rsidRPr="002D2AF8" w:rsidP="00A57B7E">
    <w:pPr>
      <w:pStyle w:val="Header"/>
      <w:framePr w:wrap="around"/>
    </w:pPr>
    <w:r>
      <w:fldChar w:fldCharType="begin"/>
    </w:r>
    <w:r>
      <w:instrText xml:space="preserve"> TITLE   \* MERGEFORMAT </w:instrText>
    </w:r>
    <w:r>
      <w:fldChar w:fldCharType="separate"/>
    </w:r>
    <w:r>
      <w:t>TDMME807C TRANSMIT AND RECEIVE INFORMATION BY GMDSS SUBSYSTEMS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65562" w:rsidP="00A57B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B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B7E"/>
    <w:pPr>
      <w:spacing w:before="360" w:after="60"/>
      <w:outlineLvl w:val="0"/>
    </w:pPr>
    <w:rPr>
      <w:sz w:val="32"/>
    </w:rPr>
  </w:style>
  <w:style w:type="paragraph" w:styleId="Heading2">
    <w:name w:val="heading 2"/>
    <w:basedOn w:val="HeadingBase"/>
    <w:next w:val="BodyText"/>
    <w:link w:val="Heading2Char"/>
    <w:qFormat/>
    <w:rsid w:val="00A57B7E"/>
    <w:pPr>
      <w:keepLines/>
      <w:spacing w:before="240" w:after="120"/>
      <w:outlineLvl w:val="1"/>
    </w:pPr>
    <w:rPr>
      <w:sz w:val="28"/>
      <w:szCs w:val="40"/>
    </w:rPr>
  </w:style>
  <w:style w:type="paragraph" w:styleId="Heading3">
    <w:name w:val="heading 3"/>
    <w:basedOn w:val="HeadingBase"/>
    <w:next w:val="BodyText"/>
    <w:link w:val="Heading3Char"/>
    <w:qFormat/>
    <w:rsid w:val="00A57B7E"/>
    <w:pPr>
      <w:spacing w:before="180" w:after="120"/>
      <w:outlineLvl w:val="2"/>
    </w:pPr>
    <w:rPr>
      <w:spacing w:val="-10"/>
      <w:kern w:val="32"/>
    </w:rPr>
  </w:style>
  <w:style w:type="paragraph" w:styleId="Heading4">
    <w:name w:val="heading 4"/>
    <w:basedOn w:val="HeadingBase"/>
    <w:next w:val="BodyText"/>
    <w:link w:val="Heading4Char"/>
    <w:qFormat/>
    <w:rsid w:val="00A57B7E"/>
    <w:pPr>
      <w:spacing w:before="160" w:after="120"/>
      <w:outlineLvl w:val="3"/>
    </w:pPr>
    <w:rPr>
      <w:sz w:val="22"/>
    </w:rPr>
  </w:style>
  <w:style w:type="paragraph" w:styleId="Heading5">
    <w:name w:val="heading 5"/>
    <w:basedOn w:val="HeadingBase"/>
    <w:next w:val="Normal"/>
    <w:link w:val="Heading5Char"/>
    <w:qFormat/>
    <w:rsid w:val="00A57B7E"/>
    <w:pPr>
      <w:spacing w:before="80"/>
      <w:outlineLvl w:val="4"/>
    </w:pPr>
    <w:rPr>
      <w:color w:val="918585"/>
      <w:sz w:val="20"/>
    </w:rPr>
  </w:style>
  <w:style w:type="paragraph" w:styleId="Heading6">
    <w:name w:val="heading 6"/>
    <w:basedOn w:val="HeadingBase"/>
    <w:next w:val="Normal"/>
    <w:link w:val="Heading6Char"/>
    <w:qFormat/>
    <w:rsid w:val="00A57B7E"/>
    <w:pPr>
      <w:spacing w:before="60"/>
      <w:outlineLvl w:val="5"/>
    </w:pPr>
    <w:rPr>
      <w:color w:val="918585"/>
      <w:sz w:val="20"/>
    </w:rPr>
  </w:style>
  <w:style w:type="paragraph" w:styleId="Heading7">
    <w:name w:val="heading 7"/>
    <w:basedOn w:val="Normal"/>
    <w:next w:val="Normal"/>
    <w:link w:val="Heading7Char"/>
    <w:qFormat/>
    <w:rsid w:val="00A57B7E"/>
    <w:pPr>
      <w:ind w:left="720"/>
      <w:outlineLvl w:val="6"/>
    </w:pPr>
    <w:rPr>
      <w:i/>
    </w:rPr>
  </w:style>
  <w:style w:type="paragraph" w:styleId="Heading8">
    <w:name w:val="heading 8"/>
    <w:basedOn w:val="Normal"/>
    <w:next w:val="Normal"/>
    <w:link w:val="Heading8Char"/>
    <w:qFormat/>
    <w:rsid w:val="00A57B7E"/>
    <w:pPr>
      <w:ind w:left="720"/>
      <w:outlineLvl w:val="7"/>
    </w:pPr>
    <w:rPr>
      <w:i/>
    </w:rPr>
  </w:style>
  <w:style w:type="paragraph" w:styleId="Heading9">
    <w:name w:val="heading 9"/>
    <w:basedOn w:val="Normal"/>
    <w:next w:val="Normal"/>
    <w:link w:val="Heading9Char"/>
    <w:qFormat/>
    <w:rsid w:val="00A57B7E"/>
    <w:pPr>
      <w:ind w:left="720"/>
      <w:outlineLvl w:val="8"/>
    </w:pPr>
    <w:rPr>
      <w:i/>
    </w:rPr>
  </w:style>
  <w:style w:type="character" w:default="1" w:styleId="DefaultParagraphFont">
    <w:name w:val="Default Paragraph Font"/>
    <w:uiPriority w:val="1"/>
    <w:unhideWhenUsed/>
    <w:rsid w:val="00A57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B7E"/>
  </w:style>
  <w:style w:type="character" w:customStyle="1" w:styleId="Heading1Char">
    <w:name w:val="Heading 1 Char"/>
    <w:basedOn w:val="DefaultParagraphFont"/>
    <w:link w:val="Heading1"/>
    <w:rsid w:val="00A57B7E"/>
    <w:rPr>
      <w:rFonts w:ascii="Times New Roman" w:eastAsia="Times New Roman" w:hAnsi="Times New Roman" w:cs="Times New Roman"/>
      <w:b/>
      <w:sz w:val="32"/>
      <w:szCs w:val="20"/>
      <w:lang w:eastAsia="en-US"/>
    </w:rPr>
  </w:style>
  <w:style w:type="paragraph" w:styleId="BodyText">
    <w:name w:val="Body Text"/>
    <w:basedOn w:val="Normal"/>
    <w:link w:val="BodyTextChar"/>
    <w:rsid w:val="00A57B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7B7E"/>
    <w:rPr>
      <w:rFonts w:ascii="Times New Roman" w:eastAsia="Times New Roman" w:hAnsi="Times New Roman" w:cs="Times New Roman"/>
      <w:sz w:val="24"/>
      <w:lang w:eastAsia="en-US"/>
    </w:rPr>
  </w:style>
  <w:style w:type="paragraph" w:styleId="Footer">
    <w:name w:val="footer"/>
    <w:basedOn w:val="Normal"/>
    <w:link w:val="FooterChar"/>
    <w:rsid w:val="00A57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B7E"/>
    <w:rPr>
      <w:rFonts w:ascii="Times New Roman" w:eastAsia="Times New Roman" w:hAnsi="Times New Roman" w:cs="Times New Roman"/>
      <w:sz w:val="16"/>
      <w:lang w:eastAsia="en-US"/>
    </w:rPr>
  </w:style>
  <w:style w:type="character" w:customStyle="1" w:styleId="SpecialBold">
    <w:name w:val="Special Bold"/>
    <w:basedOn w:val="DefaultParagraphFont"/>
    <w:rsid w:val="00A57B7E"/>
    <w:rPr>
      <w:b/>
      <w:spacing w:val="0"/>
    </w:rPr>
  </w:style>
  <w:style w:type="character" w:styleId="Emphasis">
    <w:name w:val="Emphasis"/>
    <w:basedOn w:val="DefaultParagraphFont"/>
    <w:qFormat/>
    <w:rsid w:val="00A57B7E"/>
    <w:rPr>
      <w:i/>
    </w:rPr>
  </w:style>
  <w:style w:type="paragraph" w:customStyle="1" w:styleId="SuperHeading">
    <w:name w:val="SuperHeading"/>
    <w:basedOn w:val="Normal"/>
    <w:rsid w:val="00A57B7E"/>
    <w:pPr>
      <w:spacing w:before="240" w:after="120"/>
      <w:outlineLvl w:val="0"/>
    </w:pPr>
    <w:rPr>
      <w:rFonts w:ascii="Times New Roman" w:hAnsi="Times New Roman"/>
      <w:b/>
      <w:sz w:val="28"/>
    </w:rPr>
  </w:style>
  <w:style w:type="paragraph" w:customStyle="1" w:styleId="AllowPageBreak">
    <w:name w:val="AllowPageBreak"/>
    <w:rsid w:val="00A57B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7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B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B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B7E"/>
    <w:rPr>
      <w:rFonts w:ascii="Courier New" w:eastAsia="Times New Roman" w:hAnsi="Courier New" w:cs="Times New Roman"/>
      <w:i/>
      <w:szCs w:val="20"/>
      <w:lang w:eastAsia="en-US"/>
    </w:rPr>
  </w:style>
  <w:style w:type="paragraph" w:customStyle="1" w:styleId="HeadingBase">
    <w:name w:val="Heading Base"/>
    <w:rsid w:val="00A57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B7E"/>
    <w:pPr>
      <w:tabs>
        <w:tab w:val="right" w:leader="dot" w:pos="9072"/>
      </w:tabs>
      <w:ind w:left="567"/>
    </w:pPr>
    <w:rPr>
      <w:szCs w:val="22"/>
    </w:rPr>
  </w:style>
  <w:style w:type="paragraph" w:customStyle="1" w:styleId="TOCBase">
    <w:name w:val="TOC Base"/>
    <w:rsid w:val="00A57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B7E"/>
    <w:pPr>
      <w:tabs>
        <w:tab w:val="right" w:leader="dot" w:pos="9072"/>
      </w:tabs>
      <w:spacing w:before="40" w:after="40"/>
      <w:ind w:left="284"/>
    </w:pPr>
    <w:rPr>
      <w:rFonts w:ascii="Times New Roman" w:hAnsi="Times New Roman"/>
    </w:rPr>
  </w:style>
  <w:style w:type="paragraph" w:styleId="TOC1">
    <w:name w:val="toc 1"/>
    <w:basedOn w:val="TOCBase"/>
    <w:next w:val="Normal"/>
    <w:rsid w:val="00A57B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7B7E"/>
    <w:pPr>
      <w:spacing w:before="5040"/>
      <w:jc w:val="center"/>
    </w:pPr>
    <w:rPr>
      <w:sz w:val="48"/>
      <w:szCs w:val="72"/>
      <w:lang w:val="en-US"/>
    </w:rPr>
  </w:style>
  <w:style w:type="character" w:customStyle="1" w:styleId="TitleChar">
    <w:name w:val="Title Char"/>
    <w:basedOn w:val="DefaultParagraphFont"/>
    <w:link w:val="Title"/>
    <w:rsid w:val="00A57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B7E"/>
    <w:pPr>
      <w:tabs>
        <w:tab w:val="left" w:pos="3600"/>
        <w:tab w:val="left" w:pos="3958"/>
      </w:tabs>
    </w:pPr>
  </w:style>
  <w:style w:type="paragraph" w:styleId="List">
    <w:name w:val="List"/>
    <w:basedOn w:val="BodyText"/>
    <w:next w:val="BodyText"/>
    <w:rsid w:val="00A57B7E"/>
    <w:pPr>
      <w:tabs>
        <w:tab w:val="left" w:pos="340"/>
      </w:tabs>
      <w:spacing w:before="60" w:after="60"/>
      <w:ind w:left="340" w:hanging="340"/>
    </w:pPr>
  </w:style>
  <w:style w:type="paragraph" w:styleId="ListBullet">
    <w:name w:val="List Bullet"/>
    <w:basedOn w:val="List"/>
    <w:rsid w:val="00A57B7E"/>
    <w:pPr>
      <w:numPr>
        <w:numId w:val="11"/>
      </w:numPr>
      <w:tabs>
        <w:tab w:val="clear" w:pos="340"/>
      </w:tabs>
      <w:spacing w:before="40" w:after="40"/>
    </w:pPr>
  </w:style>
  <w:style w:type="paragraph" w:customStyle="1" w:styleId="Note">
    <w:name w:val="Note"/>
    <w:basedOn w:val="BodyText"/>
    <w:rsid w:val="00A57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B7E"/>
    <w:pPr>
      <w:framePr w:wrap="auto" w:hAnchor="text" w:y="6049"/>
    </w:pPr>
    <w:rPr>
      <w:color w:val="000000"/>
      <w:sz w:val="40"/>
    </w:rPr>
  </w:style>
  <w:style w:type="paragraph" w:customStyle="1" w:styleId="TOCTitle">
    <w:name w:val="TOCTitle"/>
    <w:basedOn w:val="Heading1"/>
    <w:rsid w:val="00A57B7E"/>
    <w:pPr>
      <w:spacing w:after="240"/>
      <w:jc w:val="center"/>
      <w:outlineLvl w:val="9"/>
    </w:pPr>
    <w:rPr>
      <w:caps/>
    </w:rPr>
  </w:style>
  <w:style w:type="paragraph" w:customStyle="1" w:styleId="Version">
    <w:name w:val="Version"/>
    <w:rsid w:val="00A57B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7B7E"/>
    <w:pPr>
      <w:numPr>
        <w:numId w:val="12"/>
      </w:numPr>
      <w:tabs>
        <w:tab w:val="clear" w:pos="680"/>
      </w:tabs>
    </w:pPr>
  </w:style>
  <w:style w:type="paragraph" w:styleId="Index1">
    <w:name w:val="index 1"/>
    <w:basedOn w:val="Normal"/>
    <w:next w:val="Normal"/>
    <w:semiHidden/>
    <w:rsid w:val="00A57B7E"/>
    <w:pPr>
      <w:keepNext w:val="0"/>
      <w:tabs>
        <w:tab w:val="right" w:pos="4176"/>
      </w:tabs>
      <w:ind w:left="198" w:hanging="198"/>
    </w:pPr>
    <w:rPr>
      <w:rFonts w:ascii="Garamond" w:hAnsi="Garamond"/>
    </w:rPr>
  </w:style>
  <w:style w:type="paragraph" w:styleId="IndexHeading">
    <w:name w:val="index heading"/>
    <w:basedOn w:val="Normal"/>
    <w:next w:val="Index1"/>
    <w:semiHidden/>
    <w:rsid w:val="00A57B7E"/>
    <w:pPr>
      <w:spacing w:before="120" w:after="120"/>
    </w:pPr>
    <w:rPr>
      <w:rFonts w:ascii="Arial" w:hAnsi="Arial"/>
      <w:b/>
      <w:color w:val="918585"/>
      <w:sz w:val="24"/>
    </w:rPr>
  </w:style>
  <w:style w:type="paragraph" w:styleId="Header">
    <w:name w:val="header"/>
    <w:basedOn w:val="Normal"/>
    <w:link w:val="HeaderChar"/>
    <w:rsid w:val="00A57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B7E"/>
    <w:rPr>
      <w:rFonts w:ascii="Times New Roman" w:eastAsia="Times New Roman" w:hAnsi="Times New Roman" w:cs="Times New Roman"/>
      <w:sz w:val="16"/>
      <w:szCs w:val="20"/>
      <w:lang w:val="en-GB" w:eastAsia="en-US"/>
    </w:rPr>
  </w:style>
  <w:style w:type="paragraph" w:customStyle="1" w:styleId="Chapter">
    <w:name w:val="Chapter"/>
    <w:basedOn w:val="Normal"/>
    <w:rsid w:val="00A57B7E"/>
    <w:pPr>
      <w:spacing w:before="240"/>
    </w:pPr>
    <w:rPr>
      <w:rFonts w:ascii="Times New Roman" w:hAnsi="Times New Roman"/>
      <w:smallCaps/>
      <w:spacing w:val="80"/>
      <w:sz w:val="28"/>
    </w:rPr>
  </w:style>
  <w:style w:type="paragraph" w:customStyle="1" w:styleId="InChapter">
    <w:name w:val="InChapter"/>
    <w:basedOn w:val="Heading3"/>
    <w:rsid w:val="00A57B7E"/>
    <w:pPr>
      <w:spacing w:after="240"/>
      <w:outlineLvl w:val="9"/>
    </w:pPr>
    <w:rPr>
      <w:noProof/>
    </w:rPr>
  </w:style>
  <w:style w:type="paragraph" w:styleId="Index2">
    <w:name w:val="index 2"/>
    <w:basedOn w:val="Normal"/>
    <w:next w:val="Normal"/>
    <w:semiHidden/>
    <w:rsid w:val="00A57B7E"/>
    <w:pPr>
      <w:tabs>
        <w:tab w:val="right" w:pos="4176"/>
      </w:tabs>
      <w:ind w:left="568" w:hanging="284"/>
    </w:pPr>
    <w:rPr>
      <w:rFonts w:ascii="Garamond" w:hAnsi="Garamond"/>
    </w:rPr>
  </w:style>
  <w:style w:type="paragraph" w:customStyle="1" w:styleId="Byline">
    <w:name w:val="Byline"/>
    <w:rsid w:val="00A57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B7E"/>
    <w:pPr>
      <w:tabs>
        <w:tab w:val="clear" w:pos="3600"/>
        <w:tab w:val="clear" w:pos="3958"/>
      </w:tabs>
      <w:jc w:val="right"/>
    </w:pPr>
  </w:style>
  <w:style w:type="paragraph" w:styleId="Caption">
    <w:name w:val="caption"/>
    <w:basedOn w:val="BodyText"/>
    <w:next w:val="Normal"/>
    <w:qFormat/>
    <w:rsid w:val="00A57B7E"/>
    <w:pPr>
      <w:framePr w:w="2268" w:hSpace="181" w:vSpace="181" w:wrap="around" w:vAnchor="text" w:hAnchor="page" w:x="1135" w:y="285" w:anchorLock="1"/>
    </w:pPr>
    <w:rPr>
      <w:i/>
    </w:rPr>
  </w:style>
  <w:style w:type="paragraph" w:customStyle="1" w:styleId="MiniTOCTitle">
    <w:name w:val="MiniTOCTitle"/>
    <w:basedOn w:val="Heading4"/>
    <w:rsid w:val="00A57B7E"/>
    <w:pPr>
      <w:spacing w:before="240"/>
      <w:outlineLvl w:val="9"/>
    </w:pPr>
    <w:rPr>
      <w:noProof/>
      <w:sz w:val="24"/>
    </w:rPr>
  </w:style>
  <w:style w:type="paragraph" w:customStyle="1" w:styleId="MiniTOCItem">
    <w:name w:val="MiniTOCItem"/>
    <w:basedOn w:val="ListBullet"/>
    <w:rsid w:val="00A57B7E"/>
    <w:pPr>
      <w:numPr>
        <w:numId w:val="0"/>
      </w:numPr>
      <w:tabs>
        <w:tab w:val="right" w:leader="dot" w:pos="6521"/>
      </w:tabs>
      <w:spacing w:before="0" w:after="0"/>
    </w:pPr>
  </w:style>
  <w:style w:type="paragraph" w:customStyle="1" w:styleId="TOFTitle">
    <w:name w:val="TOFTitle"/>
    <w:basedOn w:val="TOCTitle"/>
    <w:rsid w:val="00A57B7E"/>
  </w:style>
  <w:style w:type="paragraph" w:styleId="TableofFigures">
    <w:name w:val="table of figures"/>
    <w:basedOn w:val="Normal"/>
    <w:next w:val="Normal"/>
    <w:semiHidden/>
    <w:rsid w:val="00A57B7E"/>
    <w:pPr>
      <w:tabs>
        <w:tab w:val="right" w:leader="dot" w:pos="9072"/>
      </w:tabs>
      <w:ind w:left="970" w:hanging="403"/>
    </w:pPr>
    <w:rPr>
      <w:rFonts w:ascii="Times New Roman" w:hAnsi="Times New Roman"/>
      <w:b/>
    </w:rPr>
  </w:style>
  <w:style w:type="paragraph" w:styleId="ListNumber">
    <w:name w:val="List Number"/>
    <w:basedOn w:val="List"/>
    <w:rsid w:val="00A57B7E"/>
    <w:pPr>
      <w:numPr>
        <w:numId w:val="9"/>
      </w:numPr>
    </w:pPr>
  </w:style>
  <w:style w:type="character" w:customStyle="1" w:styleId="WingdingSymbols">
    <w:name w:val="Wingding Symbols"/>
    <w:rsid w:val="00A57B7E"/>
    <w:rPr>
      <w:rFonts w:ascii="Wingdings" w:hAnsi="Wingdings"/>
    </w:rPr>
  </w:style>
  <w:style w:type="paragraph" w:customStyle="1" w:styleId="TableHeading">
    <w:name w:val="Table Heading"/>
    <w:basedOn w:val="HeadingBase"/>
    <w:rsid w:val="00A57B7E"/>
    <w:pPr>
      <w:keepLines/>
      <w:pBdr>
        <w:bottom w:val="single" w:sz="6" w:space="1" w:color="918585"/>
      </w:pBdr>
      <w:spacing w:before="240"/>
    </w:pPr>
  </w:style>
  <w:style w:type="character" w:customStyle="1" w:styleId="HotSpot">
    <w:name w:val="HotSpot"/>
    <w:rsid w:val="00A57B7E"/>
    <w:rPr>
      <w:color w:val="0033CC"/>
      <w:u w:val="none"/>
    </w:rPr>
  </w:style>
  <w:style w:type="paragraph" w:customStyle="1" w:styleId="BodyTextRight">
    <w:name w:val="Body Text Right"/>
    <w:basedOn w:val="BodyText"/>
    <w:rsid w:val="00A57B7E"/>
    <w:pPr>
      <w:spacing w:before="0" w:after="0"/>
      <w:jc w:val="right"/>
    </w:pPr>
  </w:style>
  <w:style w:type="paragraph" w:styleId="Index3">
    <w:name w:val="index 3"/>
    <w:basedOn w:val="ListNumber2"/>
    <w:next w:val="Normal"/>
    <w:semiHidden/>
    <w:rsid w:val="00A57B7E"/>
    <w:pPr>
      <w:numPr>
        <w:numId w:val="0"/>
      </w:numPr>
      <w:tabs>
        <w:tab w:val="right" w:leader="dot" w:pos="4176"/>
      </w:tabs>
    </w:pPr>
  </w:style>
  <w:style w:type="paragraph" w:styleId="ListNumber2">
    <w:name w:val="List Number 2"/>
    <w:basedOn w:val="List2"/>
    <w:rsid w:val="00A57B7E"/>
    <w:pPr>
      <w:numPr>
        <w:numId w:val="8"/>
      </w:numPr>
      <w:tabs>
        <w:tab w:val="clear" w:pos="1060"/>
      </w:tabs>
    </w:pPr>
  </w:style>
  <w:style w:type="paragraph" w:customStyle="1" w:styleId="MarginNote">
    <w:name w:val="Margin Note"/>
    <w:basedOn w:val="BodyText"/>
    <w:rsid w:val="00A57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B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B7E"/>
    <w:rPr>
      <w:sz w:val="32"/>
    </w:rPr>
  </w:style>
  <w:style w:type="paragraph" w:customStyle="1" w:styleId="HeadingProcedure">
    <w:name w:val="Heading Procedure"/>
    <w:basedOn w:val="HeadingBase"/>
    <w:next w:val="Normal"/>
    <w:rsid w:val="00A57B7E"/>
    <w:pPr>
      <w:tabs>
        <w:tab w:val="left" w:pos="0"/>
      </w:tabs>
      <w:spacing w:before="120" w:after="60"/>
    </w:pPr>
    <w:rPr>
      <w:i/>
      <w:color w:val="918585"/>
      <w:sz w:val="22"/>
    </w:rPr>
  </w:style>
  <w:style w:type="paragraph" w:customStyle="1" w:styleId="TableBodyText">
    <w:name w:val="Table Body Text"/>
    <w:basedOn w:val="BodyText"/>
    <w:rsid w:val="00A57B7E"/>
    <w:pPr>
      <w:spacing w:before="60" w:after="60"/>
    </w:pPr>
  </w:style>
  <w:style w:type="paragraph" w:styleId="ListContinue">
    <w:name w:val="List Continue"/>
    <w:basedOn w:val="List"/>
    <w:rsid w:val="00A57B7E"/>
    <w:pPr>
      <w:ind w:firstLine="0"/>
    </w:pPr>
  </w:style>
  <w:style w:type="paragraph" w:customStyle="1" w:styleId="ListNote">
    <w:name w:val="List Note"/>
    <w:basedOn w:val="List"/>
    <w:rsid w:val="00A57B7E"/>
    <w:pPr>
      <w:pBdr>
        <w:top w:val="single" w:sz="6" w:space="2" w:color="918585"/>
        <w:bottom w:val="single" w:sz="6" w:space="2" w:color="918585"/>
      </w:pBdr>
      <w:tabs>
        <w:tab w:val="left" w:pos="1021"/>
      </w:tabs>
      <w:ind w:firstLine="0"/>
    </w:pPr>
  </w:style>
  <w:style w:type="paragraph" w:customStyle="1" w:styleId="Warning">
    <w:name w:val="Warning"/>
    <w:basedOn w:val="BodyText"/>
    <w:rsid w:val="00A57B7E"/>
    <w:pPr>
      <w:shd w:val="clear" w:color="auto" w:fill="D9D9D9"/>
      <w:tabs>
        <w:tab w:val="left" w:pos="992"/>
      </w:tabs>
      <w:ind w:left="119" w:right="119"/>
    </w:pPr>
    <w:rPr>
      <w:sz w:val="20"/>
    </w:rPr>
  </w:style>
  <w:style w:type="paragraph" w:customStyle="1" w:styleId="MarginIcons">
    <w:name w:val="Margin Icons"/>
    <w:basedOn w:val="BodyText"/>
    <w:rsid w:val="00A57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B7E"/>
    <w:rPr>
      <w:rFonts w:ascii="Courier New" w:hAnsi="Courier New"/>
    </w:rPr>
  </w:style>
  <w:style w:type="paragraph" w:customStyle="1" w:styleId="NoteBullet">
    <w:name w:val="Note Bullet"/>
    <w:basedOn w:val="Note"/>
    <w:rsid w:val="00A57B7E"/>
    <w:pPr>
      <w:tabs>
        <w:tab w:val="clear" w:pos="680"/>
      </w:tabs>
      <w:spacing w:before="60" w:after="60"/>
    </w:pPr>
  </w:style>
  <w:style w:type="paragraph" w:customStyle="1" w:styleId="SubHeading2">
    <w:name w:val="SubHeading2"/>
    <w:basedOn w:val="HeadingBase"/>
    <w:rsid w:val="00A57B7E"/>
    <w:pPr>
      <w:spacing w:before="240" w:after="60"/>
    </w:pPr>
    <w:rPr>
      <w:sz w:val="20"/>
    </w:rPr>
  </w:style>
  <w:style w:type="paragraph" w:customStyle="1" w:styleId="SubHeading1">
    <w:name w:val="SubHeading1"/>
    <w:basedOn w:val="HeadingBase"/>
    <w:rsid w:val="00A57B7E"/>
    <w:pPr>
      <w:spacing w:before="240" w:after="60"/>
    </w:pPr>
    <w:rPr>
      <w:color w:val="918585"/>
      <w:sz w:val="22"/>
    </w:rPr>
  </w:style>
  <w:style w:type="paragraph" w:customStyle="1" w:styleId="SideHeading">
    <w:name w:val="Side Heading"/>
    <w:basedOn w:val="HeadingBase"/>
    <w:rsid w:val="00A57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B7E"/>
    <w:pPr>
      <w:numPr>
        <w:numId w:val="10"/>
      </w:numPr>
    </w:pPr>
  </w:style>
  <w:style w:type="paragraph" w:styleId="PlainText">
    <w:name w:val="Plain Text"/>
    <w:basedOn w:val="Normal"/>
    <w:link w:val="PlainTextChar"/>
    <w:rsid w:val="00A57B7E"/>
    <w:rPr>
      <w:sz w:val="20"/>
    </w:rPr>
  </w:style>
  <w:style w:type="character" w:customStyle="1" w:styleId="PlainTextChar">
    <w:name w:val="Plain Text Char"/>
    <w:basedOn w:val="DefaultParagraphFont"/>
    <w:link w:val="PlainText"/>
    <w:rsid w:val="00A57B7E"/>
    <w:rPr>
      <w:rFonts w:ascii="Courier New" w:eastAsia="Times New Roman" w:hAnsi="Courier New" w:cs="Times New Roman"/>
      <w:sz w:val="20"/>
      <w:szCs w:val="20"/>
      <w:lang w:eastAsia="en-US"/>
    </w:rPr>
  </w:style>
  <w:style w:type="character" w:customStyle="1" w:styleId="MenuOption">
    <w:name w:val="Menu Option"/>
    <w:basedOn w:val="DefaultParagraphFont"/>
    <w:rsid w:val="00A57B7E"/>
    <w:rPr>
      <w:b/>
      <w:smallCaps/>
    </w:rPr>
  </w:style>
  <w:style w:type="paragraph" w:customStyle="1" w:styleId="TableListNumber">
    <w:name w:val="Table List Number"/>
    <w:basedOn w:val="ListNumber"/>
    <w:rsid w:val="00A57B7E"/>
    <w:pPr>
      <w:numPr>
        <w:numId w:val="0"/>
      </w:numPr>
    </w:pPr>
  </w:style>
  <w:style w:type="paragraph" w:styleId="TOC4">
    <w:name w:val="toc 4"/>
    <w:basedOn w:val="TOCBase"/>
    <w:next w:val="Normal"/>
    <w:semiHidden/>
    <w:rsid w:val="00A57B7E"/>
    <w:pPr>
      <w:tabs>
        <w:tab w:val="right" w:leader="dot" w:pos="9071"/>
      </w:tabs>
      <w:ind w:left="1701"/>
    </w:pPr>
  </w:style>
  <w:style w:type="paragraph" w:customStyle="1" w:styleId="ListAlpha">
    <w:name w:val="List Alpha"/>
    <w:basedOn w:val="List"/>
    <w:rsid w:val="00A57B7E"/>
    <w:pPr>
      <w:numPr>
        <w:numId w:val="7"/>
      </w:numPr>
    </w:pPr>
  </w:style>
  <w:style w:type="paragraph" w:customStyle="1" w:styleId="ListAlpha2">
    <w:name w:val="List Alpha 2"/>
    <w:basedOn w:val="List2"/>
    <w:rsid w:val="00A57B7E"/>
    <w:pPr>
      <w:numPr>
        <w:numId w:val="6"/>
      </w:numPr>
    </w:pPr>
  </w:style>
  <w:style w:type="paragraph" w:styleId="List2">
    <w:name w:val="List 2"/>
    <w:basedOn w:val="BodyText"/>
    <w:rsid w:val="00A57B7E"/>
    <w:pPr>
      <w:tabs>
        <w:tab w:val="left" w:pos="680"/>
      </w:tabs>
      <w:spacing w:before="60" w:after="60"/>
      <w:ind w:left="680" w:hanging="340"/>
    </w:pPr>
  </w:style>
  <w:style w:type="paragraph" w:styleId="List3">
    <w:name w:val="List 3"/>
    <w:basedOn w:val="BodyText"/>
    <w:rsid w:val="00A57B7E"/>
    <w:pPr>
      <w:tabs>
        <w:tab w:val="left" w:pos="1021"/>
      </w:tabs>
      <w:spacing w:before="60" w:after="60"/>
      <w:ind w:left="1020" w:hanging="340"/>
    </w:pPr>
  </w:style>
  <w:style w:type="paragraph" w:styleId="List4">
    <w:name w:val="List 4"/>
    <w:basedOn w:val="BodyText"/>
    <w:rsid w:val="00A57B7E"/>
    <w:pPr>
      <w:tabs>
        <w:tab w:val="left" w:pos="1361"/>
      </w:tabs>
      <w:spacing w:before="60" w:after="60"/>
      <w:ind w:left="1361" w:hanging="340"/>
    </w:pPr>
  </w:style>
  <w:style w:type="paragraph" w:styleId="List5">
    <w:name w:val="List 5"/>
    <w:basedOn w:val="BodyText"/>
    <w:rsid w:val="00A57B7E"/>
    <w:pPr>
      <w:tabs>
        <w:tab w:val="left" w:pos="1701"/>
      </w:tabs>
      <w:spacing w:before="60" w:after="60"/>
      <w:ind w:left="1701" w:hanging="340"/>
    </w:pPr>
  </w:style>
  <w:style w:type="paragraph" w:styleId="ListBullet3">
    <w:name w:val="List Bullet 3"/>
    <w:basedOn w:val="List3"/>
    <w:rsid w:val="00A57B7E"/>
    <w:pPr>
      <w:numPr>
        <w:numId w:val="13"/>
      </w:numPr>
      <w:tabs>
        <w:tab w:val="clear" w:pos="1021"/>
      </w:tabs>
      <w:ind w:left="1037" w:hanging="357"/>
    </w:pPr>
  </w:style>
  <w:style w:type="paragraph" w:styleId="ListBullet4">
    <w:name w:val="List Bullet 4"/>
    <w:basedOn w:val="List4"/>
    <w:rsid w:val="00A57B7E"/>
    <w:pPr>
      <w:numPr>
        <w:numId w:val="1"/>
      </w:numPr>
    </w:pPr>
  </w:style>
  <w:style w:type="paragraph" w:styleId="ListBullet5">
    <w:name w:val="List Bullet 5"/>
    <w:basedOn w:val="List5"/>
    <w:rsid w:val="00A57B7E"/>
    <w:pPr>
      <w:numPr>
        <w:numId w:val="2"/>
      </w:numPr>
    </w:pPr>
  </w:style>
  <w:style w:type="paragraph" w:styleId="ListContinue2">
    <w:name w:val="List Continue 2"/>
    <w:basedOn w:val="List2"/>
    <w:rsid w:val="00A57B7E"/>
    <w:pPr>
      <w:ind w:firstLine="0"/>
    </w:pPr>
  </w:style>
  <w:style w:type="paragraph" w:styleId="ListContinue3">
    <w:name w:val="List Continue 3"/>
    <w:basedOn w:val="List3"/>
    <w:rsid w:val="00A57B7E"/>
    <w:pPr>
      <w:ind w:left="1021" w:firstLine="0"/>
    </w:pPr>
  </w:style>
  <w:style w:type="paragraph" w:styleId="ListContinue4">
    <w:name w:val="List Continue 4"/>
    <w:basedOn w:val="List4"/>
    <w:rsid w:val="00A57B7E"/>
    <w:pPr>
      <w:ind w:firstLine="0"/>
    </w:pPr>
  </w:style>
  <w:style w:type="paragraph" w:styleId="ListContinue5">
    <w:name w:val="List Continue 5"/>
    <w:basedOn w:val="List5"/>
    <w:rsid w:val="00A57B7E"/>
    <w:pPr>
      <w:ind w:firstLine="0"/>
    </w:pPr>
  </w:style>
  <w:style w:type="paragraph" w:styleId="ListNumber3">
    <w:name w:val="List Number 3"/>
    <w:basedOn w:val="List3"/>
    <w:rsid w:val="00A57B7E"/>
    <w:pPr>
      <w:numPr>
        <w:numId w:val="3"/>
      </w:numPr>
    </w:pPr>
  </w:style>
  <w:style w:type="paragraph" w:styleId="ListNumber4">
    <w:name w:val="List Number 4"/>
    <w:basedOn w:val="List4"/>
    <w:rsid w:val="00A57B7E"/>
    <w:pPr>
      <w:numPr>
        <w:numId w:val="4"/>
      </w:numPr>
    </w:pPr>
  </w:style>
  <w:style w:type="paragraph" w:styleId="ListNumber5">
    <w:name w:val="List Number 5"/>
    <w:basedOn w:val="List5"/>
    <w:rsid w:val="00A57B7E"/>
    <w:pPr>
      <w:numPr>
        <w:numId w:val="5"/>
      </w:numPr>
    </w:pPr>
  </w:style>
  <w:style w:type="paragraph" w:styleId="BlockText">
    <w:name w:val="Block Text"/>
    <w:basedOn w:val="Normal"/>
    <w:rsid w:val="00A57B7E"/>
    <w:pPr>
      <w:spacing w:after="120"/>
      <w:ind w:left="1440" w:right="1440"/>
    </w:pPr>
  </w:style>
  <w:style w:type="character" w:customStyle="1" w:styleId="Subscript">
    <w:name w:val="Subscript"/>
    <w:basedOn w:val="DefaultParagraphFont"/>
    <w:rsid w:val="00A57B7E"/>
    <w:rPr>
      <w:sz w:val="16"/>
      <w:vertAlign w:val="subscript"/>
    </w:rPr>
  </w:style>
  <w:style w:type="character" w:customStyle="1" w:styleId="Superscript">
    <w:name w:val="Superscript"/>
    <w:basedOn w:val="DefaultParagraphFont"/>
    <w:rsid w:val="00A57B7E"/>
    <w:rPr>
      <w:sz w:val="16"/>
      <w:vertAlign w:val="superscript"/>
    </w:rPr>
  </w:style>
  <w:style w:type="character" w:customStyle="1" w:styleId="Symbols">
    <w:name w:val="Symbols"/>
    <w:basedOn w:val="DefaultParagraphFont"/>
    <w:rsid w:val="00A57B7E"/>
    <w:rPr>
      <w:rFonts w:ascii="Symbol" w:hAnsi="Symbol"/>
    </w:rPr>
  </w:style>
  <w:style w:type="character" w:customStyle="1" w:styleId="MenuOptions">
    <w:name w:val="Menu Options"/>
    <w:basedOn w:val="DefaultParagraphFont"/>
    <w:rsid w:val="00A57B7E"/>
    <w:rPr>
      <w:rFonts w:ascii="Arial Narrow" w:hAnsi="Arial Narrow"/>
      <w:smallCaps/>
    </w:rPr>
  </w:style>
  <w:style w:type="character" w:customStyle="1" w:styleId="Buttons">
    <w:name w:val="Buttons"/>
    <w:basedOn w:val="DefaultParagraphFont"/>
    <w:rsid w:val="00A57B7E"/>
    <w:rPr>
      <w:b/>
    </w:rPr>
  </w:style>
  <w:style w:type="character" w:customStyle="1" w:styleId="Underlined">
    <w:name w:val="Underlined"/>
    <w:basedOn w:val="DefaultParagraphFont"/>
    <w:rsid w:val="00A57B7E"/>
    <w:rPr>
      <w:u w:val="single"/>
    </w:rPr>
  </w:style>
  <w:style w:type="paragraph" w:customStyle="1" w:styleId="TableBodyTextRight">
    <w:name w:val="Table Body Text Right"/>
    <w:basedOn w:val="TableBodyText"/>
    <w:rsid w:val="00A57B7E"/>
    <w:pPr>
      <w:widowControl w:val="0"/>
      <w:autoSpaceDE w:val="0"/>
      <w:autoSpaceDN w:val="0"/>
      <w:adjustRightInd w:val="0"/>
      <w:jc w:val="right"/>
    </w:pPr>
    <w:rPr>
      <w:rFonts w:cs="Arial"/>
      <w:szCs w:val="18"/>
    </w:rPr>
  </w:style>
  <w:style w:type="paragraph" w:customStyle="1" w:styleId="CopyrightText">
    <w:name w:val="Copyright Text"/>
    <w:basedOn w:val="BodyText"/>
    <w:rsid w:val="00A57B7E"/>
    <w:rPr>
      <w:sz w:val="18"/>
    </w:rPr>
  </w:style>
  <w:style w:type="paragraph" w:customStyle="1" w:styleId="BodySmallRight">
    <w:name w:val="Body Small Right"/>
    <w:basedOn w:val="BodyTextRight"/>
    <w:rsid w:val="00A57B7E"/>
    <w:rPr>
      <w:sz w:val="18"/>
      <w:szCs w:val="18"/>
    </w:rPr>
  </w:style>
  <w:style w:type="paragraph" w:customStyle="1" w:styleId="MarginEdition">
    <w:name w:val="Margin Edition"/>
    <w:basedOn w:val="MarginNote"/>
    <w:rsid w:val="00A57B7E"/>
    <w:pPr>
      <w:spacing w:before="0" w:after="0"/>
    </w:pPr>
    <w:rPr>
      <w:rFonts w:ascii="Times New Roman" w:hAnsi="Times New Roman"/>
      <w:color w:val="999999"/>
    </w:rPr>
  </w:style>
  <w:style w:type="paragraph" w:customStyle="1" w:styleId="Spacer">
    <w:name w:val="Spacer"/>
    <w:basedOn w:val="Normal"/>
    <w:rsid w:val="00A57B7E"/>
    <w:rPr>
      <w:sz w:val="2"/>
      <w:szCs w:val="2"/>
    </w:rPr>
  </w:style>
  <w:style w:type="character" w:customStyle="1" w:styleId="Small">
    <w:name w:val="Small"/>
    <w:basedOn w:val="DefaultParagraphFont"/>
    <w:rsid w:val="00A57B7E"/>
    <w:rPr>
      <w:sz w:val="16"/>
    </w:rPr>
  </w:style>
  <w:style w:type="paragraph" w:customStyle="1" w:styleId="WideTable">
    <w:name w:val="Wide Table"/>
    <w:basedOn w:val="Normal"/>
    <w:rsid w:val="00A57B7E"/>
    <w:pPr>
      <w:ind w:left="-1418"/>
    </w:pPr>
    <w:rPr>
      <w:sz w:val="2"/>
      <w:szCs w:val="2"/>
    </w:rPr>
  </w:style>
  <w:style w:type="character" w:styleId="PageNumber">
    <w:name w:val="page number"/>
    <w:basedOn w:val="DefaultParagraphFont"/>
    <w:rsid w:val="00A57B7E"/>
  </w:style>
  <w:style w:type="paragraph" w:styleId="Quote">
    <w:name w:val="Quote"/>
    <w:basedOn w:val="Heading1"/>
    <w:link w:val="QuoteChar"/>
    <w:qFormat/>
    <w:rsid w:val="00A57B7E"/>
    <w:rPr>
      <w:b w:val="0"/>
      <w:sz w:val="72"/>
      <w:szCs w:val="72"/>
      <w:lang w:val="en-NZ"/>
    </w:rPr>
  </w:style>
  <w:style w:type="character" w:customStyle="1" w:styleId="QuoteChar">
    <w:name w:val="Quote Char"/>
    <w:basedOn w:val="DefaultParagraphFont"/>
    <w:link w:val="Quote"/>
    <w:rsid w:val="00A57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B7E"/>
    <w:pPr>
      <w:pageBreakBefore/>
    </w:pPr>
  </w:style>
  <w:style w:type="paragraph" w:customStyle="1" w:styleId="Border">
    <w:name w:val="Border"/>
    <w:basedOn w:val="Normal"/>
    <w:qFormat/>
    <w:rsid w:val="00A57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B7E"/>
    <w:rPr>
      <w:b/>
      <w:bCs/>
      <w:i/>
      <w:iCs/>
      <w:color w:val="auto"/>
    </w:rPr>
  </w:style>
  <w:style w:type="paragraph" w:styleId="IntenseQuote">
    <w:name w:val="Intense Quote"/>
    <w:basedOn w:val="Normal"/>
    <w:next w:val="Normal"/>
    <w:link w:val="IntenseQuoteChar"/>
    <w:uiPriority w:val="30"/>
    <w:qFormat/>
    <w:rsid w:val="00A57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B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B7E"/>
    <w:rPr>
      <w:smallCaps/>
      <w:color w:val="auto"/>
      <w:u w:val="single"/>
    </w:rPr>
  </w:style>
  <w:style w:type="character" w:styleId="IntenseReference">
    <w:name w:val="Intense Reference"/>
    <w:basedOn w:val="DefaultParagraphFont"/>
    <w:uiPriority w:val="32"/>
    <w:qFormat/>
    <w:rsid w:val="00A57B7E"/>
    <w:rPr>
      <w:b/>
      <w:bCs/>
      <w:smallCaps/>
      <w:color w:val="auto"/>
      <w:spacing w:val="5"/>
      <w:u w:val="single"/>
    </w:rPr>
  </w:style>
  <w:style w:type="paragraph" w:customStyle="1" w:styleId="2ColumnHeading">
    <w:name w:val="2Column Heading"/>
    <w:basedOn w:val="BodyText"/>
    <w:qFormat/>
    <w:rsid w:val="00A57B7E"/>
    <w:pPr>
      <w:spacing w:after="60"/>
      <w:ind w:left="-2268"/>
    </w:pPr>
    <w:rPr>
      <w:b/>
    </w:rPr>
  </w:style>
  <w:style w:type="paragraph" w:customStyle="1" w:styleId="Heading1TOC">
    <w:name w:val="Heading1 TOC"/>
    <w:basedOn w:val="Normal"/>
    <w:qFormat/>
    <w:rsid w:val="00A57B7E"/>
    <w:pPr>
      <w:spacing w:before="240" w:after="120"/>
    </w:pPr>
    <w:rPr>
      <w:rFonts w:ascii="Times New Roman" w:hAnsi="Times New Roman"/>
      <w:b/>
      <w:sz w:val="32"/>
    </w:rPr>
  </w:style>
  <w:style w:type="paragraph" w:customStyle="1" w:styleId="Heading2TOC">
    <w:name w:val="Heading2 TOC"/>
    <w:basedOn w:val="Normal"/>
    <w:qFormat/>
    <w:rsid w:val="00A57B7E"/>
    <w:pPr>
      <w:spacing w:before="240" w:after="60"/>
    </w:pPr>
    <w:rPr>
      <w:rFonts w:ascii="Times New Roman" w:hAnsi="Times New Roman"/>
      <w:b/>
      <w:sz w:val="28"/>
    </w:rPr>
  </w:style>
  <w:style w:type="character" w:customStyle="1" w:styleId="Underline">
    <w:name w:val="Underline"/>
    <w:basedOn w:val="DefaultParagraphFont"/>
    <w:qFormat/>
    <w:rsid w:val="00A57B7E"/>
    <w:rPr>
      <w:u w:val="single"/>
    </w:rPr>
  </w:style>
  <w:style w:type="character" w:customStyle="1" w:styleId="BoldandItalics">
    <w:name w:val="Bold and Italics"/>
    <w:qFormat/>
    <w:rsid w:val="00A57B7E"/>
    <w:rPr>
      <w:b/>
      <w:i/>
      <w:u w:val="none"/>
    </w:rPr>
  </w:style>
  <w:style w:type="paragraph" w:styleId="BalloonText">
    <w:name w:val="Balloon Text"/>
    <w:basedOn w:val="Normal"/>
    <w:link w:val="BalloonTextChar"/>
    <w:rsid w:val="00A57B7E"/>
    <w:rPr>
      <w:rFonts w:ascii="Tahoma" w:hAnsi="Tahoma" w:cs="Tahoma"/>
      <w:sz w:val="16"/>
      <w:szCs w:val="16"/>
    </w:rPr>
  </w:style>
  <w:style w:type="character" w:customStyle="1" w:styleId="BalloonTextChar">
    <w:name w:val="Balloon Text Char"/>
    <w:basedOn w:val="DefaultParagraphFont"/>
    <w:link w:val="BalloonText"/>
    <w:rsid w:val="00A57B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B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7B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B7E"/>
    <w:rPr>
      <w:b/>
      <w:color w:val="660033"/>
      <w:spacing w:val="0"/>
    </w:rPr>
  </w:style>
  <w:style w:type="paragraph" w:customStyle="1" w:styleId="Nameditemlist">
    <w:name w:val="Named item list"/>
    <w:basedOn w:val="BodyText"/>
    <w:qFormat/>
    <w:rsid w:val="00A57B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2195</Words>
  <Characters>13134</Characters>
  <Application>Microsoft Office Word</Application>
  <DocSecurity>0</DocSecurity>
  <Lines>953</Lines>
  <Paragraphs>448</Paragraphs>
  <ScaleCrop>false</ScaleCrop>
  <Company>Author-it Software Corporation Ltd.</Company>
  <LinksUpToDate>false</LinksUpToDate>
  <CharactersWithSpaces>14905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TDMME807C TRANSMIT AND RECEIVE INFORMATION BY GMDSS SUBSYSTEMS AND EQUIPMENT</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2012-10-11T22:25:00Z</dcterms:created>
  <dcterms:modified xsi:type="dcterms:W3CDTF">2012-10-11T22:25:00Z</dcterms:modified>
</cp:coreProperties>
</file>