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0E7" w:rsidP="00B320E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TDMMB4607A APPLY INFORMATION ON VESSEL STRUCTURE TO MAINTENANCE AND SEAWORTHINESS</w:t>
      </w:r>
      <w:r>
        <w:fldChar w:fldCharType="end"/>
      </w:r>
    </w:p>
    <w:p w:rsidR="00B320E7" w:rsidP="00B320E7">
      <w:pPr>
        <w:pStyle w:val="Version"/>
        <w:sectPr w:rsidSect="00557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77E" w:rsidP="0055777E">
      <w:pPr>
        <w:pStyle w:val="SuperHeading"/>
      </w:pPr>
      <w:r w:rsidRPr="0055777E">
        <w:t>TDMMB4607A APPLY INFORMATION ON VESSEL STRUCTURE TO MAINTENANCE AND SEAWORTHINESS</w:t>
      </w:r>
    </w:p>
    <w:p w:rsidR="00000000" w:rsidRPr="0055777E" w:rsidP="0055777E">
      <w:pPr>
        <w:pStyle w:val="Heading1"/>
      </w:pPr>
      <w:bookmarkStart w:id="1" w:name="O_150699"/>
      <w:bookmarkEnd w:id="1"/>
      <w:r w:rsidRPr="0055777E">
        <w:t>Modification History</w:t>
      </w:r>
    </w:p>
    <w:p w:rsidR="00000000" w:rsidRPr="0055777E" w:rsidP="0055777E">
      <w:pPr>
        <w:pStyle w:val="BodyText"/>
      </w:pPr>
      <w:r w:rsidRPr="0055777E">
        <w:t>Not applicable.</w:t>
      </w: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2" w:name="O_150700"/>
      <w:bookmarkEnd w:id="2"/>
      <w:r w:rsidRPr="0055777E">
        <w:t>Unit Descripto</w:t>
      </w:r>
      <w:r w:rsidRPr="0055777E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UNIT DESCRIPTOR:</w:t>
            </w:r>
          </w:p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This unit involves the skills and knowledge required of a Watchkeeper</w:t>
            </w:r>
            <w:r w:rsidRPr="0055777E">
              <w:t xml:space="preserve"> (</w:t>
            </w:r>
            <w:r w:rsidRPr="0055777E">
              <w:rPr>
                <w:rStyle w:val="SpecialBold"/>
              </w:rPr>
              <w:t>Deck</w:t>
            </w:r>
            <w:r w:rsidRPr="0055777E">
              <w:t xml:space="preserve">) </w:t>
            </w:r>
            <w:r w:rsidRPr="0055777E">
              <w:rPr>
                <w:rStyle w:val="SpecialBold"/>
              </w:rPr>
              <w:t>to apply information on vessel structure to the maintenance and seaworthiness of a commercial vessel</w:t>
            </w:r>
            <w:r w:rsidRPr="0055777E">
              <w:t>.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3" w:name="O_150701"/>
      <w:bookmarkEnd w:id="3"/>
      <w:r w:rsidRPr="0055777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The unit has application in the qualifications for a Watchkeeper (Deck) and Master (Less than 500 GT), i.e. Diploma of Transport&amp;Distribution(Maritime Operations - Deck Watchkeeper).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4" w:name="O_150702"/>
      <w:bookmarkEnd w:id="4"/>
      <w:r w:rsidRPr="0055777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Licensing</w:t>
            </w:r>
            <w:r w:rsidRPr="0055777E">
              <w:t>/</w:t>
            </w:r>
            <w:r w:rsidRPr="0055777E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The unit is consistent with the relevant sections of STCW 95 and Marine Orders under the Australian Navigation Act 1912, describing the role and responsibilities of a Watchkeeper (Deck).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5" w:name="O_150703"/>
      <w:bookmarkEnd w:id="5"/>
      <w:r w:rsidRPr="0055777E">
        <w:t>Pre-Requisites</w:t>
      </w:r>
    </w:p>
    <w:p w:rsidR="00000000" w:rsidRPr="0055777E" w:rsidP="0055777E">
      <w:pPr>
        <w:pStyle w:val="BodyText"/>
      </w:pPr>
      <w:r w:rsidRPr="0055777E">
        <w:t>Not applicable.</w:t>
      </w: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6" w:name="O_150704"/>
      <w:bookmarkEnd w:id="6"/>
      <w:r w:rsidRPr="0055777E">
        <w:t>Employability Skills Information</w:t>
      </w:r>
    </w:p>
    <w:p w:rsidR="00000000" w:rsidRPr="0055777E" w:rsidP="0055777E">
      <w:pPr>
        <w:pStyle w:val="BodyText"/>
      </w:pPr>
      <w:r w:rsidRPr="0055777E">
        <w:t>Not applicable.</w:t>
      </w: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7" w:name="O_150705"/>
      <w:bookmarkEnd w:id="7"/>
      <w:r w:rsidRPr="0055777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8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Emphasis"/>
              </w:rPr>
              <w:t>Elements describe the essential outcomes of a unit of competency</w:t>
            </w:r>
            <w:r w:rsidRPr="0055777E">
              <w:t>.</w:t>
            </w:r>
          </w:p>
        </w:tc>
        <w:tc>
          <w:tcPr>
            <w:tcW w:w="64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Emphasis"/>
              </w:rPr>
              <w:t>Performance Criteria describe the required performance needed to demonstrate achievement of the element</w:t>
            </w:r>
            <w:r w:rsidRPr="0055777E">
              <w:t xml:space="preserve">. </w:t>
            </w:r>
            <w:r w:rsidRPr="0055777E">
              <w:rPr>
                <w:rStyle w:val="Emphasis"/>
              </w:rPr>
              <w:t>Assessment of performance is to be consistent with the Evidence Guide</w:t>
            </w:r>
            <w:r w:rsidRPr="0055777E">
              <w:t>.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8" w:name="O_150706"/>
      <w:bookmarkEnd w:id="8"/>
      <w:r w:rsidRPr="005577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6"/>
        <w:gridCol w:w="108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PERFORMANCE CRITERIA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.</w:t>
            </w:r>
          </w:p>
        </w:tc>
        <w:tc>
          <w:tcPr>
            <w:tcW w:w="649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.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Check theseaworthinessof the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Checks of the seaworthiness of vessel are planned and carried out as per company procedures and established safety rules and regulations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b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Coverage and frequency of checks and inspections of the vessel's seaworthiness complies with company procedures, established safety management system and relevant maritime regulations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Degree of vessel security is commensurate with anticipated weather and sea conditions and necessary vessel operations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d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Action taken in anticipation of environmental changes is timely and appropriate to the change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e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Precautions are taken to ensure th</w:t>
            </w:r>
            <w:r w:rsidRPr="0055777E">
              <w:t>at vessel and on-board powered equipment is operated as per manufacturer's instructions and safe working practice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f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Action taken in emergency situations is appropriate to the significance of the situation and designed to maximise watertight integrity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g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Instructions to other personnel on the vessel are clear, concise and made at an appropriate time and place</w:t>
            </w:r>
          </w:p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34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Coordinate maintenance inspections of the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Maintenance inspections of the vessel are carried out in accordance with standard operating procedures and the vessel's planned maintenance system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b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Repairs and corrosion control are initiated and coordinated in accordance with company procedures and vessel and equipment manufacturer's instructions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9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TDMMB4607A APPLY INFORMATION ON VESSEL STRUCTURE TO MAINTENANCE AND SEAWORTHINESS</w:t>
            </w:r>
          </w:p>
        </w:tc>
      </w:tr>
    </w:tbl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0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PERFORMANCE CRITERIA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Maintain records of maintenance activities and checks of seaworthiness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 xml:space="preserve">Records of the seaworthiness of a vessel and actions taken to carry out repairs and corrosion control are complete, accurate and comply with </w:t>
            </w:r>
            <w:r w:rsidRPr="0055777E">
              <w:t>statutory, commercial and enterprise requirements</w:t>
            </w:r>
          </w:p>
          <w:p w:rsidR="00000000" w:rsidRPr="0055777E" w:rsidP="0055777E">
            <w:pPr>
              <w:pStyle w:val="BodyText"/>
            </w:pPr>
          </w:p>
        </w:tc>
      </w:tr>
    </w:tbl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9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TDMMB4607A APPLY INFORMATION ON VESSEL STRUCTURE TO MAINTENANCE AND SEAWORTHINESS</w:t>
            </w:r>
          </w:p>
        </w:tc>
      </w:tr>
    </w:tbl>
    <w:p w:rsidR="00B320E7" w:rsidP="0055777E">
      <w:pPr>
        <w:pStyle w:val="BodyText"/>
      </w:pPr>
    </w:p>
    <w:p w:rsidR="00B320E7" w:rsidP="0055777E">
      <w:pPr>
        <w:pStyle w:val="BodyText"/>
      </w:pPr>
    </w:p>
    <w:p w:rsidR="00000000" w:rsidRPr="0055777E" w:rsidP="0055777E">
      <w:pPr>
        <w:pStyle w:val="Heading1"/>
      </w:pPr>
      <w:bookmarkStart w:id="9" w:name="O_150707"/>
      <w:bookmarkEnd w:id="9"/>
      <w:r w:rsidRPr="005577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1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REQUIRED KNOWLEDGE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Emphasis"/>
              </w:rPr>
              <w:t>This describes the knowledge required for this unit</w:t>
            </w:r>
            <w:r w:rsidRPr="0055777E">
              <w:t>.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Applicable sections of the IMO STCW 95 Code and AMSA Marine Orders dealing with the seaworthiness of and maintenance of vessels of 500 gross tonnage or more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ISM Code and associated vessel's safety</w:t>
            </w:r>
            <w:r w:rsidRPr="0055777E">
              <w:t xml:space="preserve"> management system and procedures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Relevant OH&amp;S and pollution control legislation and policies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Principal features of the structure of a vessel of 500 gross tonnage or more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 basic understanding of the properties and application of materials used in construction of vessels of  500 gross tonnage or more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Construction, layout and subdivision requirements of a typical vessel of 500 gross tonnage or more, including an understan</w:t>
            </w:r>
            <w:r w:rsidRPr="0055777E">
              <w:t>ding of freeboard and bulkhead deck, watertight compartments, weathertight compartments, the bulkhead of the vessel and collision bulkhead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Typical construction features and stress characteristics for vessels of 500 gross tonnage or more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The principa</w:t>
            </w:r>
            <w:r w:rsidRPr="0055777E">
              <w:t>l stresses which act on the structure of a vessel of 500 gross tonnage or more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9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Procedures for the checking and inspecting a vessel's seaworthiness to ensure compliance with company procedures and established safety rules </w:t>
            </w:r>
            <w:r w:rsidRPr="0055777E">
              <w:t>and regulations (within the limits of responsibility of a Watchkeeper (Deck)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10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Principles and procedures to ensure the watertight integrity of a vessel's hull in both normal and emergency situations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11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Damage control measures that may be required to mai</w:t>
            </w:r>
            <w:r w:rsidRPr="0055777E">
              <w:t>ntain the integrity of the hull in a range of typical emergency situations that could occur on a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12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Planned maintenance systems for vessels and associated maintenance inspection procedures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13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Procedures for the initiation and coordination of repai</w:t>
            </w:r>
            <w:r w:rsidRPr="0055777E">
              <w:t>r and/or replacement processes within the limits of responsibility of a Watchkeeper (Deck)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14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Corrosion control measures, including surface preparation and painting and antifouling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15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Safety, environmental and hazard control precautions and procedures relevant to inspection and maintenance operations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Maritime communication techniques needed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19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Problems related to the maintenance and seaworthiness of a vessel and appropriate actio</w:t>
            </w:r>
            <w:r w:rsidRPr="0055777E">
              <w:t>n and solutions within the limits of responsibility of a Watchkeeper (Deck)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 xml:space="preserve">Records that must be maintained on the planned maintenance activities and seaworthiness of a vessel 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9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TDMMB4607A APPLY INFORMATION ON VESSEL STRUCTUR</w:t>
            </w:r>
            <w:r w:rsidRPr="0055777E">
              <w:rPr>
                <w:rStyle w:val="SpecialBold"/>
              </w:rPr>
              <w:t>E TO MAINTENANCE AND SEAWORTHINESS</w:t>
            </w:r>
          </w:p>
        </w:tc>
      </w:tr>
    </w:tbl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REQUIRED SKILLS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Emphasis"/>
              </w:rPr>
              <w:t>This describes the basic skills required for this unit</w:t>
            </w:r>
            <w:r w:rsidRPr="0055777E">
              <w:t>.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Communicate effectively with other personnel when coordinating planned maintenance processes and the seaworthiness of the vessel within the </w:t>
            </w:r>
            <w:r w:rsidRPr="0055777E">
              <w:t>limits of responsibility of a Watchkeeper (Deck)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Communicate with multilingual crew where applicable using established techniques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Interpret and follow procedures for the coordination of planned maintenance processes and the seaworthiness of the vesse</w:t>
            </w:r>
            <w:r w:rsidRPr="0055777E">
              <w:t>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Read and interpret vessel and machinery specifications, machinery design drawings, machine drawings, operational manuals, specifications and electrical and control circuit diagrams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Interpret and follow all safety management procedures and precautio</w:t>
            </w:r>
            <w:r w:rsidRPr="0055777E">
              <w:t>ns when coordinating planned maintenance processes and the seaworthiness of the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Read and interpret material safety data sheets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Work collaboratively with other shipboard personnel when coordinating planned maintenance processes and the seaworth</w:t>
            </w:r>
            <w:r w:rsidRPr="0055777E">
              <w:t>iness of the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Prepare appropriate reports on the outcomes of inspection and maintenance activities to ensure the seaworthiness of the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Identify problems that can occur coordinating planned maintenance processes and the seaworthiness of the vessel and take appropriate action within the limits of responsibility of a Watchkeeper (Deck)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Carry out any calculations required when coordinatin</w:t>
            </w:r>
            <w:r w:rsidRPr="0055777E">
              <w:t>g planned maintenance processes and the seaworthiness of the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Adapt to differing types of vessels, equipment and related standard operating procedures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Take appropriate precautions to prevent pollution of the marine environment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 xml:space="preserve">Select and </w:t>
            </w:r>
            <w:r w:rsidRPr="0055777E">
              <w:t>use materials, tools and other equipment required when coordinating planned maintenance processes and the seaworthiness of the vessel</w:t>
            </w:r>
          </w:p>
        </w:tc>
      </w:tr>
    </w:tbl>
    <w:p w:rsidR="00B320E7" w:rsidP="0055777E">
      <w:pPr>
        <w:pStyle w:val="BodyText"/>
      </w:pPr>
    </w:p>
    <w:p w:rsidR="00B320E7" w:rsidP="0055777E">
      <w:pPr>
        <w:pStyle w:val="BodyText"/>
      </w:pPr>
    </w:p>
    <w:p w:rsidR="00000000" w:rsidRPr="0055777E" w:rsidP="0055777E">
      <w:pPr>
        <w:pStyle w:val="Heading1"/>
      </w:pPr>
      <w:bookmarkStart w:id="10" w:name="O_150708"/>
      <w:bookmarkEnd w:id="10"/>
      <w:r w:rsidRPr="0055777E">
        <w:t>Evidence Guide</w:t>
      </w:r>
    </w:p>
    <w:p w:rsidR="00000000" w:rsidRPr="0055777E" w:rsidP="0055777E">
      <w:pPr>
        <w:pStyle w:val="BodyText"/>
      </w:pPr>
      <w:r w:rsidRPr="0055777E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9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TDMMB4607A APPLY INFORMATION ON VESSEL STRUCTURE TO MAINTENANCE AND SEAWORTHINESS</w:t>
            </w:r>
          </w:p>
        </w:tc>
      </w:tr>
    </w:tbl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90"/>
        <w:gridCol w:w="361"/>
        <w:gridCol w:w="357"/>
        <w:gridCol w:w="5667"/>
        <w:gridCol w:w="15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Emphasis"/>
              </w:rPr>
              <w:t>The Evidence Guide provides advice on assessment and must be read in conjunction with the Performance Criteria</w:t>
            </w:r>
            <w:r w:rsidRPr="0055777E">
              <w:t xml:space="preserve">, </w:t>
            </w:r>
            <w:r w:rsidRPr="0055777E">
              <w:rPr>
                <w:rStyle w:val="Emphasis"/>
              </w:rPr>
              <w:t>Required Skills and Knowledge</w:t>
            </w:r>
            <w:r w:rsidRPr="0055777E">
              <w:t xml:space="preserve">, </w:t>
            </w:r>
            <w:r w:rsidRPr="0055777E">
              <w:rPr>
                <w:rStyle w:val="Emphasis"/>
              </w:rPr>
              <w:t>the Range Statement and the A</w:t>
            </w:r>
            <w:r w:rsidRPr="0055777E">
              <w:rPr>
                <w:rStyle w:val="Emphasis"/>
              </w:rPr>
              <w:t>ssessment Guidelines for this Training Package</w:t>
            </w:r>
            <w:r w:rsidRPr="0055777E">
              <w:t>.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1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Assessment must confirm appropriate knowledge and skills to: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Monitor and evaluate the seaworthiness of the vessel under normal and emergency situations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b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Initiate and coordinate maintenance required to ensure the seaworthiness of a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Identify typical problems related to the maintenance and seaworthiness of a vessel and take appropriate action in conjunction with other shipboard personnel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d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Exercise all required safety, environmental and hazard control precautions and procedures during inspection and maintenance operations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e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Communicate effectively with others when taking action to maintain the seaworthiness of the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2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Performance is demonstrated consistently over a period of time and in a suitable range of contexts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b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Consistently applies underpinning knowledge and skills when: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carrying out routine and emergency checks and inspections of a vessel's seaworthiness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identifying and evaluating problems concerning the maintenance and seaworthiness of a vessel and determining appropriate courses of action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initiating and</w:t>
            </w:r>
            <w:r w:rsidRPr="0055777E">
              <w:t xml:space="preserve"> coordinating maintenance activities required to ensure the seaworthiness of a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applying safety precautions relevant to maintenance operations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5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identifying and implementing improvements to procedures for maintaining the seaworthiness of a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Shows evidence of application of relevant workplace procedures, including: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relevant sections of IMO Conventions and AMSA Marine Orders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OH&amp;S regulations and hazard prevention policies and procedures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standard operating procedures and work instructions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relevant vessel manufacturer's guidelines relating to the maintenance requirements and seaworthiness of the vessel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BodyText"/>
      </w:pPr>
      <w:r w:rsidRPr="0055777E">
        <w:rPr>
          <w:rStyle w:val="SpecialBold"/>
        </w:rPr>
        <w:t>Evidence Guide</w:t>
      </w:r>
      <w:r w:rsidRPr="0055777E">
        <w:t xml:space="preserve"> (</w:t>
      </w:r>
      <w:r w:rsidRPr="0055777E">
        <w:rPr>
          <w:rStyle w:val="SpecialBold"/>
        </w:rPr>
        <w:t>continued</w:t>
      </w:r>
      <w:r w:rsidRPr="0055777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9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TDMMB4607A APPLY INFORMATION ON VESSEL STRUCTURE TO MAINTENANCE AND SEAWORTHINESS</w:t>
            </w:r>
          </w:p>
        </w:tc>
      </w:tr>
    </w:tbl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5"/>
        <w:gridCol w:w="1774"/>
        <w:gridCol w:w="361"/>
        <w:gridCol w:w="358"/>
        <w:gridCol w:w="357"/>
        <w:gridCol w:w="5310"/>
        <w:gridCol w:w="15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2</w:t>
            </w:r>
          </w:p>
        </w:tc>
        <w:tc>
          <w:tcPr>
            <w:tcW w:w="1789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Evidence required for demonstration of consistent performance</w:t>
            </w:r>
          </w:p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(</w:t>
            </w:r>
            <w:r w:rsidRPr="0055777E">
              <w:rPr>
                <w:rStyle w:val="SpecialBold"/>
              </w:rPr>
              <w:t>continued</w:t>
            </w:r>
            <w:r w:rsidRPr="0055777E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d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Action </w:t>
            </w:r>
            <w:r w:rsidRPr="0055777E">
              <w:t xml:space="preserve">is taken promptly to report and/or rectify problems with the seaworthiness of the vessel as per regulations, procedures and manufacturer's instructions, 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e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Work is completed systematically with required attention to detail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f</w:t>
            </w:r>
          </w:p>
        </w:tc>
        <w:tc>
          <w:tcPr>
            <w:tcW w:w="60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Recognises and adapts appropriately to cultural differences in the workplace, including modes of behaviour and interactions between crew and others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</w:p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3</w:t>
            </w:r>
          </w:p>
        </w:tc>
        <w:tc>
          <w:tcPr>
            <w:tcW w:w="1789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</w:p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</w:p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</w:t>
            </w:r>
          </w:p>
        </w:tc>
        <w:tc>
          <w:tcPr>
            <w:tcW w:w="602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</w:p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Assessment of competency must comply with the asse</w:t>
            </w:r>
            <w:r w:rsidRPr="0055777E">
              <w:t>ssment requirements of the relevant maritime regulations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b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Assessment of this unit must be undertaken within relevant marine authority approved and audited arrangements by a registered training organisation: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As a minimum, assessment of knowledge must be conducted through appropriate written/oral examinations, and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Appropriate practical assessment must occur: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at the registered training organisation; and/or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ii</w:t>
            </w:r>
          </w:p>
        </w:tc>
        <w:tc>
          <w:tcPr>
            <w:tcW w:w="53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on an appropriate working or training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4</w:t>
            </w:r>
          </w:p>
        </w:tc>
        <w:tc>
          <w:tcPr>
            <w:tcW w:w="177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Specificresourcesrequired for assessment</w:t>
            </w:r>
          </w:p>
        </w:tc>
        <w:tc>
          <w:tcPr>
            <w:tcW w:w="6386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Access is required to opportunities to: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participate in a range of exercises, case studies and other simulated practical and knowledge assessments that demonstrate the skills and knowledge to maintain the seaworthiness of a vessel in a range of operational situations; and/or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b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assist in maintaining the seaworthiness of a vessel in a range of operational situations either: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using a simulator, meeting the requirements of Section A I/12 of the IMO STCW 95 Code, over an appropriate range of simulated loading and operational </w:t>
            </w:r>
            <w:r w:rsidRPr="0055777E">
              <w:t xml:space="preserve">situations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ii</w:t>
            </w:r>
          </w:p>
        </w:tc>
        <w:tc>
          <w:tcPr>
            <w:tcW w:w="56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in appropriate practical situations on an operational commercial or training vessel</w:t>
            </w:r>
          </w:p>
        </w:tc>
      </w:tr>
    </w:tbl>
    <w:p w:rsidR="00B320E7" w:rsidP="0055777E">
      <w:pPr>
        <w:pStyle w:val="BodyText"/>
      </w:pPr>
    </w:p>
    <w:p w:rsidR="00B320E7" w:rsidP="0055777E">
      <w:pPr>
        <w:pStyle w:val="BodyText"/>
      </w:pPr>
    </w:p>
    <w:p w:rsidR="00000000" w:rsidRPr="0055777E" w:rsidP="0055777E">
      <w:pPr>
        <w:pStyle w:val="Heading1"/>
      </w:pPr>
      <w:bookmarkStart w:id="11" w:name="O_150709"/>
      <w:bookmarkEnd w:id="11"/>
      <w:r w:rsidRPr="0055777E">
        <w:t>Range Statement</w:t>
      </w:r>
    </w:p>
    <w:p w:rsidR="00000000" w:rsidRPr="0055777E" w:rsidP="0055777E">
      <w:pPr>
        <w:pStyle w:val="BodyText"/>
      </w:pPr>
      <w:r w:rsidRPr="0055777E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9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TDMMB4607A APPLY INFORMATION ON VESSEL STRUCTURE TO MAINTENANCE AND SEAWORTHINESS</w:t>
            </w:r>
          </w:p>
        </w:tc>
      </w:tr>
    </w:tbl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17"/>
        <w:gridCol w:w="18"/>
        <w:gridCol w:w="28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Emphasis"/>
              </w:rPr>
              <w:t>The Range Statement relates to the unit of competency as a whole</w:t>
            </w:r>
            <w:r w:rsidRPr="0055777E">
              <w:t xml:space="preserve">. </w:t>
            </w:r>
            <w:r w:rsidRPr="0055777E">
              <w:rPr>
                <w:rStyle w:val="Emphasis"/>
              </w:rPr>
              <w:t>It allows for different work environments and situations that may affect performance</w:t>
            </w:r>
            <w:r w:rsidRPr="0055777E">
              <w:t>.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SCOPE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1</w:t>
            </w:r>
            <w:r w:rsidRPr="0055777E">
              <w:t>.</w:t>
            </w:r>
            <w:r w:rsidRPr="0055777E">
              <w:tab/>
            </w:r>
            <w:r w:rsidRPr="0055777E">
              <w:rPr>
                <w:rStyle w:val="SpecialBold"/>
              </w:rPr>
              <w:t>GENERAL CONTEXT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a</w:t>
            </w:r>
            <w:r w:rsidRPr="0055777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Work must be carried out</w:t>
            </w:r>
            <w:r w:rsidRPr="0055777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in compliance with the relevant sections of the AMSA Marine Orders and IMO STCW Conventions and Codes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b</w:t>
            </w:r>
            <w:r w:rsidRPr="0055777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Work is performed</w:t>
            </w:r>
            <w:r w:rsidRPr="0055777E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relatively independently within broad operational requirements, with limited accountability and responsibility for self and others in achieving the prescribed outcomes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c</w:t>
            </w:r>
            <w:r w:rsidRPr="0055777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Work involves</w:t>
            </w:r>
            <w:r w:rsidRPr="0055777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the application of vessel construction principles to the coordination of the planned maintenance processes and the seaworthiness of a vessel across a wide and often unpredictable variety of operational contexts. Monitoring and coordinating the implementati</w:t>
            </w:r>
            <w:r w:rsidRPr="0055777E">
              <w:t>on of a maintenance plan and a strategy for maintaining the ongoing seaworthiness of a vessel is required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SCOPE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d</w:t>
            </w:r>
            <w:r w:rsidRPr="0055777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Work requires</w:t>
            </w:r>
            <w:r w:rsidRPr="0055777E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responsibility in the management of the maintenance of the seaworthiness of a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2</w:t>
            </w:r>
            <w:r w:rsidRPr="0055777E">
              <w:t>.</w:t>
            </w:r>
            <w:r w:rsidRPr="0055777E">
              <w:tab/>
            </w:r>
            <w:r w:rsidRPr="0055777E">
              <w:rPr>
                <w:rStyle w:val="SpecialBold"/>
              </w:rPr>
              <w:t>WORKSITE ENVIRONMENT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Vessel may include</w:t>
            </w:r>
            <w:r w:rsidRPr="0055777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any Australian or international commercial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Seaworthiness of a vessel must be maintained</w:t>
            </w:r>
            <w:r w:rsidRPr="0055777E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by day or night in both normal and emergency situations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under any possible conditions of sea, weather and loading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while underway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during berthing and unberthing operations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5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while anchoring or mooring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6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when bunkering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7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when berthed, anchored or moored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8</w:t>
            </w:r>
          </w:p>
        </w:tc>
        <w:tc>
          <w:tcPr>
            <w:tcW w:w="60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when loading/unloading cargo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>
      <w:pPr>
        <w:pStyle w:val="BodyText"/>
      </w:pPr>
      <w:r w:rsidRPr="0055777E">
        <w:rPr>
          <w:rStyle w:val="SpecialBold"/>
        </w:rPr>
        <w:t>Range Statement</w:t>
      </w:r>
      <w:r w:rsidRPr="0055777E">
        <w:t xml:space="preserve"> (</w:t>
      </w:r>
      <w:r w:rsidRPr="0055777E">
        <w:rPr>
          <w:rStyle w:val="SpecialBold"/>
        </w:rPr>
        <w:t>continued</w:t>
      </w:r>
      <w:r w:rsidRPr="0055777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9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TDMMB4607A APPLY INFORMATION ON VESSEL STRUCTURE TO MAINTENANCE AND SEAWORTHINESS</w:t>
            </w:r>
          </w:p>
        </w:tc>
      </w:tr>
    </w:tbl>
    <w:p w:rsidR="00000000" w:rsidRPr="0055777E" w:rsidP="005577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4"/>
        <w:gridCol w:w="5992"/>
        <w:gridCol w:w="42"/>
        <w:gridCol w:w="14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SCOPE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c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Action taken to check the seaworthinessof a vessel may include</w:t>
            </w:r>
            <w:r w:rsidRPr="0055777E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routine inspections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6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checks prior to departure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6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checks on completion of a voyage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6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checks on completion of maintenance activities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5</w:t>
            </w:r>
          </w:p>
        </w:tc>
        <w:tc>
          <w:tcPr>
            <w:tcW w:w="6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checks in anticipation of a change in sea and weather conditions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6</w:t>
            </w:r>
          </w:p>
        </w:tc>
        <w:tc>
          <w:tcPr>
            <w:tcW w:w="60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checks during an emergency which may have caused damage to the vessel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Planned maintenance activities may include</w:t>
            </w:r>
            <w:r w:rsidRPr="0055777E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repairs to equipment, components and vessel's structure and appliances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surface preparation and painting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antifouling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lubrication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5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replacement of faulty equipment or components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Documentation</w:t>
            </w:r>
            <w:r w:rsidRPr="0055777E">
              <w:t>/</w:t>
            </w:r>
            <w:r w:rsidRPr="0055777E">
              <w:rPr>
                <w:rStyle w:val="SpecialBold"/>
              </w:rPr>
              <w:t>records may include</w:t>
            </w: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safety management system plans, procedures, checklists and instructions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operational orders and company procedures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applicable maritime regulations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planned maintenance system and associated records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5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vessel and equipment manufacturer's instructions, specifications and recommended procedures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6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applicable notices and instructions of relevant maritime authorities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7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relevant Australian and international standards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Applicable procedures and codes may include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1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 xml:space="preserve">IMO Conventions related to the seaworthiness of vessels 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2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ISM Code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3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relevant sections of AMSA Marine Orders related to the maintenance and seaworthiness of vessels</w:t>
            </w:r>
          </w:p>
        </w:tc>
      </w:tr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t>4</w:t>
            </w:r>
          </w:p>
        </w:tc>
        <w:tc>
          <w:tcPr>
            <w:tcW w:w="60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relevant international, Commonwealth, State and Territory OH&amp;S legislation</w:t>
            </w:r>
          </w:p>
        </w:tc>
      </w:tr>
    </w:tbl>
    <w:p w:rsidR="00B320E7" w:rsidP="0055777E">
      <w:pPr>
        <w:pStyle w:val="BodyText"/>
      </w:pPr>
    </w:p>
    <w:p w:rsidR="00B320E7" w:rsidP="0055777E">
      <w:pPr>
        <w:pStyle w:val="BodyText"/>
      </w:pPr>
    </w:p>
    <w:p w:rsidR="00000000" w:rsidRPr="0055777E" w:rsidP="0055777E">
      <w:pPr>
        <w:pStyle w:val="Heading1"/>
      </w:pPr>
      <w:bookmarkStart w:id="12" w:name="O_150710"/>
      <w:bookmarkEnd w:id="12"/>
      <w:r w:rsidRPr="0055777E">
        <w:t>Unit Sector(s)</w:t>
      </w:r>
    </w:p>
    <w:p w:rsidR="00000000" w:rsidRPr="0055777E" w:rsidP="0055777E">
      <w:pPr>
        <w:pStyle w:val="BodyText"/>
      </w:pPr>
      <w:r w:rsidRPr="0055777E">
        <w:t>Not applicable.</w:t>
      </w:r>
    </w:p>
    <w:p w:rsidR="00000000" w:rsidRPr="0055777E" w:rsidP="0055777E">
      <w:pPr>
        <w:pStyle w:val="AllowPageBreak"/>
      </w:pPr>
    </w:p>
    <w:p w:rsidR="00000000" w:rsidRPr="0055777E" w:rsidP="0055777E">
      <w:pPr>
        <w:pStyle w:val="Heading1"/>
      </w:pPr>
      <w:bookmarkStart w:id="13" w:name="O_163682"/>
      <w:bookmarkEnd w:id="13"/>
      <w:r w:rsidRPr="0055777E">
        <w:t>Field</w:t>
      </w:r>
    </w:p>
    <w:p w:rsidR="00B320E7" w:rsidP="0055777E">
      <w:pPr>
        <w:pStyle w:val="BodyText"/>
      </w:pPr>
      <w:r w:rsidRPr="0055777E">
        <w:t>Field</w:t>
      </w:r>
      <w:r w:rsidRPr="0055777E">
        <w:tab/>
        <w:t>B</w:t>
      </w:r>
      <w:r w:rsidRPr="0055777E">
        <w:tab/>
        <w:t>Equipment Checking and Maintenance</w:t>
      </w:r>
    </w:p>
    <w:p w:rsidR="00B320E7" w:rsidP="0055777E">
      <w:pPr>
        <w:pStyle w:val="BodyText"/>
      </w:pPr>
    </w:p>
    <w:p w:rsidR="00000000" w:rsidRPr="0055777E" w:rsidP="0055777E">
      <w:pPr>
        <w:pStyle w:val="Heading1"/>
      </w:pPr>
      <w:bookmarkStart w:id="14" w:name="O_163683"/>
      <w:bookmarkEnd w:id="14"/>
      <w:r w:rsidRPr="0055777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B320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77E">
            <w:pPr>
              <w:pStyle w:val="BodyText"/>
              <w:rPr>
                <w:lang w:val="en-NZ"/>
              </w:rPr>
            </w:pPr>
            <w:r w:rsidRPr="0055777E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77E" w:rsidP="0055777E">
            <w:pPr>
              <w:pStyle w:val="BodyText"/>
            </w:pPr>
            <w:r w:rsidRPr="0055777E">
              <w:t>The unit may be assessed in conjunction with other units that relate to the functions of the occupation(s) concerned.</w:t>
            </w:r>
          </w:p>
        </w:tc>
      </w:tr>
    </w:tbl>
    <w:p w:rsidR="00000000" w:rsidRPr="0055777E" w:rsidP="0055777E">
      <w:pPr>
        <w:pStyle w:val="BodyText"/>
      </w:pPr>
    </w:p>
    <w:p w:rsidR="00000000" w:rsidRPr="0055777E" w:rsidP="0055777E"/>
    <w:sectPr w:rsidSect="005577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20E7" w:rsidP="00B320E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E7" w:rsidP="00557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B320E7" w:rsidP="00557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320E7" w:rsidP="0055777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E" w:rsidRPr="00B320E7" w:rsidP="00B320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0E7" w:rsidRPr="002D2AF8" w:rsidP="00557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TDMMB4607A APPLY INFORMATION ON VESSEL STRUCTURE TO MAINTENANCE AND SEAWORTHINESS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B320E7" w:rsidP="00557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77E"/>
  </w:style>
  <w:style w:type="character" w:customStyle="1" w:styleId="Heading1Char">
    <w:name w:val="Heading 1 Char"/>
    <w:basedOn w:val="DefaultParagraphFont"/>
    <w:link w:val="Heading1"/>
    <w:rsid w:val="00557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7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77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57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77E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55777E"/>
    <w:rPr>
      <w:b/>
      <w:spacing w:val="0"/>
    </w:rPr>
  </w:style>
  <w:style w:type="character" w:styleId="Emphasis">
    <w:name w:val="Emphasis"/>
    <w:basedOn w:val="DefaultParagraphFont"/>
    <w:qFormat/>
    <w:rsid w:val="0055777E"/>
    <w:rPr>
      <w:i/>
    </w:rPr>
  </w:style>
  <w:style w:type="paragraph" w:customStyle="1" w:styleId="SuperHeading">
    <w:name w:val="SuperHeading"/>
    <w:basedOn w:val="Normal"/>
    <w:rsid w:val="0055777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57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57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7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7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7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7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7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77E"/>
  </w:style>
  <w:style w:type="paragraph" w:styleId="TableofFigures">
    <w:name w:val="table of figures"/>
    <w:basedOn w:val="Normal"/>
    <w:next w:val="Normal"/>
    <w:semiHidden/>
    <w:rsid w:val="00557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77E"/>
    <w:pPr>
      <w:numPr>
        <w:numId w:val="9"/>
      </w:numPr>
    </w:pPr>
  </w:style>
  <w:style w:type="character" w:customStyle="1" w:styleId="WingdingSymbols">
    <w:name w:val="Wingding Symbols"/>
    <w:rsid w:val="0055777E"/>
    <w:rPr>
      <w:rFonts w:ascii="Wingdings" w:hAnsi="Wingdings"/>
    </w:rPr>
  </w:style>
  <w:style w:type="paragraph" w:customStyle="1" w:styleId="TableHeading">
    <w:name w:val="Table Heading"/>
    <w:basedOn w:val="HeadingBase"/>
    <w:rsid w:val="00557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77E"/>
    <w:rPr>
      <w:color w:val="0033CC"/>
      <w:u w:val="none"/>
    </w:rPr>
  </w:style>
  <w:style w:type="paragraph" w:customStyle="1" w:styleId="BodyTextRight">
    <w:name w:val="Body Text Right"/>
    <w:basedOn w:val="BodyText"/>
    <w:rsid w:val="00557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7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77E"/>
    <w:rPr>
      <w:sz w:val="32"/>
    </w:rPr>
  </w:style>
  <w:style w:type="paragraph" w:customStyle="1" w:styleId="HeadingProcedure">
    <w:name w:val="Heading Procedure"/>
    <w:basedOn w:val="HeadingBase"/>
    <w:next w:val="Normal"/>
    <w:rsid w:val="00557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77E"/>
    <w:pPr>
      <w:spacing w:before="60" w:after="60"/>
    </w:pPr>
  </w:style>
  <w:style w:type="paragraph" w:styleId="ListContinue">
    <w:name w:val="List Continue"/>
    <w:basedOn w:val="List"/>
    <w:rsid w:val="0055777E"/>
    <w:pPr>
      <w:ind w:firstLine="0"/>
    </w:pPr>
  </w:style>
  <w:style w:type="paragraph" w:customStyle="1" w:styleId="ListNote">
    <w:name w:val="List Note"/>
    <w:basedOn w:val="List"/>
    <w:rsid w:val="00557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77E"/>
    <w:rPr>
      <w:rFonts w:ascii="Courier New" w:hAnsi="Courier New"/>
    </w:rPr>
  </w:style>
  <w:style w:type="paragraph" w:customStyle="1" w:styleId="NoteBullet">
    <w:name w:val="Note Bullet"/>
    <w:basedOn w:val="Note"/>
    <w:rsid w:val="00557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7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77E"/>
    <w:rPr>
      <w:b/>
      <w:smallCaps/>
    </w:rPr>
  </w:style>
  <w:style w:type="paragraph" w:customStyle="1" w:styleId="TableListNumber">
    <w:name w:val="Table List Number"/>
    <w:basedOn w:val="ListNumber"/>
    <w:rsid w:val="00557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77E"/>
    <w:pPr>
      <w:numPr>
        <w:numId w:val="7"/>
      </w:numPr>
    </w:pPr>
  </w:style>
  <w:style w:type="paragraph" w:customStyle="1" w:styleId="ListAlpha2">
    <w:name w:val="List Alpha 2"/>
    <w:basedOn w:val="List2"/>
    <w:rsid w:val="0055777E"/>
    <w:pPr>
      <w:numPr>
        <w:numId w:val="6"/>
      </w:numPr>
    </w:pPr>
  </w:style>
  <w:style w:type="paragraph" w:styleId="List2">
    <w:name w:val="List 2"/>
    <w:basedOn w:val="BodyText"/>
    <w:rsid w:val="00557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7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77E"/>
    <w:pPr>
      <w:numPr>
        <w:numId w:val="1"/>
      </w:numPr>
    </w:pPr>
  </w:style>
  <w:style w:type="paragraph" w:styleId="ListBullet5">
    <w:name w:val="List Bullet 5"/>
    <w:basedOn w:val="List5"/>
    <w:rsid w:val="0055777E"/>
    <w:pPr>
      <w:numPr>
        <w:numId w:val="2"/>
      </w:numPr>
    </w:pPr>
  </w:style>
  <w:style w:type="paragraph" w:styleId="ListContinue2">
    <w:name w:val="List Continue 2"/>
    <w:basedOn w:val="List2"/>
    <w:rsid w:val="0055777E"/>
    <w:pPr>
      <w:ind w:firstLine="0"/>
    </w:pPr>
  </w:style>
  <w:style w:type="paragraph" w:styleId="ListContinue3">
    <w:name w:val="List Continue 3"/>
    <w:basedOn w:val="List3"/>
    <w:rsid w:val="0055777E"/>
    <w:pPr>
      <w:ind w:left="1021" w:firstLine="0"/>
    </w:pPr>
  </w:style>
  <w:style w:type="paragraph" w:styleId="ListContinue4">
    <w:name w:val="List Continue 4"/>
    <w:basedOn w:val="List4"/>
    <w:rsid w:val="0055777E"/>
    <w:pPr>
      <w:ind w:firstLine="0"/>
    </w:pPr>
  </w:style>
  <w:style w:type="paragraph" w:styleId="ListContinue5">
    <w:name w:val="List Continue 5"/>
    <w:basedOn w:val="List5"/>
    <w:rsid w:val="0055777E"/>
    <w:pPr>
      <w:ind w:firstLine="0"/>
    </w:pPr>
  </w:style>
  <w:style w:type="paragraph" w:styleId="ListNumber3">
    <w:name w:val="List Number 3"/>
    <w:basedOn w:val="List3"/>
    <w:rsid w:val="0055777E"/>
    <w:pPr>
      <w:numPr>
        <w:numId w:val="3"/>
      </w:numPr>
    </w:pPr>
  </w:style>
  <w:style w:type="paragraph" w:styleId="ListNumber4">
    <w:name w:val="List Number 4"/>
    <w:basedOn w:val="List4"/>
    <w:rsid w:val="0055777E"/>
    <w:pPr>
      <w:numPr>
        <w:numId w:val="4"/>
      </w:numPr>
    </w:pPr>
  </w:style>
  <w:style w:type="paragraph" w:styleId="ListNumber5">
    <w:name w:val="List Number 5"/>
    <w:basedOn w:val="List5"/>
    <w:rsid w:val="0055777E"/>
    <w:pPr>
      <w:numPr>
        <w:numId w:val="5"/>
      </w:numPr>
    </w:pPr>
  </w:style>
  <w:style w:type="paragraph" w:styleId="BlockText">
    <w:name w:val="Block Text"/>
    <w:basedOn w:val="Normal"/>
    <w:rsid w:val="00557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77E"/>
    <w:rPr>
      <w:sz w:val="16"/>
      <w:vertAlign w:val="superscript"/>
    </w:rPr>
  </w:style>
  <w:style w:type="character" w:customStyle="1" w:styleId="Symbols">
    <w:name w:val="Symbols"/>
    <w:basedOn w:val="DefaultParagraphFont"/>
    <w:rsid w:val="0055777E"/>
    <w:rPr>
      <w:rFonts w:ascii="Symbol" w:hAnsi="Symbol"/>
    </w:rPr>
  </w:style>
  <w:style w:type="character" w:customStyle="1" w:styleId="MenuOptions">
    <w:name w:val="Menu Options"/>
    <w:basedOn w:val="DefaultParagraphFont"/>
    <w:rsid w:val="00557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77E"/>
    <w:rPr>
      <w:b/>
    </w:rPr>
  </w:style>
  <w:style w:type="character" w:customStyle="1" w:styleId="Underlined">
    <w:name w:val="Underlined"/>
    <w:basedOn w:val="DefaultParagraphFont"/>
    <w:rsid w:val="0055777E"/>
    <w:rPr>
      <w:u w:val="single"/>
    </w:rPr>
  </w:style>
  <w:style w:type="paragraph" w:customStyle="1" w:styleId="TableBodyTextRight">
    <w:name w:val="Table Body Text Right"/>
    <w:basedOn w:val="TableBodyText"/>
    <w:rsid w:val="00557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77E"/>
    <w:rPr>
      <w:sz w:val="18"/>
    </w:rPr>
  </w:style>
  <w:style w:type="paragraph" w:customStyle="1" w:styleId="BodySmallRight">
    <w:name w:val="Body Small Right"/>
    <w:basedOn w:val="BodyTextRight"/>
    <w:rsid w:val="0055777E"/>
    <w:rPr>
      <w:sz w:val="18"/>
      <w:szCs w:val="18"/>
    </w:rPr>
  </w:style>
  <w:style w:type="paragraph" w:customStyle="1" w:styleId="MarginEdition">
    <w:name w:val="Margin Edition"/>
    <w:basedOn w:val="MarginNote"/>
    <w:rsid w:val="00557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77E"/>
    <w:rPr>
      <w:sz w:val="2"/>
      <w:szCs w:val="2"/>
    </w:rPr>
  </w:style>
  <w:style w:type="character" w:customStyle="1" w:styleId="Small">
    <w:name w:val="Small"/>
    <w:basedOn w:val="DefaultParagraphFont"/>
    <w:rsid w:val="0055777E"/>
    <w:rPr>
      <w:sz w:val="16"/>
    </w:rPr>
  </w:style>
  <w:style w:type="paragraph" w:customStyle="1" w:styleId="WideTable">
    <w:name w:val="Wide Table"/>
    <w:basedOn w:val="Normal"/>
    <w:rsid w:val="00557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77E"/>
  </w:style>
  <w:style w:type="paragraph" w:styleId="Quote">
    <w:name w:val="Quote"/>
    <w:basedOn w:val="Heading1"/>
    <w:link w:val="QuoteChar"/>
    <w:qFormat/>
    <w:rsid w:val="00557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77E"/>
    <w:pPr>
      <w:pageBreakBefore/>
    </w:pPr>
  </w:style>
  <w:style w:type="paragraph" w:customStyle="1" w:styleId="Border">
    <w:name w:val="Border"/>
    <w:basedOn w:val="Normal"/>
    <w:qFormat/>
    <w:rsid w:val="00557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77E"/>
    <w:rPr>
      <w:u w:val="single"/>
    </w:rPr>
  </w:style>
  <w:style w:type="character" w:customStyle="1" w:styleId="BoldandItalics">
    <w:name w:val="Bold and Italics"/>
    <w:qFormat/>
    <w:rsid w:val="0055777E"/>
    <w:rPr>
      <w:b/>
      <w:i/>
      <w:u w:val="none"/>
    </w:rPr>
  </w:style>
  <w:style w:type="paragraph" w:styleId="BalloonText">
    <w:name w:val="Balloon Text"/>
    <w:basedOn w:val="Normal"/>
    <w:link w:val="BalloonTextChar"/>
    <w:rsid w:val="00557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7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7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2068</Words>
  <Characters>12430</Characters>
  <Application>Microsoft Office Word</Application>
  <DocSecurity>0</DocSecurity>
  <Lines>707</Lines>
  <Paragraphs>314</Paragraphs>
  <ScaleCrop>false</ScaleCrop>
  <Company>Author-it Software Corporation Ltd.</Company>
  <LinksUpToDate>false</LinksUpToDate>
  <CharactersWithSpaces>14204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TDMMB4607A APPLY INFORMATION ON VESSEL STRUCTURE TO MAINTENANCE AND SEAWORTHINESS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2012-10-11T18:12:00Z</dcterms:created>
  <dcterms:modified xsi:type="dcterms:W3CDTF">2012-10-11T18:12:00Z</dcterms:modified>
</cp:coreProperties>
</file>