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F80" w:rsidP="00884F8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TDMMB4507A MONITOR CONDITION AND SEAWORTHINESS OF A SMALL VESSEL UP TO 24 METRES</w:t>
      </w:r>
      <w:r>
        <w:fldChar w:fldCharType="end"/>
      </w:r>
    </w:p>
    <w:p w:rsidR="00884F80" w:rsidP="00884F80">
      <w:pPr>
        <w:pStyle w:val="Version"/>
        <w:sectPr w:rsidSect="000E7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E792B" w:rsidP="000E792B">
      <w:pPr>
        <w:pStyle w:val="SuperHeading"/>
      </w:pPr>
      <w:r w:rsidRPr="000E792B">
        <w:t>TDMMB4507A MONITOR CONDITION AND SEAWORTHINESS OF A SMALL VESSEL UP TO 24 METRES</w:t>
      </w:r>
    </w:p>
    <w:p w:rsidR="00000000" w:rsidRPr="000E792B" w:rsidP="000E792B">
      <w:pPr>
        <w:pStyle w:val="SuperHeading"/>
      </w:pPr>
    </w:p>
    <w:p w:rsidR="00000000" w:rsidRPr="000E792B" w:rsidP="000E792B">
      <w:pPr>
        <w:pStyle w:val="Heading1"/>
      </w:pPr>
      <w:bookmarkStart w:id="1" w:name="O_150687"/>
      <w:bookmarkEnd w:id="1"/>
      <w:r w:rsidRPr="000E792B">
        <w:t>Modification History</w:t>
      </w:r>
    </w:p>
    <w:p w:rsidR="00000000" w:rsidRPr="000E792B" w:rsidP="000E792B">
      <w:pPr>
        <w:pStyle w:val="BodyText"/>
      </w:pPr>
      <w:r w:rsidRPr="000E792B">
        <w:t>Not applicable.</w:t>
      </w: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2" w:name="O_150688"/>
      <w:bookmarkEnd w:id="2"/>
      <w:r w:rsidRPr="000E792B">
        <w:t>Unit Descripto</w:t>
      </w:r>
      <w:r w:rsidRPr="000E792B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UNIT DESCRIPTOR: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This unit involves the skills and knowledge required to monitor the condition an seaworthiness of a small commercial vessel up to 24 metres</w:t>
            </w:r>
            <w:r w:rsidRPr="000E792B">
              <w:t xml:space="preserve">, </w:t>
            </w:r>
            <w:r w:rsidRPr="000E792B">
              <w:rPr>
                <w:rStyle w:val="SpecialBold"/>
              </w:rPr>
              <w:t>including awareness of the fundamental principles of vessel construction</w:t>
            </w:r>
            <w:r w:rsidRPr="000E792B">
              <w:t xml:space="preserve">, </w:t>
            </w:r>
            <w:r w:rsidRPr="000E792B">
              <w:rPr>
                <w:rStyle w:val="SpecialBold"/>
              </w:rPr>
              <w:t xml:space="preserve">load-lines conditions </w:t>
            </w:r>
            <w:r w:rsidRPr="000E792B">
              <w:rPr>
                <w:rStyle w:val="SpecialBold"/>
              </w:rPr>
              <w:t>of assignment</w:t>
            </w:r>
            <w:r w:rsidRPr="000E792B">
              <w:t xml:space="preserve">, </w:t>
            </w:r>
            <w:r w:rsidRPr="000E792B">
              <w:rPr>
                <w:rStyle w:val="SpecialBold"/>
              </w:rPr>
              <w:t>structural elements to restrain fires</w:t>
            </w:r>
            <w:r w:rsidRPr="000E792B">
              <w:t xml:space="preserve">, </w:t>
            </w:r>
            <w:r w:rsidRPr="000E792B">
              <w:rPr>
                <w:rStyle w:val="SpecialBold"/>
              </w:rPr>
              <w:t>design characteristics that contribute to watertight integrity</w:t>
            </w:r>
            <w:r w:rsidRPr="000E792B">
              <w:t xml:space="preserve">, </w:t>
            </w:r>
            <w:r w:rsidRPr="000E792B">
              <w:rPr>
                <w:rStyle w:val="SpecialBold"/>
              </w:rPr>
              <w:t>and regulatory requirements for seaworthiness</w:t>
            </w:r>
            <w:r w:rsidRPr="000E792B">
              <w:t>.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3" w:name="O_150689"/>
      <w:bookmarkEnd w:id="3"/>
      <w:r w:rsidRPr="000E792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The unit has applications in the qualification for a Coxswain and Master 5 on a small commercial vessel up to 24 m in length operating in coastal waters, i.e. Certificate II in Transport&amp;Distribution (Coastal Maritime Operations - Coxswain) and Certificate</w:t>
            </w:r>
            <w:r w:rsidRPr="000E792B">
              <w:t xml:space="preserve"> III in Transport&amp;Distribution (Coastal Maritime Operations - Master Class 5).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4" w:name="O_150690"/>
      <w:bookmarkEnd w:id="4"/>
      <w:r w:rsidRPr="000E792B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Licensing</w:t>
            </w:r>
            <w:r w:rsidRPr="000E792B">
              <w:t>/</w:t>
            </w:r>
            <w:r w:rsidRPr="000E792B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The unit is consistent with the relevant State and Territory maritime regulations and the National Standard for Commercial Vessels.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5" w:name="O_150691"/>
      <w:bookmarkEnd w:id="5"/>
      <w:r w:rsidRPr="000E792B">
        <w:t>Pre-Requisites</w:t>
      </w:r>
    </w:p>
    <w:p w:rsidR="00000000" w:rsidRPr="000E792B" w:rsidP="000E792B">
      <w:pPr>
        <w:pStyle w:val="BodyText"/>
      </w:pPr>
      <w:r w:rsidRPr="000E792B">
        <w:t>Not applicable.</w:t>
      </w: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6" w:name="O_150692"/>
      <w:bookmarkEnd w:id="6"/>
      <w:r w:rsidRPr="000E792B">
        <w:t>Employability Skills Information</w:t>
      </w:r>
    </w:p>
    <w:p w:rsidR="00000000" w:rsidRPr="000E792B" w:rsidP="000E792B">
      <w:pPr>
        <w:pStyle w:val="BodyText"/>
      </w:pPr>
      <w:r w:rsidRPr="000E792B">
        <w:t>Not applicable.</w:t>
      </w: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7" w:name="O_150693"/>
      <w:bookmarkEnd w:id="7"/>
      <w:r w:rsidRPr="000E792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721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Emphasis"/>
              </w:rPr>
              <w:t>Elements describe the essential outcomes of a unit of competency</w:t>
            </w:r>
            <w:r w:rsidRPr="000E792B">
              <w:t>.</w:t>
            </w:r>
          </w:p>
        </w:tc>
        <w:tc>
          <w:tcPr>
            <w:tcW w:w="672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Emphasis"/>
              </w:rPr>
              <w:t>Performance Criteria describe the required performance needed to demonstrate achievement of the element</w:t>
            </w:r>
            <w:r w:rsidRPr="000E792B">
              <w:t xml:space="preserve">. </w:t>
            </w:r>
            <w:r w:rsidRPr="000E792B">
              <w:rPr>
                <w:rStyle w:val="Emphasis"/>
              </w:rPr>
              <w:t xml:space="preserve">Assessment </w:t>
            </w:r>
            <w:r w:rsidRPr="000E792B">
              <w:rPr>
                <w:rStyle w:val="Emphasis"/>
              </w:rPr>
              <w:t>of performance is to be consistent with the Evidence Guide</w:t>
            </w:r>
            <w:r w:rsidRPr="000E792B">
              <w:t>.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8" w:name="O_150694"/>
      <w:bookmarkEnd w:id="8"/>
      <w:r w:rsidRPr="000E79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187"/>
        <w:gridCol w:w="78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ELEMENT</w:t>
            </w:r>
          </w:p>
        </w:tc>
        <w:tc>
          <w:tcPr>
            <w:tcW w:w="662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PERFORMANCE CRITERIA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Monitor the condition of a small vessel up to 24 m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Work to monitor condition and seaworthiness of the vessel is planned and carried out in accordance with procedures and safety regulations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Where required, vessel is slipped as per standard operating procedures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Coverage and frequency of checks and inspections on the vessel complies with the procedures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d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Checks of the integrity of the vessel's hull are correctly carried out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e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Action taken in anticipation of environmental changes is timely and appropriate to the change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f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Action taken in emergency situations is appropriate to the significance of the situation and ensures maintenance of watertight integrity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g</w:t>
            </w:r>
          </w:p>
        </w:tc>
        <w:tc>
          <w:tcPr>
            <w:tcW w:w="62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Precautions are taken to ensure that vessel and on-board powered equipment is operated in accordance with manufacturer's instructions and regulations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65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Identify and explain the structural components and material of a small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Basic structural components are correctly identified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Reasons for deteriorated hull and fittings are identified and explained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8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</w:t>
            </w:r>
          </w:p>
        </w:tc>
        <w:tc>
          <w:tcPr>
            <w:tcW w:w="61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Basic understanding of the properties and application of common materials used in small vessel construction is demonstrated and applied when operating a small vessel</w:t>
            </w:r>
          </w:p>
        </w:tc>
      </w:tr>
    </w:tbl>
    <w:p w:rsidR="00000000" w:rsidRPr="000E792B" w:rsidP="000E79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"/>
        <w:gridCol w:w="1512"/>
        <w:gridCol w:w="455"/>
        <w:gridCol w:w="6200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ELEMENT</w:t>
            </w:r>
          </w:p>
        </w:tc>
        <w:tc>
          <w:tcPr>
            <w:tcW w:w="66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PERFORMANCE CRITERIA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3</w:t>
            </w:r>
          </w:p>
        </w:tc>
        <w:tc>
          <w:tcPr>
            <w:tcW w:w="151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Rectify identified problems with the condition of the vessel</w:t>
            </w:r>
          </w:p>
        </w:tc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Any deterioration of the vessel's hull or structure is identified either in the water or on a slipway and reported to relevant personnel and appropriate action is initiated to fix the identifie</w:t>
            </w:r>
            <w:r w:rsidRPr="000E792B">
              <w:t>d problem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Repairs and corrosion control are initiated and coordinated in accordance with procedures and manufacturer's instructions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Communication with others concerning the condition and seaworthiness of the vessel and related action is clear, concise and made at a suitable time and place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1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d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Records of problems identified and actions taken are complete, accurate and comply with requi</w:t>
            </w:r>
            <w:r w:rsidRPr="000E792B">
              <w:t>rements.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9" w:name="O_150695"/>
      <w:bookmarkEnd w:id="9"/>
      <w:r w:rsidRPr="000E792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102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REQUIRED KNOWLEDGE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Emphasis"/>
              </w:rPr>
              <w:t>This describes the knowledge required for this unit</w:t>
            </w:r>
            <w:r w:rsidRPr="000E792B">
              <w:t>.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Relevant State and Territory regulations applicable to small coastal vessels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Relevant OH&amp;S legislation and policies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Procedures for the checking and inspecting the seaworthiness of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Standard operating procedures for slipping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The principal stresses which act on the structure of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6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Principles and procedures to ensure the watertight integrity of hull of a small vessel up to 24 m in both normal and emergency situations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7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Damage control measures that may </w:t>
            </w:r>
            <w:r w:rsidRPr="000E792B">
              <w:t>be required to maintain the integrity of the hull in a range of typical emergency situations that could occur on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8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Procedures for the initiation and coordination of repair and/or replacement on board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9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Repairs and corrosion control measures, including surface preparation and painting and antifouling on small vessels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10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Safety, environmental and hazard control precautions and procedures relevant to inspection and maintenance operations, including recommended precautions as per Australian Standard on Entry into Confined Spaces (AS2865)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11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 basic understanding of the prop</w:t>
            </w:r>
            <w:r w:rsidRPr="000E792B">
              <w:t>erties and application of materials used in the construction of small vessels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12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Construction, layout and subdivision requirements of various types of small vessels up to 24 m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13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Records that must be maintained concerning the seaworthiness of</w:t>
            </w:r>
            <w:r w:rsidRPr="000E792B">
              <w:t xml:space="preserve"> a small vessel up to 24 m</w:t>
            </w:r>
          </w:p>
        </w:tc>
      </w:tr>
    </w:tbl>
    <w:p w:rsidR="00000000" w:rsidRPr="000E792B" w:rsidP="000E79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102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REQUIRED SKILLS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Emphasis"/>
              </w:rPr>
              <w:t>This describes the basic skills required for this unit</w:t>
            </w:r>
            <w:r w:rsidRPr="000E792B">
              <w:t>.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Use basic verbal communication skills required when monitoring the condition and seaworthiness of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Read, interpret and apply basic instructions, stability book, vessel plans and specifications relevant to monitoring the condition and seaworthiness of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Work safely and collaboratively with others when monitoring the condition a</w:t>
            </w:r>
            <w:r w:rsidRPr="000E792B">
              <w:t>nd seaworthiness of a small vessel up to 24 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Select and use equipment as per operating instructions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Recognise faulty equipment and components and take appropriate action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6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Recognise routine problems when monitoring the condition and seaworthiness of a small vessel up to 24 m and take appropriate action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7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Adapt to changes in equipment and procedures in the workplace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8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Follow required work schedule as per company requirement</w:t>
            </w:r>
            <w:r w:rsidRPr="000E792B">
              <w:t>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9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Follow all required OH&amp;S procedures and precautions when monitoring the condition and seaworthiness of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10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Secure a small vessel up to 24 m before it puts to sea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11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Slip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12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Check and inspect the seaworthiness and watertight integrity of a small vessel up to 24 m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10" w:name="O_150696"/>
      <w:bookmarkEnd w:id="10"/>
      <w:r w:rsidRPr="000E792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1"/>
        <w:gridCol w:w="359"/>
        <w:gridCol w:w="5515"/>
        <w:gridCol w:w="243"/>
        <w:gridCol w:w="146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9" w:type="dxa"/>
          <w:tblHeader/>
        </w:trPr>
        <w:tc>
          <w:tcPr>
            <w:tcW w:w="83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Evidence Guide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TDMMB4507A MONITOR CONDITION AND SEAWORTHINESS OF A SMALL VESSEL UP TO 24 METRES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85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Emphasis"/>
              </w:rPr>
              <w:t>The Evidence Guide provides ad</w:t>
            </w:r>
            <w:r w:rsidRPr="000E792B">
              <w:rPr>
                <w:rStyle w:val="Emphasis"/>
              </w:rPr>
              <w:t>vice on assessment and must be read in conjunction with the Performance Criteria</w:t>
            </w:r>
            <w:r w:rsidRPr="000E792B">
              <w:t xml:space="preserve">, </w:t>
            </w:r>
            <w:r w:rsidRPr="000E792B">
              <w:rPr>
                <w:rStyle w:val="Emphasis"/>
              </w:rPr>
              <w:t>Required Skills and Knowledge</w:t>
            </w:r>
            <w:r w:rsidRPr="000E792B">
              <w:t xml:space="preserve">, </w:t>
            </w:r>
            <w:r w:rsidRPr="000E792B">
              <w:rPr>
                <w:rStyle w:val="Emphasis"/>
              </w:rPr>
              <w:t>the Range Statement and the Assessment Guidelines for this Training Package</w:t>
            </w:r>
            <w:r w:rsidRPr="000E792B">
              <w:t>.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7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Assessment must confirm appropriate knowledge and skills to: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1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Monitor and evaluate the condition and seaworthiness of a small vessel up to 24 </w:t>
            </w:r>
            <w:r w:rsidRPr="000E792B">
              <w:t>m under both on the water and on a slip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1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Identify any deterioration of the vessel's hull, structure or equipment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</w:t>
            </w:r>
          </w:p>
        </w:tc>
        <w:tc>
          <w:tcPr>
            <w:tcW w:w="61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Take appropriate preventative and remedial action to maintain the security and watertight integrity of the vessel's hull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d</w:t>
            </w:r>
          </w:p>
        </w:tc>
        <w:tc>
          <w:tcPr>
            <w:tcW w:w="61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Initiate and coordinate maintenance, repair or replacement of faulty or damaged equipment or structure as per procedures and manufacturer's instructions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e</w:t>
            </w:r>
          </w:p>
        </w:tc>
        <w:tc>
          <w:tcPr>
            <w:tcW w:w="61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Exercise all required safety, environmental and hazard control precautions and procedures during </w:t>
            </w:r>
            <w:r w:rsidRPr="000E792B">
              <w:t>inspection and maintenance operations, including required precautions and procedures for entry into a confined space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6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f</w:t>
            </w:r>
          </w:p>
        </w:tc>
        <w:tc>
          <w:tcPr>
            <w:tcW w:w="61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Communicate effectively with others when taking action to maintain the seaworthiness of the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Performance is demonstrated consistently over a period of time and in a suitable range of contexts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Consistently applies underpinning knowledge and skills when: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carrying out routine and emergency monitoring of a small vessel's seaworthiness both on the water and during slipping of the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identifying and evaluating problems concerning the condition of a vessel and the integrity of its hull and determining suitable courses of action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initiating and coordinating any required repair or maintenance activities to ensure the seaworthiness of</w:t>
            </w:r>
            <w:r w:rsidRPr="000E792B">
              <w:t xml:space="preserve"> a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applying precautions during monitoring, repair and maintenance operations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Shows evidence of application of relevant workplace procedures, including: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relevant maritime regulations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OH&amp;S regulations and h</w:t>
            </w:r>
            <w:r w:rsidRPr="000E792B">
              <w:t xml:space="preserve">azard prevention policies and procedures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job procedures and work instructions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relevant manufacturer's guidelines relating to the seaworthiness the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procedures to protect the integrity and security of the vessel's hull</w:t>
            </w:r>
          </w:p>
        </w:tc>
      </w:tr>
    </w:tbl>
    <w:p w:rsidR="00000000" w:rsidRPr="000E792B" w:rsidP="000E79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1"/>
        <w:gridCol w:w="359"/>
        <w:gridCol w:w="358"/>
        <w:gridCol w:w="5157"/>
        <w:gridCol w:w="389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9" w:type="dxa"/>
          <w:tblHeader/>
        </w:trPr>
        <w:tc>
          <w:tcPr>
            <w:tcW w:w="83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Evidence Guide</w:t>
            </w:r>
            <w:r w:rsidRPr="000E792B">
              <w:t xml:space="preserve"> (</w:t>
            </w:r>
            <w:r w:rsidRPr="000E792B">
              <w:rPr>
                <w:rStyle w:val="SpecialBold"/>
              </w:rPr>
              <w:t>continued</w:t>
            </w:r>
            <w:r w:rsidRPr="000E792B">
              <w:t xml:space="preserve">) 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TDMMB4507A MONITOR CONDITION AND SEAWORTHINESS OF A SMALL VESSEL UP TO 24 METRES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Evidence required for demonstration of consistent performance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(</w:t>
            </w:r>
            <w:r w:rsidRPr="000E792B">
              <w:rPr>
                <w:rStyle w:val="SpecialBold"/>
              </w:rPr>
              <w:t>continued</w:t>
            </w:r>
            <w:r w:rsidRPr="000E792B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d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Action is taken promptly to report and/or rectify problems with the seaworthiness of a vessel and the integrity of its hull 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e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Work is completed systematically with required attention to detail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f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Recognises and adapts appropriately to cultural differences in the workplace, including modes of behaviour and interactions among crew and others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3</w:t>
            </w:r>
          </w:p>
        </w:tc>
        <w:tc>
          <w:tcPr>
            <w:tcW w:w="178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26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Assessment of competency must comply with the assessment requirements of the relevant maritime regulations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Assessment of this unit must be undertaken within relevant marine authority approved and audited arrangements by a registered training organisation: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As a minimum, assessment of knowledge must be conducted through appropriate written/oral examinations, and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Appropriate practical assessment must occur: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</w:t>
            </w:r>
          </w:p>
        </w:tc>
        <w:tc>
          <w:tcPr>
            <w:tcW w:w="5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at the registered training organisation; and/or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ii</w:t>
            </w:r>
          </w:p>
        </w:tc>
        <w:tc>
          <w:tcPr>
            <w:tcW w:w="55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on an appropriate working or training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4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Specific resources</w:t>
            </w:r>
          </w:p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required for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assessment</w:t>
            </w:r>
          </w:p>
        </w:tc>
        <w:tc>
          <w:tcPr>
            <w:tcW w:w="6624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Access is required to opportunities to: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participate in a range of exercises, case studies and other simulated practical and knowledge assessments that demonstrate the skills and knowledge to monitor the condition and the seaworthiness of a small vessel up to 24 m in a range of operational situat</w:t>
            </w:r>
            <w:r w:rsidRPr="000E792B">
              <w:t>ions; and/or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</w:t>
            </w:r>
          </w:p>
        </w:tc>
        <w:tc>
          <w:tcPr>
            <w:tcW w:w="62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assist in maintaining the seaworthiness of a vessel in a range of operational situations either: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using a suitable simulator over an appropriate range of simulated loading and operational situations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ii</w:t>
            </w:r>
          </w:p>
        </w:tc>
        <w:tc>
          <w:tcPr>
            <w:tcW w:w="590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in appropriate practical situations on an operational commercial or training small vessel up to 24 m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11" w:name="O_150697"/>
      <w:bookmarkEnd w:id="11"/>
      <w:r w:rsidRPr="000E792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8"/>
        <w:gridCol w:w="10"/>
        <w:gridCol w:w="5868"/>
        <w:gridCol w:w="164"/>
        <w:gridCol w:w="27"/>
        <w:gridCol w:w="52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43" w:type="dxa"/>
          <w:tblHeader/>
        </w:trPr>
        <w:tc>
          <w:tcPr>
            <w:tcW w:w="832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Range Statement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TDMMB4507A MONITOR CONDITION AND SEAWORTHINESS OF A SMALL VESSEL UP TO 24 METRES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2" w:type="dxa"/>
        </w:trPr>
        <w:tc>
          <w:tcPr>
            <w:tcW w:w="851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Emphasis"/>
              </w:rPr>
              <w:t>The Range Statement relates to the unit of competency as a whole</w:t>
            </w:r>
            <w:r w:rsidRPr="000E792B">
              <w:t xml:space="preserve">. </w:t>
            </w:r>
            <w:r w:rsidRPr="000E792B">
              <w:rPr>
                <w:rStyle w:val="Emphasis"/>
              </w:rPr>
              <w:t>It allows for different work environments and situations that may affect performance</w:t>
            </w:r>
            <w:r w:rsidRPr="000E792B">
              <w:t>.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2" w:type="dxa"/>
        </w:trPr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SCOPE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1</w:t>
            </w:r>
            <w:r w:rsidRPr="000E792B">
              <w:t>.</w:t>
            </w:r>
            <w:r w:rsidRPr="000E792B">
              <w:tab/>
            </w:r>
            <w:r w:rsidRPr="000E792B">
              <w:rPr>
                <w:rStyle w:val="SpecialBold"/>
              </w:rPr>
              <w:t>GENERAL CONTEXT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a</w:t>
            </w:r>
            <w:r w:rsidRPr="000E792B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Work must be carried out</w:t>
            </w:r>
            <w:r w:rsidRPr="000E792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11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in compliance with the relevant maritime regulations applicable to monitoring the condition and seaworthiness of a small vessel 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b</w:t>
            </w:r>
            <w:r w:rsidRPr="000E792B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Work is performed</w:t>
            </w:r>
            <w:r w:rsidRPr="000E792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11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within a defined range of operations and routine procedures, with responsibility for own outputs in relation to specified quality standards and some responsibility for others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c</w:t>
            </w:r>
            <w:r w:rsidRPr="000E792B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Work involves</w:t>
            </w:r>
            <w:r w:rsidRPr="000E792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11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the conduct of routine monitoring of condition and seaworthiness of a vessel and the specification of solutions to a defined range of typical problems concerning deterioration of a vessel's hull, structure and equipment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d</w:t>
            </w:r>
            <w:r w:rsidRPr="000E792B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Work requires</w:t>
            </w:r>
            <w:r w:rsidRPr="000E792B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11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some discretion and judgement in initiating action to report and rectify identified problems with the condition and seaworthiness of the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2</w:t>
            </w:r>
            <w:r w:rsidRPr="000E792B">
              <w:t>.</w:t>
            </w:r>
            <w:r w:rsidRPr="000E792B">
              <w:tab/>
            </w:r>
            <w:r w:rsidRPr="000E792B">
              <w:rPr>
                <w:rStyle w:val="SpecialBold"/>
              </w:rPr>
              <w:t>WORKSITE ENVIRONMENT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Vessel may include</w:t>
            </w:r>
            <w:r w:rsidRPr="000E792B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any small Australian commercial vesselup to 24 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Seaworthiness of a vessel must be maintained</w:t>
            </w:r>
            <w:r w:rsidRPr="000E792B">
              <w:t xml:space="preserve">: 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by day or night in both normal and emergency situations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under any possible conditions of sea, weather and loading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while underway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during berthing and unberthing operations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in port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6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in slip or dock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79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7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while anchoring or mooring</w:t>
            </w:r>
          </w:p>
        </w:tc>
      </w:tr>
    </w:tbl>
    <w:p w:rsidR="00000000" w:rsidRPr="000E792B" w:rsidP="000E79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8"/>
        <w:gridCol w:w="5878"/>
        <w:gridCol w:w="163"/>
        <w:gridCol w:w="36"/>
        <w:gridCol w:w="18"/>
        <w:gridCol w:w="26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43" w:type="dxa"/>
          <w:tblHeader/>
        </w:trPr>
        <w:tc>
          <w:tcPr>
            <w:tcW w:w="83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Range Statement</w:t>
            </w:r>
            <w:r w:rsidRPr="000E792B">
              <w:t xml:space="preserve"> (</w:t>
            </w:r>
            <w:r w:rsidRPr="000E792B">
              <w:rPr>
                <w:rStyle w:val="SpecialBold"/>
              </w:rPr>
              <w:t>continued</w:t>
            </w:r>
            <w:r w:rsidRPr="000E792B">
              <w:t xml:space="preserve">) 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TDMMB4507A MONITOR CONDITION AND SEAWORTHINESS OF A SMALL VESSEL UP TO 24 METRES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VARIABLE</w:t>
            </w:r>
          </w:p>
        </w:tc>
        <w:tc>
          <w:tcPr>
            <w:tcW w:w="647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SCOPE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Action taken to monitor the condition and seaworthiness of a small vessel up to 24 m</w:t>
            </w:r>
            <w:r w:rsidRPr="000E792B">
              <w:t xml:space="preserve"> (</w:t>
            </w:r>
            <w:r w:rsidRPr="000E792B">
              <w:rPr>
                <w:rStyle w:val="SpecialBold"/>
              </w:rPr>
              <w:t>within limits of responsibility</w:t>
            </w:r>
            <w:r w:rsidRPr="000E792B">
              <w:t xml:space="preserve">) </w:t>
            </w:r>
            <w:r w:rsidRPr="000E792B">
              <w:rPr>
                <w:rStyle w:val="SpecialBold"/>
              </w:rPr>
              <w:t>may include</w:t>
            </w:r>
            <w:r w:rsidRPr="000E792B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routine inspections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checks prior to departure 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checks on completion of a voyage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checks on completion of maintenance activities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checks in anticipation of a change in sea and weather conditions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6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testing of tanks to check watertight integrity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7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checks during an emergency which may have caused damage or changes to the seaworthiness of the vessel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Repair and maintenance procedures for a small vessel up to 24 m</w:t>
            </w:r>
            <w:r w:rsidRPr="000E792B">
              <w:t xml:space="preserve"> (</w:t>
            </w:r>
            <w:r w:rsidRPr="000E792B">
              <w:rPr>
                <w:rStyle w:val="SpecialBold"/>
              </w:rPr>
              <w:t>within limits of responsibility</w:t>
            </w:r>
            <w:r w:rsidRPr="000E792B">
              <w:t xml:space="preserve">) </w:t>
            </w:r>
            <w:r w:rsidRPr="000E792B">
              <w:rPr>
                <w:rStyle w:val="SpecialBold"/>
              </w:rPr>
              <w:t>may include</w:t>
            </w:r>
            <w:r w:rsidRPr="000E792B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repairs to equipment, componen</w:t>
            </w:r>
            <w:r w:rsidRPr="000E792B">
              <w:t xml:space="preserve">ts, hull and vessel's structure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surface preparation and painting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antifouling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lubrication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replacement of faulty equipment or components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8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6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preparations and precautions prior to entry into any confined space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Sources of information and documentation may include</w:t>
            </w:r>
            <w:r w:rsidRPr="000E792B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relevant maritime regulations applicable to monitoring the condition and seaworthiness of a small vessel up to 24 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procedures for monitoring of condition and seaworthiness of small vessels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3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vessel and equipment manufacturer's instructions, plans, specifications and recommended procedures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4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vessel stability book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5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vessel survey documentation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6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safety management system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7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instructions of relevant maritime authorities related to the seaworthiness of small vessels up to 24 m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8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maintenance schedules and records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9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relevant codes of practice</w:t>
            </w:r>
          </w:p>
        </w:tc>
      </w:tr>
    </w:tbl>
    <w:p w:rsidR="00000000" w:rsidRPr="000E792B" w:rsidP="000E792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8"/>
        <w:gridCol w:w="5879"/>
        <w:gridCol w:w="200"/>
        <w:gridCol w:w="43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43" w:type="dxa"/>
          <w:tblHeader/>
        </w:trPr>
        <w:tc>
          <w:tcPr>
            <w:tcW w:w="83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Range Statement</w:t>
            </w:r>
            <w:r w:rsidRPr="000E792B">
              <w:t xml:space="preserve"> (</w:t>
            </w:r>
            <w:r w:rsidRPr="000E792B">
              <w:rPr>
                <w:rStyle w:val="SpecialBold"/>
              </w:rPr>
              <w:t>continued</w:t>
            </w:r>
            <w:r w:rsidRPr="000E792B">
              <w:t>)</w:t>
            </w: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TDMMB4507A MONITOR CONDITION AND SEAWORTHINESS OF A SMALL VESSEL UP TO 24 METRES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RPr="000E792B" w:rsidP="000E792B">
            <w:pPr>
              <w:pStyle w:val="BodyText"/>
            </w:pPr>
            <w:r w:rsidRPr="000E792B">
              <w:rPr>
                <w:rStyle w:val="SpecialBold"/>
              </w:rPr>
              <w:t>VARIABLE</w:t>
            </w:r>
          </w:p>
        </w:tc>
        <w:tc>
          <w:tcPr>
            <w:tcW w:w="648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SCOPE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Applicable regulations and legislation may include</w:t>
            </w:r>
            <w:r w:rsidRPr="000E792B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1</w:t>
            </w:r>
          </w:p>
        </w:tc>
        <w:tc>
          <w:tcPr>
            <w:tcW w:w="60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</w:p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 xml:space="preserve">relevant sections of NSCV and regulations of State and Territory marine authorities related to the operation of a small vessel up to 24 m  </w:t>
            </w:r>
          </w:p>
        </w:tc>
      </w:tr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t>2</w:t>
            </w:r>
          </w:p>
        </w:tc>
        <w:tc>
          <w:tcPr>
            <w:tcW w:w="60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relevant Commonwealth, State and Territory OH&amp;S legislation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12" w:name="O_150698"/>
      <w:bookmarkEnd w:id="12"/>
      <w:r w:rsidRPr="000E792B">
        <w:t>Unit Sector(s)</w:t>
      </w:r>
    </w:p>
    <w:p w:rsidR="00000000" w:rsidRPr="000E792B" w:rsidP="000E792B">
      <w:pPr>
        <w:pStyle w:val="BodyText"/>
      </w:pPr>
      <w:r w:rsidRPr="000E792B">
        <w:t>Not applicable.</w:t>
      </w:r>
    </w:p>
    <w:p w:rsidR="00000000" w:rsidRPr="000E792B" w:rsidP="000E792B">
      <w:pPr>
        <w:pStyle w:val="AllowPageBreak"/>
      </w:pPr>
    </w:p>
    <w:p w:rsidR="00000000" w:rsidRPr="000E792B" w:rsidP="000E792B">
      <w:pPr>
        <w:pStyle w:val="Heading1"/>
      </w:pPr>
      <w:bookmarkStart w:id="13" w:name="O_163680"/>
      <w:bookmarkEnd w:id="13"/>
      <w:r w:rsidRPr="000E792B">
        <w:t>Field</w:t>
      </w:r>
    </w:p>
    <w:p w:rsidR="00884F80" w:rsidP="000E792B">
      <w:pPr>
        <w:pStyle w:val="BodyText"/>
      </w:pPr>
      <w:r w:rsidRPr="000E792B">
        <w:t>Field</w:t>
      </w:r>
      <w:r w:rsidRPr="000E792B">
        <w:tab/>
        <w:t xml:space="preserve"> B</w:t>
      </w:r>
      <w:r w:rsidRPr="000E792B">
        <w:tab/>
        <w:t>Equipment Checking and Maintenance</w:t>
      </w:r>
    </w:p>
    <w:p w:rsidR="00884F80" w:rsidP="000E792B">
      <w:pPr>
        <w:pStyle w:val="BodyText"/>
      </w:pPr>
    </w:p>
    <w:p w:rsidR="00000000" w:rsidRPr="000E792B" w:rsidP="000E792B">
      <w:pPr>
        <w:pStyle w:val="Heading1"/>
      </w:pPr>
      <w:bookmarkStart w:id="14" w:name="O_163681"/>
      <w:bookmarkEnd w:id="14"/>
      <w:r w:rsidRPr="000E792B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884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92B">
            <w:pPr>
              <w:pStyle w:val="BodyText"/>
              <w:rPr>
                <w:lang w:val="en-NZ"/>
              </w:rPr>
            </w:pPr>
            <w:r w:rsidRPr="000E792B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92B" w:rsidP="000E792B">
            <w:pPr>
              <w:pStyle w:val="BodyText"/>
            </w:pPr>
            <w:r w:rsidRPr="000E792B">
              <w:t>The unit may be assessed in conjunction with other units that relate to the functions of the occupation(s) concerned</w:t>
            </w:r>
            <w:r w:rsidRPr="000E792B">
              <w:t>.</w:t>
            </w:r>
          </w:p>
        </w:tc>
      </w:tr>
    </w:tbl>
    <w:p w:rsidR="00000000" w:rsidRPr="000E792B" w:rsidP="000E792B">
      <w:pPr>
        <w:pStyle w:val="BodyText"/>
      </w:pPr>
    </w:p>
    <w:p w:rsidR="00000000" w:rsidRPr="000E792B" w:rsidP="000E792B"/>
    <w:sectPr w:rsidSect="000E79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84F80" w:rsidP="00884F8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80" w:rsidP="000E7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84F80" w:rsidP="000E7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84F80" w:rsidP="000E792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2B" w:rsidRPr="00884F80" w:rsidP="00884F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F80" w:rsidRPr="002D2AF8" w:rsidP="000E7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TDMMB4507A MONITOR CONDITION AND SEAWORTHINESS OF A SMALL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884F80" w:rsidP="000E7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92B"/>
  </w:style>
  <w:style w:type="character" w:customStyle="1" w:styleId="Heading1Char">
    <w:name w:val="Heading 1 Char"/>
    <w:basedOn w:val="DefaultParagraphFont"/>
    <w:link w:val="Heading1"/>
    <w:rsid w:val="000E7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9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92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E7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92B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0E792B"/>
    <w:rPr>
      <w:b/>
      <w:spacing w:val="0"/>
    </w:rPr>
  </w:style>
  <w:style w:type="character" w:styleId="Emphasis">
    <w:name w:val="Emphasis"/>
    <w:basedOn w:val="DefaultParagraphFont"/>
    <w:qFormat/>
    <w:rsid w:val="000E792B"/>
    <w:rPr>
      <w:i/>
    </w:rPr>
  </w:style>
  <w:style w:type="paragraph" w:customStyle="1" w:styleId="SuperHeading">
    <w:name w:val="SuperHeading"/>
    <w:basedOn w:val="Normal"/>
    <w:rsid w:val="000E792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E7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E7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9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9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7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9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9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92B"/>
  </w:style>
  <w:style w:type="paragraph" w:styleId="TableofFigures">
    <w:name w:val="table of figures"/>
    <w:basedOn w:val="Normal"/>
    <w:next w:val="Normal"/>
    <w:semiHidden/>
    <w:rsid w:val="000E7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92B"/>
    <w:pPr>
      <w:numPr>
        <w:numId w:val="9"/>
      </w:numPr>
    </w:pPr>
  </w:style>
  <w:style w:type="character" w:customStyle="1" w:styleId="WingdingSymbols">
    <w:name w:val="Wingding Symbols"/>
    <w:rsid w:val="000E792B"/>
    <w:rPr>
      <w:rFonts w:ascii="Wingdings" w:hAnsi="Wingdings"/>
    </w:rPr>
  </w:style>
  <w:style w:type="paragraph" w:customStyle="1" w:styleId="TableHeading">
    <w:name w:val="Table Heading"/>
    <w:basedOn w:val="HeadingBase"/>
    <w:rsid w:val="000E7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92B"/>
    <w:rPr>
      <w:color w:val="0033CC"/>
      <w:u w:val="none"/>
    </w:rPr>
  </w:style>
  <w:style w:type="paragraph" w:customStyle="1" w:styleId="BodyTextRight">
    <w:name w:val="Body Text Right"/>
    <w:basedOn w:val="BodyText"/>
    <w:rsid w:val="000E7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9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92B"/>
    <w:rPr>
      <w:sz w:val="32"/>
    </w:rPr>
  </w:style>
  <w:style w:type="paragraph" w:customStyle="1" w:styleId="HeadingProcedure">
    <w:name w:val="Heading Procedure"/>
    <w:basedOn w:val="HeadingBase"/>
    <w:next w:val="Normal"/>
    <w:rsid w:val="000E7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92B"/>
    <w:pPr>
      <w:spacing w:before="60" w:after="60"/>
    </w:pPr>
  </w:style>
  <w:style w:type="paragraph" w:styleId="ListContinue">
    <w:name w:val="List Continue"/>
    <w:basedOn w:val="List"/>
    <w:rsid w:val="000E792B"/>
    <w:pPr>
      <w:ind w:firstLine="0"/>
    </w:pPr>
  </w:style>
  <w:style w:type="paragraph" w:customStyle="1" w:styleId="ListNote">
    <w:name w:val="List Note"/>
    <w:basedOn w:val="List"/>
    <w:rsid w:val="000E7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92B"/>
    <w:rPr>
      <w:rFonts w:ascii="Courier New" w:hAnsi="Courier New"/>
    </w:rPr>
  </w:style>
  <w:style w:type="paragraph" w:customStyle="1" w:styleId="NoteBullet">
    <w:name w:val="Note Bullet"/>
    <w:basedOn w:val="Note"/>
    <w:rsid w:val="000E7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9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92B"/>
    <w:rPr>
      <w:b/>
      <w:smallCaps/>
    </w:rPr>
  </w:style>
  <w:style w:type="paragraph" w:customStyle="1" w:styleId="TableListNumber">
    <w:name w:val="Table List Number"/>
    <w:basedOn w:val="ListNumber"/>
    <w:rsid w:val="000E7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92B"/>
    <w:pPr>
      <w:numPr>
        <w:numId w:val="7"/>
      </w:numPr>
    </w:pPr>
  </w:style>
  <w:style w:type="paragraph" w:customStyle="1" w:styleId="ListAlpha2">
    <w:name w:val="List Alpha 2"/>
    <w:basedOn w:val="List2"/>
    <w:rsid w:val="000E792B"/>
    <w:pPr>
      <w:numPr>
        <w:numId w:val="6"/>
      </w:numPr>
    </w:pPr>
  </w:style>
  <w:style w:type="paragraph" w:styleId="List2">
    <w:name w:val="List 2"/>
    <w:basedOn w:val="BodyText"/>
    <w:rsid w:val="000E7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9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92B"/>
    <w:pPr>
      <w:numPr>
        <w:numId w:val="1"/>
      </w:numPr>
    </w:pPr>
  </w:style>
  <w:style w:type="paragraph" w:styleId="ListBullet5">
    <w:name w:val="List Bullet 5"/>
    <w:basedOn w:val="List5"/>
    <w:rsid w:val="000E792B"/>
    <w:pPr>
      <w:numPr>
        <w:numId w:val="2"/>
      </w:numPr>
    </w:pPr>
  </w:style>
  <w:style w:type="paragraph" w:styleId="ListContinue2">
    <w:name w:val="List Continue 2"/>
    <w:basedOn w:val="List2"/>
    <w:rsid w:val="000E792B"/>
    <w:pPr>
      <w:ind w:firstLine="0"/>
    </w:pPr>
  </w:style>
  <w:style w:type="paragraph" w:styleId="ListContinue3">
    <w:name w:val="List Continue 3"/>
    <w:basedOn w:val="List3"/>
    <w:rsid w:val="000E792B"/>
    <w:pPr>
      <w:ind w:left="1021" w:firstLine="0"/>
    </w:pPr>
  </w:style>
  <w:style w:type="paragraph" w:styleId="ListContinue4">
    <w:name w:val="List Continue 4"/>
    <w:basedOn w:val="List4"/>
    <w:rsid w:val="000E792B"/>
    <w:pPr>
      <w:ind w:firstLine="0"/>
    </w:pPr>
  </w:style>
  <w:style w:type="paragraph" w:styleId="ListContinue5">
    <w:name w:val="List Continue 5"/>
    <w:basedOn w:val="List5"/>
    <w:rsid w:val="000E792B"/>
    <w:pPr>
      <w:ind w:firstLine="0"/>
    </w:pPr>
  </w:style>
  <w:style w:type="paragraph" w:styleId="ListNumber3">
    <w:name w:val="List Number 3"/>
    <w:basedOn w:val="List3"/>
    <w:rsid w:val="000E792B"/>
    <w:pPr>
      <w:numPr>
        <w:numId w:val="3"/>
      </w:numPr>
    </w:pPr>
  </w:style>
  <w:style w:type="paragraph" w:styleId="ListNumber4">
    <w:name w:val="List Number 4"/>
    <w:basedOn w:val="List4"/>
    <w:rsid w:val="000E792B"/>
    <w:pPr>
      <w:numPr>
        <w:numId w:val="4"/>
      </w:numPr>
    </w:pPr>
  </w:style>
  <w:style w:type="paragraph" w:styleId="ListNumber5">
    <w:name w:val="List Number 5"/>
    <w:basedOn w:val="List5"/>
    <w:rsid w:val="000E792B"/>
    <w:pPr>
      <w:numPr>
        <w:numId w:val="5"/>
      </w:numPr>
    </w:pPr>
  </w:style>
  <w:style w:type="paragraph" w:styleId="BlockText">
    <w:name w:val="Block Text"/>
    <w:basedOn w:val="Normal"/>
    <w:rsid w:val="000E7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92B"/>
    <w:rPr>
      <w:sz w:val="16"/>
      <w:vertAlign w:val="superscript"/>
    </w:rPr>
  </w:style>
  <w:style w:type="character" w:customStyle="1" w:styleId="Symbols">
    <w:name w:val="Symbols"/>
    <w:basedOn w:val="DefaultParagraphFont"/>
    <w:rsid w:val="000E792B"/>
    <w:rPr>
      <w:rFonts w:ascii="Symbol" w:hAnsi="Symbol"/>
    </w:rPr>
  </w:style>
  <w:style w:type="character" w:customStyle="1" w:styleId="MenuOptions">
    <w:name w:val="Menu Options"/>
    <w:basedOn w:val="DefaultParagraphFont"/>
    <w:rsid w:val="000E7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92B"/>
    <w:rPr>
      <w:b/>
    </w:rPr>
  </w:style>
  <w:style w:type="character" w:customStyle="1" w:styleId="Underlined">
    <w:name w:val="Underlined"/>
    <w:basedOn w:val="DefaultParagraphFont"/>
    <w:rsid w:val="000E792B"/>
    <w:rPr>
      <w:u w:val="single"/>
    </w:rPr>
  </w:style>
  <w:style w:type="paragraph" w:customStyle="1" w:styleId="TableBodyTextRight">
    <w:name w:val="Table Body Text Right"/>
    <w:basedOn w:val="TableBodyText"/>
    <w:rsid w:val="000E7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92B"/>
    <w:rPr>
      <w:sz w:val="18"/>
    </w:rPr>
  </w:style>
  <w:style w:type="paragraph" w:customStyle="1" w:styleId="BodySmallRight">
    <w:name w:val="Body Small Right"/>
    <w:basedOn w:val="BodyTextRight"/>
    <w:rsid w:val="000E792B"/>
    <w:rPr>
      <w:sz w:val="18"/>
      <w:szCs w:val="18"/>
    </w:rPr>
  </w:style>
  <w:style w:type="paragraph" w:customStyle="1" w:styleId="MarginEdition">
    <w:name w:val="Margin Edition"/>
    <w:basedOn w:val="MarginNote"/>
    <w:rsid w:val="000E7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92B"/>
    <w:rPr>
      <w:sz w:val="2"/>
      <w:szCs w:val="2"/>
    </w:rPr>
  </w:style>
  <w:style w:type="character" w:customStyle="1" w:styleId="Small">
    <w:name w:val="Small"/>
    <w:basedOn w:val="DefaultParagraphFont"/>
    <w:rsid w:val="000E792B"/>
    <w:rPr>
      <w:sz w:val="16"/>
    </w:rPr>
  </w:style>
  <w:style w:type="paragraph" w:customStyle="1" w:styleId="WideTable">
    <w:name w:val="Wide Table"/>
    <w:basedOn w:val="Normal"/>
    <w:rsid w:val="000E7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92B"/>
  </w:style>
  <w:style w:type="paragraph" w:styleId="Quote">
    <w:name w:val="Quote"/>
    <w:basedOn w:val="Heading1"/>
    <w:link w:val="QuoteChar"/>
    <w:qFormat/>
    <w:rsid w:val="000E7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92B"/>
    <w:pPr>
      <w:pageBreakBefore/>
    </w:pPr>
  </w:style>
  <w:style w:type="paragraph" w:customStyle="1" w:styleId="Border">
    <w:name w:val="Border"/>
    <w:basedOn w:val="Normal"/>
    <w:qFormat/>
    <w:rsid w:val="000E7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92B"/>
    <w:rPr>
      <w:u w:val="single"/>
    </w:rPr>
  </w:style>
  <w:style w:type="character" w:customStyle="1" w:styleId="BoldandItalics">
    <w:name w:val="Bold and Italics"/>
    <w:qFormat/>
    <w:rsid w:val="000E792B"/>
    <w:rPr>
      <w:b/>
      <w:i/>
      <w:u w:val="none"/>
    </w:rPr>
  </w:style>
  <w:style w:type="paragraph" w:styleId="BalloonText">
    <w:name w:val="Balloon Text"/>
    <w:basedOn w:val="Normal"/>
    <w:link w:val="BalloonTextChar"/>
    <w:rsid w:val="000E7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9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9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2155</Words>
  <Characters>11882</Characters>
  <Application>Microsoft Office Word</Application>
  <DocSecurity>0</DocSecurity>
  <Lines>723</Lines>
  <Paragraphs>313</Paragraphs>
  <ScaleCrop>false</ScaleCrop>
  <Company>Author-it Software Corporation Ltd.</Company>
  <LinksUpToDate>false</LinksUpToDate>
  <CharactersWithSpaces>13744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TDMMB4507A MONITOR CONDITION AND SEAWORTHINESS OF A SMALL VESSEL UP TO 24 METRES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2012-10-11T21:03:00Z</dcterms:created>
  <dcterms:modified xsi:type="dcterms:W3CDTF">2012-10-11T21:03:00Z</dcterms:modified>
</cp:coreProperties>
</file>