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78B" w:rsidP="0036078B">
      <w:pPr>
        <w:pStyle w:val="Title"/>
      </w:pPr>
      <w:r>
        <w:fldChar w:fldCharType="begin"/>
      </w:r>
      <w:r>
        <w:instrText xml:space="preserve"> TITLE   \* MERGEFORMAT </w:instrText>
      </w:r>
      <w:r>
        <w:fldChar w:fldCharType="separate"/>
      </w:r>
      <w:r>
        <w:t>TDMMB3807B DISMANTLE, INSPECT, REPAIR AND REASSEMBLE VESSEL MACHINERY</w:t>
      </w:r>
      <w:r>
        <w:fldChar w:fldCharType="end"/>
      </w:r>
    </w:p>
    <w:p w:rsidR="0036078B" w:rsidP="0036078B">
      <w:pPr>
        <w:pStyle w:val="Version"/>
        <w:sectPr w:rsidSect="00CF1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1787" w:rsidP="00CF1787">
      <w:pPr>
        <w:pStyle w:val="SuperHeading"/>
      </w:pPr>
      <w:r w:rsidRPr="00CF1787">
        <w:t>TDMMB3807B DISMANTLE, INSPECT, REPAIR AND REASSEMBLE VESSEL MACHINERY</w:t>
      </w:r>
    </w:p>
    <w:p w:rsidR="00000000" w:rsidRPr="00CF1787" w:rsidP="00CF1787">
      <w:pPr>
        <w:pStyle w:val="SuperHeading"/>
      </w:pPr>
    </w:p>
    <w:p w:rsidR="00000000" w:rsidRPr="00CF1787" w:rsidP="00CF1787">
      <w:pPr>
        <w:pStyle w:val="Heading1"/>
      </w:pPr>
      <w:bookmarkStart w:id="1" w:name="O_150603"/>
      <w:bookmarkEnd w:id="1"/>
      <w:r w:rsidRPr="00CF1787">
        <w:t>Modification History</w:t>
      </w:r>
    </w:p>
    <w:p w:rsidR="00000000" w:rsidRPr="00CF1787" w:rsidP="00CF1787">
      <w:pPr>
        <w:pStyle w:val="BodyText"/>
      </w:pPr>
      <w:r w:rsidRPr="00CF1787">
        <w:t>Not applicable.</w:t>
      </w:r>
    </w:p>
    <w:p w:rsidR="00000000" w:rsidRPr="00CF1787" w:rsidP="00CF1787">
      <w:pPr>
        <w:pStyle w:val="AllowPageBreak"/>
      </w:pPr>
    </w:p>
    <w:p w:rsidR="00000000" w:rsidRPr="00CF1787" w:rsidP="00CF1787">
      <w:pPr>
        <w:pStyle w:val="Heading1"/>
      </w:pPr>
      <w:bookmarkStart w:id="2" w:name="O_150604"/>
      <w:bookmarkEnd w:id="2"/>
      <w:r w:rsidRPr="00CF1787">
        <w:t>Unit Descriptor</w:t>
      </w:r>
    </w:p>
    <w:tbl>
      <w:tblPr>
        <w:tblW w:w="0" w:type="auto"/>
        <w:tblLayout w:type="fixed"/>
        <w:tblCellMar>
          <w:left w:w="62" w:type="dxa"/>
          <w:right w:w="62" w:type="dxa"/>
        </w:tblCellMar>
        <w:tblLook w:val="0000"/>
      </w:tblPr>
      <w:tblGrid>
        <w:gridCol w:w="1974"/>
        <w:gridCol w:w="6481"/>
      </w:tblGrid>
      <w:tr w:rsidTr="0036078B">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t>UNIT DESCRIPTOR:</w:t>
            </w:r>
          </w:p>
          <w:p w:rsidR="00000000" w:rsidP="00CF1787">
            <w:pPr>
              <w:pStyle w:val="BodyText"/>
              <w:rPr>
                <w:lang w:val="en-NZ"/>
              </w:rPr>
            </w:pPr>
            <w:r w:rsidRPr="00CF1787">
              <w:rPr>
                <w:rStyle w:val="SpecialBold"/>
              </w:rPr>
              <w:t>This unit involves the skills and knowledge required of an Engineer Class 3 to</w:t>
            </w:r>
            <w:r w:rsidRPr="00CF1787">
              <w:rPr>
                <w:rStyle w:val="SpecialBold"/>
              </w:rPr>
              <w:t xml:space="preserve"> dismantle</w:t>
            </w:r>
            <w:r w:rsidRPr="00CF1787">
              <w:t xml:space="preserve">, </w:t>
            </w:r>
            <w:r w:rsidRPr="00CF1787">
              <w:rPr>
                <w:rStyle w:val="SpecialBold"/>
              </w:rPr>
              <w:t>inspect</w:t>
            </w:r>
            <w:r w:rsidRPr="00CF1787">
              <w:t xml:space="preserve">, </w:t>
            </w:r>
            <w:r w:rsidRPr="00CF1787">
              <w:rPr>
                <w:rStyle w:val="SpecialBold"/>
              </w:rPr>
              <w:t>repair and reassemble machinery as may be required on commercial vessels powered by main propulsion machinery of less than 3</w:t>
            </w:r>
            <w:r w:rsidRPr="00CF1787">
              <w:t>,</w:t>
            </w:r>
            <w:r w:rsidRPr="00CF1787">
              <w:rPr>
                <w:rStyle w:val="SpecialBold"/>
              </w:rPr>
              <w:t>000 kW of propulsion power within offshore limits</w:t>
            </w:r>
            <w:r w:rsidRPr="00CF1787">
              <w:t>.</w:t>
            </w:r>
          </w:p>
        </w:tc>
      </w:tr>
      <w:tr w:rsidTr="0036078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CF1787" w:rsidP="00CF1787">
            <w:pPr>
              <w:pStyle w:val="BodyText"/>
            </w:pP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3" w:name="O_150605"/>
      <w:bookmarkEnd w:id="3"/>
      <w:r w:rsidRPr="00CF1787">
        <w:t>Application of the Unit</w:t>
      </w:r>
    </w:p>
    <w:tbl>
      <w:tblPr>
        <w:tblW w:w="0" w:type="auto"/>
        <w:tblLayout w:type="fixed"/>
        <w:tblCellMar>
          <w:left w:w="62" w:type="dxa"/>
          <w:right w:w="62" w:type="dxa"/>
        </w:tblCellMar>
        <w:tblLook w:val="0000"/>
      </w:tblPr>
      <w:tblGrid>
        <w:gridCol w:w="1974"/>
        <w:gridCol w:w="6481"/>
      </w:tblGrid>
      <w:tr w:rsidTr="0036078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t xml:space="preserve">The unit has applications in the qualification for an Engineer Class 3 as per relevant sections of Part D of the National Standard for Commercial </w:t>
            </w:r>
            <w:r w:rsidRPr="00CF1787">
              <w:t>Vessels (NSCV) (i.e. Diploma of Transport&amp;Distribution (Coastal Marine Engineering - Engineer Class 3).</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4" w:name="O_150606"/>
      <w:bookmarkEnd w:id="4"/>
      <w:r w:rsidRPr="00CF1787">
        <w:t>Licensing/Regulatory Information</w:t>
      </w:r>
    </w:p>
    <w:tbl>
      <w:tblPr>
        <w:tblW w:w="0" w:type="auto"/>
        <w:tblLayout w:type="fixed"/>
        <w:tblCellMar>
          <w:left w:w="62" w:type="dxa"/>
          <w:right w:w="62" w:type="dxa"/>
        </w:tblCellMar>
        <w:tblLook w:val="0000"/>
      </w:tblPr>
      <w:tblGrid>
        <w:gridCol w:w="1974"/>
        <w:gridCol w:w="6481"/>
      </w:tblGrid>
      <w:tr w:rsidTr="0036078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Licensing</w:t>
            </w:r>
            <w:r w:rsidRPr="00CF1787">
              <w:t>/</w:t>
            </w:r>
            <w:r w:rsidRPr="00CF1787">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t>The uni</w:t>
            </w:r>
            <w:r w:rsidRPr="00CF1787">
              <w:t>t is consistent with the relevant sections of State and Territory maritime regulations and NSCV/USL Code for an Engineer Class 3.</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5" w:name="O_150607"/>
      <w:bookmarkEnd w:id="5"/>
      <w:r w:rsidRPr="00CF1787">
        <w:t>Pre-Requisites</w:t>
      </w:r>
    </w:p>
    <w:p w:rsidR="00000000" w:rsidRPr="00CF1787" w:rsidP="00CF1787">
      <w:pPr>
        <w:pStyle w:val="BodyText"/>
      </w:pPr>
      <w:r w:rsidRPr="00CF1787">
        <w:t>Not applicable.</w:t>
      </w:r>
    </w:p>
    <w:p w:rsidR="00000000" w:rsidRPr="00CF1787" w:rsidP="00CF1787">
      <w:pPr>
        <w:pStyle w:val="AllowPageBreak"/>
      </w:pPr>
    </w:p>
    <w:p w:rsidR="00000000" w:rsidRPr="00CF1787" w:rsidP="00CF1787">
      <w:pPr>
        <w:pStyle w:val="Heading1"/>
      </w:pPr>
      <w:bookmarkStart w:id="6" w:name="O_150608"/>
      <w:bookmarkEnd w:id="6"/>
      <w:r w:rsidRPr="00CF1787">
        <w:t>Employability Skills Information</w:t>
      </w:r>
    </w:p>
    <w:p w:rsidR="00000000" w:rsidRPr="00CF1787" w:rsidP="00CF1787">
      <w:pPr>
        <w:pStyle w:val="BodyText"/>
      </w:pPr>
      <w:r w:rsidRPr="00CF1787">
        <w:t>Not applicable.</w:t>
      </w:r>
    </w:p>
    <w:p w:rsidR="00000000" w:rsidRPr="00CF1787" w:rsidP="00CF1787">
      <w:pPr>
        <w:pStyle w:val="AllowPageBreak"/>
      </w:pPr>
    </w:p>
    <w:p w:rsidR="00000000" w:rsidRPr="00CF1787" w:rsidP="00CF1787">
      <w:pPr>
        <w:pStyle w:val="Heading1"/>
      </w:pPr>
      <w:bookmarkStart w:id="7" w:name="O_150609"/>
      <w:bookmarkEnd w:id="7"/>
      <w:r w:rsidRPr="00CF1787">
        <w:t>Elements and Performance Criteria Pre-Content</w:t>
      </w:r>
    </w:p>
    <w:tbl>
      <w:tblPr>
        <w:tblW w:w="0" w:type="auto"/>
        <w:tblLayout w:type="fixed"/>
        <w:tblCellMar>
          <w:left w:w="62" w:type="dxa"/>
          <w:right w:w="62" w:type="dxa"/>
        </w:tblCellMar>
        <w:tblLook w:val="0000"/>
      </w:tblPr>
      <w:tblGrid>
        <w:gridCol w:w="1946"/>
        <w:gridCol w:w="6509"/>
      </w:tblGrid>
      <w:tr w:rsidTr="0036078B">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CF1787" w:rsidP="00CF1787">
            <w:pPr>
              <w:pStyle w:val="BodyText"/>
            </w:pPr>
            <w:r w:rsidRPr="00CF1787">
              <w:rPr>
                <w:rStyle w:val="Emphasis"/>
              </w:rPr>
              <w:t>Elements describe the essential outcomes of a unit of competency</w:t>
            </w:r>
            <w:r w:rsidRPr="00CF1787">
              <w:t>.</w:t>
            </w:r>
          </w:p>
        </w:tc>
        <w:tc>
          <w:tcPr>
            <w:tcW w:w="6509" w:type="dxa"/>
            <w:tcBorders>
              <w:top w:val="single" w:sz="6" w:space="0" w:color="auto"/>
              <w:left w:val="single" w:sz="6" w:space="0" w:color="auto"/>
              <w:bottom w:val="nil"/>
              <w:right w:val="nil"/>
            </w:tcBorders>
            <w:tcMar>
              <w:top w:w="0" w:type="dxa"/>
              <w:left w:w="62" w:type="dxa"/>
              <w:bottom w:w="0" w:type="dxa"/>
              <w:right w:w="62" w:type="dxa"/>
            </w:tcMar>
          </w:tcPr>
          <w:p w:rsidR="00000000" w:rsidRPr="00CF1787" w:rsidP="00CF1787">
            <w:pPr>
              <w:pStyle w:val="BodyText"/>
            </w:pPr>
            <w:r w:rsidRPr="00CF1787">
              <w:rPr>
                <w:rStyle w:val="Emphasis"/>
              </w:rPr>
              <w:t>Performance Criteria describe the required performance needed to demonstrate achievement of the element</w:t>
            </w:r>
            <w:r w:rsidRPr="00CF1787">
              <w:t xml:space="preserve">. </w:t>
            </w:r>
            <w:r w:rsidRPr="00CF1787">
              <w:rPr>
                <w:rStyle w:val="Emphasis"/>
              </w:rPr>
              <w:t xml:space="preserve">Assessment of performance is to </w:t>
            </w:r>
            <w:r w:rsidRPr="00CF1787">
              <w:rPr>
                <w:rStyle w:val="Emphasis"/>
              </w:rPr>
              <w:t>be consistent with the Evidence Guide</w:t>
            </w:r>
            <w:r w:rsidRPr="00CF1787">
              <w:t>.</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8" w:name="O_150610"/>
      <w:bookmarkEnd w:id="8"/>
      <w:r w:rsidRPr="00CF1787">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116"/>
        <w:gridCol w:w="14"/>
      </w:tblGrid>
      <w:tr w:rsidTr="0036078B">
        <w:tblPrEx>
          <w:tblW w:w="0" w:type="auto"/>
          <w:tblLayout w:type="fixed"/>
          <w:tblCellMar>
            <w:left w:w="62" w:type="dxa"/>
            <w:right w:w="62" w:type="dxa"/>
          </w:tblCellMar>
          <w:tblLook w:val="0000"/>
        </w:tblPrEx>
        <w:trPr>
          <w:gridAfter w:val="2"/>
          <w:wAfter w:w="1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PERFORMANCE CRITERIA</w:t>
            </w:r>
          </w:p>
        </w:tc>
      </w:tr>
      <w:tr w:rsidTr="0036078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Investigate machinery malfunctions and faults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163"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Reported po</w:t>
            </w:r>
            <w:r w:rsidRPr="00CF1787">
              <w:t>or performance and malfunctions of machinery are investigated as per manufacturer's instructions and appropriate action is initiated to rectify the identified problem within the limits of responsibility and skill of an Engineer Class 3</w:t>
            </w:r>
          </w:p>
        </w:tc>
      </w:tr>
      <w:tr w:rsidTr="0036078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163"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Appropriate action is taken to prevent damage as per vessel's planned maintenance system, safety regulations and manufacturer's instructions</w:t>
            </w:r>
          </w:p>
        </w:tc>
      </w:tr>
      <w:tr w:rsidTr="0036078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6163"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Faulty equipment and components are identified and reported, and appropriate action is initiated as required for isolation, tagging and repair or replacement within the limits of responsibility of an Engineer Class 3</w:t>
            </w:r>
          </w:p>
        </w:tc>
      </w:tr>
      <w:tr w:rsidTr="0036078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6163"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Planning of the repair processes a</w:t>
            </w:r>
            <w:r w:rsidRPr="00CF1787">
              <w:t>nd the organisation of the repairs is carried out within the limits of responsibility of an Engineer Class 3 and in consultation with other relevant engineering personnel where applicable</w:t>
            </w:r>
          </w:p>
        </w:tc>
      </w:tr>
      <w:tr w:rsidTr="0036078B">
        <w:tblPrEx>
          <w:tblW w:w="0" w:type="auto"/>
          <w:tblLayout w:type="fixed"/>
          <w:tblCellMar>
            <w:left w:w="62" w:type="dxa"/>
            <w:right w:w="62" w:type="dxa"/>
          </w:tblCellMar>
          <w:tblLook w:val="0000"/>
        </w:tblPrEx>
        <w:trPr>
          <w:gridAfter w:val="3"/>
          <w:wAfter w:w="15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F1787">
            <w:pPr>
              <w:pStyle w:val="BodyText"/>
              <w:rPr>
                <w:lang w:val="en-NZ"/>
              </w:rPr>
            </w:pPr>
          </w:p>
        </w:tc>
      </w:tr>
      <w:tr w:rsidTr="0036078B">
        <w:tblPrEx>
          <w:tblW w:w="0" w:type="auto"/>
          <w:tblLayout w:type="fixed"/>
          <w:tblCellMar>
            <w:left w:w="62" w:type="dxa"/>
            <w:right w:w="62" w:type="dxa"/>
          </w:tblCellMar>
          <w:tblLook w:val="0000"/>
        </w:tblPrEx>
        <w:trPr>
          <w:gridAfter w:val="1"/>
          <w:wAfter w:w="14" w:type="dxa"/>
        </w:trPr>
        <w:tc>
          <w:tcPr>
            <w:tcW w:w="340" w:type="dxa"/>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2</w:t>
            </w:r>
          </w:p>
        </w:tc>
        <w:tc>
          <w:tcPr>
            <w:tcW w:w="1606" w:type="dxa"/>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Dismantle</w:t>
            </w:r>
            <w:r w:rsidRPr="00CF1787">
              <w:t xml:space="preserve">, </w:t>
            </w:r>
            <w:r w:rsidRPr="00CF1787">
              <w:rPr>
                <w:rStyle w:val="SpecialBold"/>
              </w:rPr>
              <w:t>inspect and repair vessel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169"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Machinery is dismantled as per manufacturer's instructions and planned procedures</w:t>
            </w:r>
          </w:p>
        </w:tc>
      </w:tr>
    </w:tbl>
    <w:p w:rsidR="00000000" w:rsidRPr="00CF1787" w:rsidP="00CF1787">
      <w:pPr>
        <w:pStyle w:val="BodyText"/>
      </w:pPr>
    </w:p>
    <w:tbl>
      <w:tblPr>
        <w:tblW w:w="0" w:type="auto"/>
        <w:tblLayout w:type="fixed"/>
        <w:tblCellMar>
          <w:left w:w="62" w:type="dxa"/>
          <w:right w:w="62" w:type="dxa"/>
        </w:tblCellMar>
        <w:tblLook w:val="0000"/>
      </w:tblPr>
      <w:tblGrid>
        <w:gridCol w:w="340"/>
        <w:gridCol w:w="1606"/>
        <w:gridCol w:w="340"/>
        <w:gridCol w:w="20"/>
        <w:gridCol w:w="6004"/>
        <w:gridCol w:w="30"/>
        <w:gridCol w:w="117"/>
      </w:tblGrid>
      <w:tr w:rsidTr="0036078B">
        <w:tblPrEx>
          <w:tblW w:w="0" w:type="auto"/>
          <w:tblLayout w:type="fixed"/>
          <w:tblCellMar>
            <w:left w:w="62" w:type="dxa"/>
            <w:right w:w="62" w:type="dxa"/>
          </w:tblCellMar>
          <w:tblLook w:val="0000"/>
        </w:tblPrEx>
        <w:trPr>
          <w:gridAfter w:val="1"/>
          <w:wAfter w:w="11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ELEMENT</w:t>
            </w:r>
          </w:p>
        </w:tc>
        <w:tc>
          <w:tcPr>
            <w:tcW w:w="63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PERFORMANCE CRITERIA</w:t>
            </w:r>
          </w:p>
        </w:tc>
      </w:tr>
      <w:tr w:rsidTr="0036078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Dismantle</w:t>
            </w:r>
            <w:r w:rsidRPr="00CF1787">
              <w:t xml:space="preserve">, </w:t>
            </w:r>
            <w:r w:rsidRPr="00CF1787">
              <w:rPr>
                <w:rStyle w:val="SpecialBold"/>
              </w:rPr>
              <w:t>inspect and repair vessel machinery</w:t>
            </w:r>
          </w:p>
          <w:p w:rsidR="00000000" w:rsidP="00CF1787">
            <w:pPr>
              <w:pStyle w:val="BodyText"/>
              <w:rPr>
                <w:lang w:val="en-NZ"/>
              </w:rPr>
            </w:pPr>
            <w:r w:rsidRPr="00CF1787">
              <w:t>(</w:t>
            </w:r>
            <w:r w:rsidRPr="00CF1787">
              <w:rPr>
                <w:rStyle w:val="SpecialBold"/>
              </w:rPr>
              <w:t>continued</w:t>
            </w:r>
            <w:r w:rsidRPr="00CF1787">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b</w:t>
            </w:r>
          </w:p>
        </w:tc>
        <w:tc>
          <w:tcPr>
            <w:tcW w:w="6171"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 xml:space="preserve">Machinery parts and components are </w:t>
            </w:r>
            <w:r w:rsidRPr="00CF1787">
              <w:t xml:space="preserve">inspected for damage and malfunction using established procedures </w:t>
            </w:r>
          </w:p>
        </w:tc>
      </w:tr>
      <w:tr w:rsidTr="0036078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c</w:t>
            </w:r>
          </w:p>
        </w:tc>
        <w:tc>
          <w:tcPr>
            <w:tcW w:w="6171"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 xml:space="preserve">Damaged or faulty components are identified and repaired or replaced within the limits of responsibility and skill of an Engineer Class 3 and </w:t>
            </w:r>
            <w:r w:rsidRPr="00CF1787">
              <w:t>as per company planned maintenance system or procedures and manufacturer's instructions</w:t>
            </w:r>
          </w:p>
          <w:p w:rsidR="00000000" w:rsidP="00CF1787">
            <w:pPr>
              <w:pStyle w:val="BodyText"/>
              <w:rPr>
                <w:lang w:val="en-NZ"/>
              </w:rPr>
            </w:pPr>
            <w:r w:rsidRPr="00CF1787">
              <w:t xml:space="preserve"> </w:t>
            </w:r>
          </w:p>
        </w:tc>
      </w:tr>
      <w:tr w:rsidTr="0036078B">
        <w:tblPrEx>
          <w:tblW w:w="0" w:type="auto"/>
          <w:tblLayout w:type="fixed"/>
          <w:tblCellMar>
            <w:left w:w="62" w:type="dxa"/>
            <w:right w:w="62" w:type="dxa"/>
          </w:tblCellMar>
          <w:tblLook w:val="0000"/>
        </w:tblPrEx>
        <w:trPr>
          <w:gridAfter w:val="2"/>
          <w:wAfter w:w="14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F1787">
            <w:pPr>
              <w:pStyle w:val="BodyText"/>
              <w:rPr>
                <w:lang w:val="en-NZ"/>
              </w:rPr>
            </w:pPr>
          </w:p>
        </w:tc>
      </w:tr>
      <w:tr w:rsidTr="0036078B">
        <w:tblPrEx>
          <w:tblW w:w="0" w:type="auto"/>
          <w:tblLayout w:type="fixed"/>
          <w:tblCellMar>
            <w:left w:w="62" w:type="dxa"/>
            <w:right w:w="62" w:type="dxa"/>
          </w:tblCellMar>
          <w:tblLook w:val="0000"/>
        </w:tblPrEx>
        <w:trPr>
          <w:gridAfter w:val="1"/>
          <w:wAfter w:w="117" w:type="dxa"/>
        </w:trPr>
        <w:tc>
          <w:tcPr>
            <w:tcW w:w="340"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Reassemble</w:t>
            </w:r>
            <w:r w:rsidRPr="00CF1787">
              <w:t xml:space="preserve"> </w:t>
            </w:r>
            <w:r w:rsidRPr="00CF1787">
              <w:rPr>
                <w:rStyle w:val="SpecialBold"/>
              </w:rPr>
              <w:t>and check repaired machinery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Repaired machinery is reassembled as per manufacturer's instructions and established procedures</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Assembled machinery is checked and tested against manufacturer's specifications</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Repaired machinery is restarted and adjusted in accordance with vessel's procedures and manufacturer's instructions and in consultation with relevant personnel</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Performance of repaired machinery and associated safety devices, control systems and alarms, where relevant, is tested in accordance with manufacturer's instructions</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Performance against recommended performance specifications is confirmed and the machi</w:t>
            </w:r>
            <w:r w:rsidRPr="00CF1787">
              <w:t>nery is recommissioned in accordance with vessel's procedures</w:t>
            </w:r>
          </w:p>
        </w:tc>
      </w:tr>
      <w:tr w:rsidTr="0036078B">
        <w:tblPrEx>
          <w:tblW w:w="0" w:type="auto"/>
          <w:tblLayout w:type="fixed"/>
          <w:tblCellMar>
            <w:left w:w="62" w:type="dxa"/>
            <w:right w:w="62" w:type="dxa"/>
          </w:tblCellMar>
          <w:tblLook w:val="0000"/>
        </w:tblPrEx>
        <w:trPr>
          <w:gridAfter w:val="2"/>
          <w:wAfter w:w="14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F1787">
            <w:pPr>
              <w:pStyle w:val="BodyText"/>
              <w:rPr>
                <w:lang w:val="en-NZ"/>
              </w:rPr>
            </w:pPr>
          </w:p>
        </w:tc>
      </w:tr>
      <w:tr w:rsidTr="0036078B">
        <w:tblPrEx>
          <w:tblW w:w="0" w:type="auto"/>
          <w:tblLayout w:type="fixed"/>
          <w:tblCellMar>
            <w:left w:w="62" w:type="dxa"/>
            <w:right w:w="62" w:type="dxa"/>
          </w:tblCellMar>
          <w:tblLook w:val="0000"/>
        </w:tblPrEx>
        <w:trPr>
          <w:gridAfter w:val="1"/>
          <w:wAfter w:w="117" w:type="dxa"/>
        </w:trPr>
        <w:tc>
          <w:tcPr>
            <w:tcW w:w="340"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Complete maintenance</w:t>
            </w:r>
            <w:r w:rsidRPr="00CF1787">
              <w:t xml:space="preserve"> </w:t>
            </w:r>
            <w:r w:rsidRPr="00CF1787">
              <w:rPr>
                <w:rStyle w:val="SpecialBold"/>
              </w:rPr>
              <w:t>and repair documentatio</w:t>
            </w:r>
            <w:r w:rsidRPr="00CF1787">
              <w:rPr>
                <w:rStyle w:val="SpecialBold"/>
              </w:rPr>
              <w:t>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Correct records are made relating to maintenance and repair operations and machinery failure incidents</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All planned maintenance system and repair documentation is </w:t>
            </w:r>
            <w:r w:rsidRPr="00CF1787">
              <w:t>completed in accordance with survey and company requirements and regulations</w:t>
            </w:r>
          </w:p>
        </w:tc>
      </w:tr>
      <w:tr w:rsidTr="0036078B">
        <w:tblPrEx>
          <w:tblW w:w="0" w:type="auto"/>
          <w:tblLayout w:type="fixed"/>
          <w:tblCellMar>
            <w:left w:w="62" w:type="dxa"/>
            <w:right w:w="62" w:type="dxa"/>
          </w:tblCellMar>
          <w:tblLook w:val="0000"/>
        </w:tblPrEx>
        <w:trPr>
          <w:gridAfter w:val="2"/>
          <w:wAfter w:w="14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F1787">
            <w:pPr>
              <w:pStyle w:val="BodyText"/>
              <w:rPr>
                <w:lang w:val="en-NZ"/>
              </w:rPr>
            </w:pPr>
          </w:p>
        </w:tc>
      </w:tr>
      <w:tr w:rsidTr="0036078B">
        <w:tblPrEx>
          <w:tblW w:w="0" w:type="auto"/>
          <w:tblLayout w:type="fixed"/>
          <w:tblCellMar>
            <w:left w:w="62" w:type="dxa"/>
            <w:right w:w="62" w:type="dxa"/>
          </w:tblCellMar>
          <w:tblLook w:val="0000"/>
        </w:tblPrEx>
        <w:trPr>
          <w:gridAfter w:val="1"/>
          <w:wAfter w:w="117" w:type="dxa"/>
        </w:trPr>
        <w:tc>
          <w:tcPr>
            <w:tcW w:w="340"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5</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Tests, inspections and repairs of vessel machinery and associated safety devices, control systems and alarms are conducted in accordance with safety regulations and company procedures</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Maintenance and repair hazards are identified and action is taken to minimise or eliminate risk to personnel, vessel and the environment</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Safety, hazard minimisation and pollution control procedures and national and international regulations are followed at all times during maintenance and repair operations</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603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Where relevant, procedures and precautions necessary for entry into a pump room,</w:t>
            </w:r>
            <w:r w:rsidRPr="00CF1787">
              <w:t xml:space="preserve"> fuel tanks or other confined spaces on a vessel are correctly followed</w:t>
            </w:r>
          </w:p>
        </w:tc>
      </w:tr>
      <w:tr w:rsidTr="0036078B">
        <w:tblPrEx>
          <w:tblW w:w="0" w:type="auto"/>
          <w:tblLayout w:type="fixed"/>
          <w:tblCellMar>
            <w:left w:w="62" w:type="dxa"/>
            <w:right w:w="62" w:type="dxa"/>
          </w:tblCellMar>
          <w:tblLook w:val="0000"/>
        </w:tblPrEx>
        <w:trPr>
          <w:gridAfter w:val="1"/>
          <w:wAfter w:w="11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6034"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Action is taken in the event of a machinery failure or emergency to secure the machinery and the vessel and maintain the safety of the vessel and persons involved and shipboard em</w:t>
            </w:r>
            <w:r w:rsidRPr="00CF1787">
              <w:t>ergency, and contingency plans are followed</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9" w:name="O_150611"/>
      <w:bookmarkEnd w:id="9"/>
      <w:r w:rsidRPr="00CF1787">
        <w:t>Required Skills and Knowledge</w:t>
      </w:r>
    </w:p>
    <w:tbl>
      <w:tblPr>
        <w:tblW w:w="0" w:type="auto"/>
        <w:tblLayout w:type="fixed"/>
        <w:tblCellMar>
          <w:left w:w="62" w:type="dxa"/>
          <w:right w:w="62" w:type="dxa"/>
        </w:tblCellMar>
        <w:tblLook w:val="0000"/>
      </w:tblPr>
      <w:tblGrid>
        <w:gridCol w:w="423"/>
        <w:gridCol w:w="353"/>
        <w:gridCol w:w="7553"/>
        <w:gridCol w:w="11"/>
      </w:tblGrid>
      <w:tr w:rsidTr="0036078B">
        <w:tblPrEx>
          <w:tblW w:w="0" w:type="auto"/>
          <w:tblLayout w:type="fixed"/>
          <w:tblCellMar>
            <w:left w:w="62" w:type="dxa"/>
            <w:right w:w="62" w:type="dxa"/>
          </w:tblCellMar>
          <w:tblLook w:val="0000"/>
        </w:tblPrEx>
        <w:trPr>
          <w:tblHeader/>
        </w:trPr>
        <w:tc>
          <w:tcPr>
            <w:tcW w:w="834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rPr>
                <w:rStyle w:val="SpecialBold"/>
              </w:rPr>
              <w:t>REQUIRED KNOWLEDGE</w:t>
            </w:r>
          </w:p>
        </w:tc>
      </w:tr>
      <w:tr w:rsidTr="0036078B">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rPr>
                <w:rStyle w:val="Emphasis"/>
              </w:rPr>
              <w:t>This describes the knowledge required for this unit</w:t>
            </w:r>
            <w:r w:rsidRPr="00CF1787">
              <w:t>.</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Applicable sections of relevant maritime regulations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Relevant OH&amp;S and pollution control legislation and policies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Established engineering practice for the checking, maintenance and repair of marine machinery on commercial vessels of less than 3,000 kW propulsion power operating within offshore limits, in</w:t>
            </w:r>
            <w:r w:rsidRPr="00CF1787">
              <w:t>cluding: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756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fitting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756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machining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756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gas cutting and welding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756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arc welding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7564"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workshop practice</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Operational characteristics and performance specifications for the different types of shipboard machinery usually found on vessels of less than 3,000 </w:t>
            </w:r>
            <w:r w:rsidRPr="00CF1787">
              <w:t>kW propulsion power</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Procedures for carrying out shipboard machinery testing, troubleshooting and repair as part of routine maintenance procedures falling within the limits of responsibility and skills of an Engineer Class 3 </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nature and causes of shipboard machinery malfunctions and the available methods for their detection and repair, including marine machinery malfunction fault finding techniques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Maintenance and repair hazards and problems and appropriate preventative</w:t>
            </w:r>
            <w:r w:rsidRPr="00CF1787">
              <w:t xml:space="preserve"> and remedial action and solutions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Safe procedures for handling heavy machinery and component parts during maintenance and repair of shipboard machinery</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7917"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Safe procedures for the use of hand and power tools and maintenance equipment during maintenanc</w:t>
            </w:r>
            <w:r w:rsidRPr="00CF1787">
              <w:t>e and repair of shipboard machinery</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10</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Procedures for the initiation and coordination of temporary and permanent repair and/or replacement procedures on board vessels at sea, alongside and in dry dock</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11</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Safety, environmental and hazard control precautions and procedures relevant to shipboard machinery inspection and maintenance operations </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12</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Principal features of vessel construction and basic principles of transverse stability for vessels of less than </w:t>
            </w:r>
            <w:r w:rsidRPr="00CF1787">
              <w:t>3,000 kW propulsion power</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13</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 basic understanding of the properties and application of materials and structures typically used in the construction of a vessel of less than 3,000 kW propulsion power and its associated operational machinery</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14</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Types of </w:t>
            </w:r>
            <w:r w:rsidRPr="00CF1787">
              <w:t>maintenance and repair records that must be maintained on a vessel to meet the requirements of the company, survey requirements and regulatory authorities</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15</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Maritime communication techniques needed during maintenance and repair operations</w:t>
            </w:r>
          </w:p>
        </w:tc>
      </w:tr>
      <w:tr w:rsidTr="0036078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16</w:t>
            </w:r>
          </w:p>
        </w:tc>
        <w:tc>
          <w:tcPr>
            <w:tcW w:w="7906"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 xml:space="preserve">Purpose and content of material safety data sheets </w:t>
            </w:r>
          </w:p>
        </w:tc>
      </w:tr>
    </w:tbl>
    <w:p w:rsidR="00000000" w:rsidRPr="00CF1787" w:rsidP="00CF1787">
      <w:pPr>
        <w:pStyle w:val="BodyText"/>
      </w:pPr>
    </w:p>
    <w:tbl>
      <w:tblPr>
        <w:tblW w:w="0" w:type="auto"/>
        <w:tblLayout w:type="fixed"/>
        <w:tblCellMar>
          <w:left w:w="62" w:type="dxa"/>
          <w:right w:w="62" w:type="dxa"/>
        </w:tblCellMar>
        <w:tblLook w:val="0000"/>
      </w:tblPr>
      <w:tblGrid>
        <w:gridCol w:w="423"/>
        <w:gridCol w:w="353"/>
        <w:gridCol w:w="7553"/>
      </w:tblGrid>
      <w:tr w:rsidTr="0036078B">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17</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Procedures for the testing of boiler water, machinery cooling water and lubricating oil </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18</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Typical vessel and machinery specifications, machinery design drawings, machine drawings, operational m</w:t>
            </w:r>
            <w:r w:rsidRPr="00CF1787">
              <w:t>anuals, specifications and electrical and control circuit diagrams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19</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Mathematical techniques required to solve engineering problems falling within the limits of responsibility of an Engineer Class 3</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20</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properties of common marine engineering materials and principles and methods of cutting, joining and heat treatment</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21</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properties of liquids and gases commonly used aboard vessels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22</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Principles and precautions that must be taken when carryi</w:t>
            </w:r>
            <w:r w:rsidRPr="00CF1787">
              <w:t>ng out 'hot work'</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23</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Precautions that must be taken to minimise danger of fire or explosion</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24</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Safety precautions that must be taken before entering tanks or confined spaces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25</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Principles and procedures of machinery lubrication, including: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theory and types of lubrication</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relative characteristics, and applications of mineral and synthetic oils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contaminants that may affect lubricants, their effect on machinery performance, and action that can be taken to avoid and remedy contamination </w:t>
            </w:r>
            <w:r w:rsidRPr="00CF1787">
              <w:t>of lubricants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26</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mechanics as they relate to forces, pressures, stress and strains in shipboard dynamic machinery, including: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statics (non-concurrent systems only)</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friction</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dynamics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balancing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radial, circumferential and, longitudinal stress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shear stress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fluid mechanics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torsion, hollow and solid shafts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loads due to liquid head</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27</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transverse stability and principles of naval architecture and</w:t>
            </w:r>
            <w:r w:rsidRPr="00CF1787">
              <w:t xml:space="preserve"> vessel construction relevant to detection, identification and repair of faults, including: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draught, trim and heel</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propellers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structural strength and vibration of vessels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7553" w:type="dxa"/>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vessel measurement and classification</w:t>
            </w:r>
          </w:p>
        </w:tc>
      </w:tr>
    </w:tbl>
    <w:p w:rsidR="00000000" w:rsidRPr="00CF1787" w:rsidP="00CF1787">
      <w:pPr>
        <w:pStyle w:val="BodyText"/>
      </w:pPr>
    </w:p>
    <w:tbl>
      <w:tblPr>
        <w:tblW w:w="0" w:type="auto"/>
        <w:tblLayout w:type="fixed"/>
        <w:tblCellMar>
          <w:left w:w="62" w:type="dxa"/>
          <w:right w:w="62" w:type="dxa"/>
        </w:tblCellMar>
        <w:tblLook w:val="0000"/>
      </w:tblPr>
      <w:tblGrid>
        <w:gridCol w:w="423"/>
        <w:gridCol w:w="353"/>
        <w:gridCol w:w="7553"/>
      </w:tblGrid>
      <w:tr w:rsidTr="0036078B">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load-line </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transverse stability</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principles of free surface effects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dry docks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lifesaving equipment</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j</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hull repairs and maintenance</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28</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thermodynamics and heat and heat engines relevant to detection, identification a</w:t>
            </w:r>
            <w:r w:rsidRPr="00CF1787">
              <w:t>nd repair of faults, including: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heat transfer</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gases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properties and expansion of steam</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steam cycles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boilers and evaporators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steam turbines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combustion</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w:t>
            </w:r>
          </w:p>
        </w:tc>
        <w:tc>
          <w:tcPr>
            <w:tcW w:w="75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refrigeration and air-conditioning.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29</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construction features of a ship that impact on its watertight integrity and stability</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30</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Principles involved in the alignment of machinery and machinery parts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31</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Elementary principle</w:t>
            </w:r>
            <w:r w:rsidRPr="00CF1787">
              <w:t>s and care and management of the various types of auxiliary pumps and pumping and piping systems and other shipboard auxiliaries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32</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basic principles of engine cooling, fuel and lubricating systems and fuel consumption</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33</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basic principles of air</w:t>
            </w:r>
            <w:r w:rsidRPr="00CF1787">
              <w:t xml:space="preserve"> compressors, their care and maintenance</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34</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basic principles of operation and safety of boilers, steam and feed systems, steam engines and turbines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35</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colour coding system used for electric conductors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36</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Definitions of electrical terms and solve basic electrical problems using mathematics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37</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basic principles of operation and operating procedures for AC and DC generators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38</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preventative and remedial maintenance</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39</w:t>
            </w:r>
          </w:p>
        </w:tc>
        <w:tc>
          <w:tcPr>
            <w:tcW w:w="7906"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Basic princip</w:t>
            </w:r>
            <w:r w:rsidRPr="00CF1787">
              <w:t>les of the operation and maintenance of two and four stroke compression ignition engines, including engine construction and starting and reversing systems</w:t>
            </w:r>
          </w:p>
        </w:tc>
      </w:tr>
    </w:tbl>
    <w:p w:rsidR="00000000" w:rsidRPr="00CF1787" w:rsidP="00CF1787">
      <w:pPr>
        <w:pStyle w:val="BodyText"/>
      </w:pPr>
    </w:p>
    <w:tbl>
      <w:tblPr>
        <w:tblW w:w="0" w:type="auto"/>
        <w:tblLayout w:type="fixed"/>
        <w:tblCellMar>
          <w:left w:w="62" w:type="dxa"/>
          <w:right w:w="62" w:type="dxa"/>
        </w:tblCellMar>
        <w:tblLook w:val="0000"/>
      </w:tblPr>
      <w:tblGrid>
        <w:gridCol w:w="423"/>
        <w:gridCol w:w="353"/>
        <w:gridCol w:w="7553"/>
        <w:gridCol w:w="140"/>
      </w:tblGrid>
      <w:tr w:rsidTr="0036078B">
        <w:tblPrEx>
          <w:tblW w:w="0" w:type="auto"/>
          <w:tblLayout w:type="fixed"/>
          <w:tblCellMar>
            <w:left w:w="62" w:type="dxa"/>
            <w:right w:w="62" w:type="dxa"/>
          </w:tblCellMar>
          <w:tblLook w:val="0000"/>
        </w:tblPrEx>
        <w:trPr>
          <w:gridAfter w:val="1"/>
          <w:wAfter w:w="140" w:type="dxa"/>
          <w:tblHeader/>
        </w:trPr>
        <w:tc>
          <w:tcPr>
            <w:tcW w:w="423" w:type="dxa"/>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40</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Safety precautions and procedures during repair and inspection of electrical circuitry and equipment. </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41</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electrotechnology, marine electrical practice and marine automation and control relevant to detection, identification and repair</w:t>
            </w:r>
            <w:r w:rsidRPr="00CF1787">
              <w:t xml:space="preserve"> of faults falling within the limits of responsibility of an Engineer Class 3, including:</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the electric circuit</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electrolytic action and cells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basic principles of relevant AC and DC machines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cabling, distribution and lighting systems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control gear</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switch gear</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w:t>
            </w:r>
          </w:p>
        </w:tc>
        <w:tc>
          <w:tcPr>
            <w:tcW w:w="769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deck machinery</w:t>
            </w:r>
          </w:p>
        </w:tc>
      </w:tr>
      <w:tr w:rsidTr="0036078B">
        <w:tblPrEx>
          <w:tblW w:w="0" w:type="auto"/>
          <w:tblLayout w:type="fixed"/>
          <w:tblCellMar>
            <w:left w:w="62" w:type="dxa"/>
            <w:right w:w="62" w:type="dxa"/>
          </w:tblCellMar>
          <w:tblLook w:val="0000"/>
        </w:tblPrEx>
        <w:tc>
          <w:tcPr>
            <w:tcW w:w="8469"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c>
          <w:tcPr>
            <w:tcW w:w="8469"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rPr>
                <w:rStyle w:val="SpecialBold"/>
              </w:rPr>
              <w:t>REQUIRED SKILLS</w:t>
            </w:r>
          </w:p>
        </w:tc>
      </w:tr>
      <w:tr w:rsidTr="0036078B">
        <w:tblPrEx>
          <w:tblW w:w="0" w:type="auto"/>
          <w:tblLayout w:type="fixed"/>
          <w:tblCellMar>
            <w:left w:w="62" w:type="dxa"/>
            <w:right w:w="62" w:type="dxa"/>
          </w:tblCellMar>
          <w:tblLook w:val="0000"/>
        </w:tblPrEx>
        <w:tc>
          <w:tcPr>
            <w:tcW w:w="8469"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rPr>
                <w:rStyle w:val="Emphasis"/>
              </w:rPr>
              <w:t>This describes the basic skills required for this unit</w:t>
            </w:r>
            <w:r w:rsidRPr="00CF1787">
              <w:t>.</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Use communication skills required when dismantling, inspecting, repairing and reassembling machinery on a vessel of less than 3,000 kW propulsion power</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Read, interpret and apply maintenance and service manuals and instructions and equipment specifications and drawings for equipment and machinery, including all required OH&amp;S procedures and precautions</w:t>
            </w:r>
          </w:p>
        </w:tc>
      </w:tr>
      <w:tr w:rsidTr="0036078B">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79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Read, interpret and follow standard operating and e</w:t>
            </w:r>
            <w:r w:rsidRPr="00CF1787">
              <w:t>mergency procedures when dismantling, inspecting, repairing and reassembling machinery on a vessel of less than 3,000 kW propulsion power within limits of responsibility of an Engineer Class 3</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Read and interpret material safety data sheets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Read and</w:t>
            </w:r>
            <w:r w:rsidRPr="00CF1787">
              <w:t xml:space="preserve"> interpret and indications of machinery performance</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Complete any required maintenance records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Provide leadership to other crew members when dismantling, inspecting, repairing and reassembling machinery on a vessel of less than 3,000 kW </w:t>
            </w:r>
            <w:r w:rsidRPr="00CF1787">
              <w:t>propulsion power</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Work safely and collaboratively with others when dismantling, inspecting, repairing and reassembling vessel machinery</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Plan and organise maintenance and repair activities on a small vessel</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10</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Monitor the selection and use of relev</w:t>
            </w:r>
            <w:r w:rsidRPr="00CF1787">
              <w:t>ant tools and equipment as per instructions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11</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Recognise faulty equipment and take appropriate action as per operating instructions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12</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Recognise routine problems when dismantling, inspecting, repairing and reassembling vessel machinery and ta</w:t>
            </w:r>
            <w:r w:rsidRPr="00CF1787">
              <w:t>ke appropriate action</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13</w:t>
            </w:r>
          </w:p>
        </w:tc>
        <w:tc>
          <w:tcPr>
            <w:tcW w:w="8046"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Adapt to differences in vessels, equipment and machinery and standard maintenance procedures</w:t>
            </w:r>
          </w:p>
        </w:tc>
      </w:tr>
      <w:tr w:rsidTr="0036078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14</w:t>
            </w:r>
          </w:p>
        </w:tc>
        <w:tc>
          <w:tcPr>
            <w:tcW w:w="8046" w:type="dxa"/>
            <w:gridSpan w:val="3"/>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 xml:space="preserve">Monitor that all safety precautions and procedures are followed when dismantling, inspecting, repairing and reassembling machinery </w:t>
            </w:r>
            <w:r w:rsidRPr="00CF1787">
              <w:t>on a vessel of less than 3,000 kW propulsion power</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10" w:name="O_150612"/>
      <w:bookmarkEnd w:id="10"/>
      <w:r w:rsidRPr="00CF1787">
        <w:t>Evidence Guide</w:t>
      </w:r>
    </w:p>
    <w:tbl>
      <w:tblPr>
        <w:tblW w:w="0" w:type="auto"/>
        <w:tblLayout w:type="fixed"/>
        <w:tblCellMar>
          <w:left w:w="62" w:type="dxa"/>
          <w:right w:w="62" w:type="dxa"/>
        </w:tblCellMar>
        <w:tblLook w:val="0000"/>
      </w:tblPr>
      <w:tblGrid>
        <w:gridCol w:w="303"/>
        <w:gridCol w:w="1787"/>
        <w:gridCol w:w="360"/>
        <w:gridCol w:w="357"/>
        <w:gridCol w:w="4861"/>
        <w:gridCol w:w="810"/>
        <w:gridCol w:w="15"/>
      </w:tblGrid>
      <w:tr w:rsidTr="0036078B">
        <w:tblPrEx>
          <w:tblW w:w="0" w:type="auto"/>
          <w:tblLayout w:type="fixed"/>
          <w:tblCellMar>
            <w:left w:w="62" w:type="dxa"/>
            <w:right w:w="62" w:type="dxa"/>
          </w:tblCellMar>
          <w:tblLook w:val="0000"/>
        </w:tblPrEx>
        <w:trPr>
          <w:gridAfter w:val="2"/>
          <w:wAfter w:w="825" w:type="dxa"/>
          <w:tblHeader/>
        </w:trPr>
        <w:tc>
          <w:tcPr>
            <w:tcW w:w="766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Evidence Guide</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Emphasis"/>
              </w:rPr>
              <w:t>The Evidence Guide provides advice on assessment and must be read in conjunction with the Performance Criteria</w:t>
            </w:r>
            <w:r w:rsidRPr="00CF1787">
              <w:t xml:space="preserve">, </w:t>
            </w:r>
            <w:r w:rsidRPr="00CF1787">
              <w:rPr>
                <w:rStyle w:val="Emphasis"/>
              </w:rPr>
              <w:t>Required Skills and Knowledge</w:t>
            </w:r>
            <w:r w:rsidRPr="00CF1787">
              <w:t xml:space="preserve">, </w:t>
            </w:r>
            <w:r w:rsidRPr="00CF1787">
              <w:rPr>
                <w:rStyle w:val="Emphasis"/>
              </w:rPr>
              <w:t>the Range Statement and the Assessment Guidelines for this Training Package</w:t>
            </w:r>
            <w:r w:rsidRPr="00CF1787">
              <w:t>.</w:t>
            </w:r>
          </w:p>
        </w:tc>
      </w:tr>
      <w:tr w:rsidTr="0036078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CF1787" w:rsidP="00CF1787">
            <w:pPr>
              <w:pStyle w:val="BodyText"/>
            </w:pPr>
            <w:r w:rsidRPr="00CF1787">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 xml:space="preserve">Critical aspects of evidence </w:t>
            </w:r>
            <w:r w:rsidRPr="00CF1787">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Assessment must confirm appropriate knowledge and skills to:</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Investigate machinery malfunctions and faults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Dismantle, inspect and repair vessel machinery within the limits of responsibility and skill of an Engineer Class 3</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Reassemble and check repaired machinery</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Complete maintenance and repair documentation</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Exercise all required</w:t>
            </w:r>
            <w:r w:rsidRPr="00CF1787">
              <w:t xml:space="preserve"> safety, environmental and hazard control precautions and procedures when carrying out maintenance and repair of shipboard machinery</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f</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Identify machinery maintenance and repair problems and hazards and take appropriate action</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g</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Communicate effectively with others during maintenance and repair operations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h</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Ensure adherence to relevant national and international regulations, IMO Conventions and Codes</w:t>
            </w:r>
          </w:p>
        </w:tc>
      </w:tr>
      <w:tr w:rsidTr="0036078B">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Performance is demonstrated consistently over a period of time and in a suitable range of contexts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Consistently applies underpinning knowledge and skills when:</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investigating machinery malfunctions and faults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dismantl</w:t>
            </w:r>
            <w:r w:rsidRPr="00CF1787">
              <w:t>ing, inspecting and repairing vessel machinery</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reassembling and checking repaired machinery</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completing maintenance and repair documentation</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applying safety precautions relevant to mechanical and electrical machinery and equipment mainte</w:t>
            </w:r>
            <w:r w:rsidRPr="00CF1787">
              <w:t>nance and repair operations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c</w:t>
            </w:r>
          </w:p>
        </w:tc>
        <w:tc>
          <w:tcPr>
            <w:tcW w:w="602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Shows evidence of application of relevant workplace procedures, including:</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relevant maritime regulations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5671"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OH&amp;S regulations, and pollution control and hazard prevention policies and procedures </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5671"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work instructions on the checking and repair of shipboard machinery, including machinery specifications and directions on equipment capability and limitations</w:t>
            </w:r>
          </w:p>
        </w:tc>
      </w:tr>
    </w:tbl>
    <w:p w:rsidR="00000000" w:rsidRPr="00CF1787" w:rsidP="00CF1787">
      <w:pPr>
        <w:pStyle w:val="BodyText"/>
      </w:pPr>
    </w:p>
    <w:tbl>
      <w:tblPr>
        <w:tblW w:w="0" w:type="auto"/>
        <w:tblLayout w:type="fixed"/>
        <w:tblCellMar>
          <w:left w:w="62" w:type="dxa"/>
          <w:right w:w="62" w:type="dxa"/>
        </w:tblCellMar>
        <w:tblLook w:val="0000"/>
      </w:tblPr>
      <w:tblGrid>
        <w:gridCol w:w="303"/>
        <w:gridCol w:w="15"/>
        <w:gridCol w:w="1773"/>
        <w:gridCol w:w="360"/>
        <w:gridCol w:w="357"/>
        <w:gridCol w:w="357"/>
        <w:gridCol w:w="4503"/>
        <w:gridCol w:w="810"/>
        <w:gridCol w:w="15"/>
      </w:tblGrid>
      <w:tr w:rsidTr="0036078B">
        <w:tblPrEx>
          <w:tblW w:w="0" w:type="auto"/>
          <w:tblLayout w:type="fixed"/>
          <w:tblCellMar>
            <w:left w:w="62" w:type="dxa"/>
            <w:right w:w="62" w:type="dxa"/>
          </w:tblCellMar>
          <w:tblLook w:val="0000"/>
        </w:tblPrEx>
        <w:trPr>
          <w:gridAfter w:val="2"/>
          <w:wAfter w:w="825" w:type="dxa"/>
          <w:tblHeader/>
        </w:trPr>
        <w:tc>
          <w:tcPr>
            <w:tcW w:w="766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Evidence Guide</w:t>
            </w:r>
            <w:r w:rsidRPr="00CF1787">
              <w:t xml:space="preserve"> (</w:t>
            </w:r>
            <w:r w:rsidRPr="00CF1787">
              <w:rPr>
                <w:rStyle w:val="SpecialBold"/>
              </w:rPr>
              <w:t>continued</w:t>
            </w:r>
            <w:r w:rsidRPr="00CF1787">
              <w:t xml:space="preserve">) </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2</w:t>
            </w:r>
          </w:p>
        </w:tc>
        <w:tc>
          <w:tcPr>
            <w:tcW w:w="1788"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Evidence required for demonstration of consistent performance</w:t>
            </w:r>
          </w:p>
          <w:p w:rsidR="00000000" w:rsidP="00CF1787">
            <w:pPr>
              <w:pStyle w:val="BodyText"/>
              <w:rPr>
                <w:lang w:val="en-NZ"/>
              </w:rPr>
            </w:pPr>
            <w:r w:rsidRPr="00CF1787">
              <w:t>(</w:t>
            </w:r>
            <w:r w:rsidRPr="00CF1787">
              <w:rPr>
                <w:rStyle w:val="SpecialBold"/>
              </w:rPr>
              <w:t>continued</w:t>
            </w:r>
            <w:r w:rsidRPr="00CF1787">
              <w:t>)</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5670"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machinery security procedures </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5670"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following on-board housekeeping processes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5670"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waste, pollution and recycling management processes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d</w:t>
            </w:r>
          </w:p>
        </w:tc>
        <w:tc>
          <w:tcPr>
            <w:tcW w:w="6027"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Action is taken promptly to report and/or rectify machinery malfunctions and safety incidents in accordance with regulations, procedures and the ISM Code</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e</w:t>
            </w:r>
          </w:p>
        </w:tc>
        <w:tc>
          <w:tcPr>
            <w:tcW w:w="6027"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Work is managed, contro</w:t>
            </w:r>
            <w:r w:rsidRPr="00CF1787">
              <w:t>lled and completed systematically with required attention to detail</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Recognises and adapts appropriately to cultural differences in the workplace, including modes of behaviour and interactions among crew and others</w:t>
            </w:r>
          </w:p>
        </w:tc>
      </w:tr>
      <w:tr w:rsidTr="0036078B">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SpecialBold"/>
              </w:rPr>
              <w:t>3</w:t>
            </w:r>
          </w:p>
        </w:tc>
        <w:tc>
          <w:tcPr>
            <w:tcW w:w="1788" w:type="dxa"/>
            <w:gridSpan w:val="2"/>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Assessment of competency must comply with the assessment requirements of the relevant maritime regulations</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27"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Assessment of this unit must be undertaken within relevant marine authority approved and audited arrangements by a registered training organisation:</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5670"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As a minimum, assessment o</w:t>
            </w:r>
            <w:r w:rsidRPr="00CF1787">
              <w:t>f knowledge must be conducted through appropriate written/oral examinations, and</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5670"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Appropriate practical assessment must occur:</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w:t>
            </w:r>
          </w:p>
        </w:tc>
        <w:tc>
          <w:tcPr>
            <w:tcW w:w="5313"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at the registered training organisation; and/or </w:t>
            </w:r>
          </w:p>
        </w:tc>
      </w:tr>
      <w:tr w:rsidTr="0036078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on an appropriate working or training vessel</w:t>
            </w:r>
          </w:p>
        </w:tc>
      </w:tr>
      <w:tr w:rsidTr="0036078B">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5" w:type="dxa"/>
        </w:trPr>
        <w:tc>
          <w:tcPr>
            <w:tcW w:w="318" w:type="dxa"/>
            <w:gridSpan w:val="2"/>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4</w:t>
            </w:r>
          </w:p>
        </w:tc>
        <w:tc>
          <w:tcPr>
            <w:tcW w:w="1773"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Specific</w:t>
            </w:r>
            <w:r w:rsidRPr="00CF1787">
              <w:t xml:space="preserve"> </w:t>
            </w:r>
            <w:r w:rsidRPr="00CF1787">
              <w:rPr>
                <w:rStyle w:val="SpecialBold"/>
              </w:rPr>
              <w:t>resources</w:t>
            </w:r>
            <w:r w:rsidRPr="00CF1787">
              <w:t xml:space="preserve"> </w:t>
            </w:r>
            <w:r w:rsidRPr="00CF1787">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Access is required to opportunities to:</w:t>
            </w:r>
          </w:p>
        </w:tc>
      </w:tr>
      <w:tr w:rsidTr="0036078B">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a</w:t>
            </w:r>
          </w:p>
        </w:tc>
        <w:tc>
          <w:tcPr>
            <w:tcW w:w="6027"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Participate in a range of practical and theoretical assignments, exercises, case studies and other assessments that demonstrate the skills </w:t>
            </w:r>
            <w:r w:rsidRPr="00CF1787">
              <w:t>and knowledge to check and repair machinery and equipment typically found on a commercial vessel of less than 3,000 kW propulsion power, including the ability to identify an appropriate range of possible machinery malfunctions and carry out related mainten</w:t>
            </w:r>
            <w:r w:rsidRPr="00CF1787">
              <w:t>ance and repair solutions; and/or</w:t>
            </w:r>
          </w:p>
        </w:tc>
      </w:tr>
      <w:tr w:rsidTr="0036078B">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b</w:t>
            </w:r>
          </w:p>
        </w:tc>
        <w:tc>
          <w:tcPr>
            <w:tcW w:w="6027"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Carry out checks and related repairs of shipboard machinery in a range of operational situations on a commercial or training vessel less than 3,000 kW propulsion power</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11" w:name="O_150613"/>
      <w:bookmarkEnd w:id="11"/>
      <w:r w:rsidRPr="00CF1787">
        <w:t>Range Statement</w:t>
      </w:r>
    </w:p>
    <w:tbl>
      <w:tblPr>
        <w:tblW w:w="0" w:type="auto"/>
        <w:tblLayout w:type="fixed"/>
        <w:tblCellMar>
          <w:left w:w="62" w:type="dxa"/>
          <w:right w:w="62" w:type="dxa"/>
        </w:tblCellMar>
        <w:tblLook w:val="0000"/>
      </w:tblPr>
      <w:tblGrid>
        <w:gridCol w:w="340"/>
        <w:gridCol w:w="6"/>
        <w:gridCol w:w="1744"/>
        <w:gridCol w:w="357"/>
        <w:gridCol w:w="11"/>
        <w:gridCol w:w="5210"/>
        <w:gridCol w:w="807"/>
        <w:gridCol w:w="18"/>
        <w:gridCol w:w="28"/>
      </w:tblGrid>
      <w:tr w:rsidTr="0036078B">
        <w:tblPrEx>
          <w:tblW w:w="0" w:type="auto"/>
          <w:tblLayout w:type="fixed"/>
          <w:tblCellMar>
            <w:left w:w="62" w:type="dxa"/>
            <w:right w:w="62" w:type="dxa"/>
          </w:tblCellMar>
          <w:tblLook w:val="0000"/>
        </w:tblPrEx>
        <w:trPr>
          <w:gridAfter w:val="3"/>
          <w:wAfter w:w="853" w:type="dxa"/>
          <w:tblHeader/>
        </w:trPr>
        <w:tc>
          <w:tcPr>
            <w:tcW w:w="766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Range Statement</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Emphasis"/>
              </w:rPr>
              <w:t>The Range Statement relates to the unit of competency as a whole</w:t>
            </w:r>
            <w:r w:rsidRPr="00CF1787">
              <w:t xml:space="preserve">. </w:t>
            </w:r>
            <w:r w:rsidRPr="00CF1787">
              <w:rPr>
                <w:rStyle w:val="Emphasis"/>
              </w:rPr>
              <w:t>It allows for different work environments and situations that may affect performance</w:t>
            </w:r>
            <w:r w:rsidRPr="00CF1787">
              <w:t>.</w:t>
            </w:r>
          </w:p>
        </w:tc>
      </w:tr>
      <w:tr w:rsidTr="0036078B">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rPr>
                <w:rStyle w:val="SpecialBold"/>
              </w:rPr>
              <w:t>SCOPE</w:t>
            </w:r>
          </w:p>
        </w:tc>
      </w:tr>
      <w:tr w:rsidTr="0036078B">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1</w:t>
            </w:r>
            <w:r w:rsidRPr="00CF1787">
              <w:t>.</w:t>
            </w:r>
            <w:r w:rsidRPr="00CF1787">
              <w:tab/>
            </w:r>
            <w:r w:rsidRPr="00CF1787">
              <w:rPr>
                <w:rStyle w:val="SpecialBold"/>
              </w:rPr>
              <w:t>GENERAL CONTEXT</w:t>
            </w:r>
          </w:p>
        </w:tc>
      </w:tr>
      <w:tr w:rsidTr="0036078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F1787" w:rsidP="00CF1787">
            <w:pPr>
              <w:pStyle w:val="BodyText"/>
            </w:pPr>
            <w:r w:rsidRPr="00CF1787">
              <w:rPr>
                <w:rStyle w:val="SpecialBold"/>
              </w:rPr>
              <w:t>a</w:t>
            </w:r>
            <w:r w:rsidRPr="00CF178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Work must be carried out</w:t>
            </w:r>
            <w:r w:rsidRPr="00CF178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in compliance with relevant maritime regulations</w:t>
            </w:r>
          </w:p>
        </w:tc>
      </w:tr>
      <w:tr w:rsidTr="0036078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F1787" w:rsidP="00CF1787">
            <w:pPr>
              <w:pStyle w:val="BodyText"/>
            </w:pPr>
            <w:r w:rsidRPr="00CF1787">
              <w:rPr>
                <w:rStyle w:val="SpecialBold"/>
              </w:rPr>
              <w:t>b</w:t>
            </w:r>
            <w:r w:rsidRPr="00CF178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Work is performed</w:t>
            </w:r>
            <w:r w:rsidRPr="00CF178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under broad guidelines, with accountability and responsibility for self and others in achieving the prescribed outcomes within the limits of responsibility and skill of an Engineer Class 3</w:t>
            </w:r>
          </w:p>
        </w:tc>
      </w:tr>
      <w:tr w:rsidTr="0036078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F1787" w:rsidP="00CF1787">
            <w:pPr>
              <w:pStyle w:val="BodyText"/>
            </w:pPr>
            <w:r w:rsidRPr="00CF1787">
              <w:rPr>
                <w:rStyle w:val="SpecialBold"/>
              </w:rPr>
              <w:t>c</w:t>
            </w:r>
            <w:r w:rsidRPr="00CF178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Work involves</w:t>
            </w:r>
            <w:r w:rsidRPr="00CF178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the application of marine engineering practice to the dismantling, inspecting, repair and reassembly of machinery typically found on a vessel of less than 3,000 kW propulsion power across a range of machinery malfunctions or faults. Implementation of a bro</w:t>
            </w:r>
            <w:r w:rsidRPr="00CF1787">
              <w:t>ad plan or strategy for shipboard machinery maintenance and repair is required and accountability and responsibility for self and others in achieving the outcomes is involved</w:t>
            </w:r>
          </w:p>
        </w:tc>
      </w:tr>
      <w:tr w:rsidTr="0036078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d</w:t>
            </w:r>
            <w:r w:rsidRPr="00CF1787">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Work requires</w:t>
            </w:r>
            <w:r w:rsidRPr="00CF1787">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17"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some judgement in planning and carrying out machinery repair operations and procedures. This includes analysis of the faulty machinery and decision making on the repairs required and the processes to be used</w:t>
            </w:r>
          </w:p>
        </w:tc>
      </w:tr>
      <w:tr w:rsidTr="0036078B">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2</w:t>
            </w:r>
            <w:r w:rsidRPr="00CF1787">
              <w:t>.</w:t>
            </w:r>
            <w:r w:rsidRPr="00CF1787">
              <w:tab/>
            </w:r>
            <w:r w:rsidRPr="00CF1787">
              <w:rPr>
                <w:rStyle w:val="SpecialBold"/>
              </w:rPr>
              <w:t>WORKSITE ENVIRONMENT</w:t>
            </w:r>
          </w:p>
        </w:tc>
      </w:tr>
      <w:tr w:rsidTr="0036078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CF1787" w:rsidP="00CF1787">
            <w:pPr>
              <w:pStyle w:val="BodyText"/>
            </w:pPr>
            <w:r w:rsidRPr="00CF1787">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Machinery may include</w:t>
            </w:r>
            <w:r w:rsidRPr="00CF1787">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that typically found on any Australian or international commercial vessel of up to 3,000 kW propulsion power operating within offshore limits</w:t>
            </w:r>
          </w:p>
        </w:tc>
      </w:tr>
      <w:tr w:rsidTr="0036078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Machinery performance monitoring and repair may be carried out</w:t>
            </w:r>
            <w:r w:rsidRPr="00CF1787">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46"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by day or night in both normal and emergency situations</w:t>
            </w:r>
          </w:p>
        </w:tc>
      </w:tr>
      <w:tr w:rsidTr="0036078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46"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under any permissible conditions of weather </w:t>
            </w:r>
          </w:p>
        </w:tc>
      </w:tr>
      <w:tr w:rsidTr="0036078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46"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while underway</w:t>
            </w:r>
          </w:p>
        </w:tc>
      </w:tr>
      <w:tr w:rsidTr="0036078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46"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during berthing and unberthing operations</w:t>
            </w:r>
          </w:p>
        </w:tc>
      </w:tr>
      <w:tr w:rsidTr="0036078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6046"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while anchored or moored</w:t>
            </w:r>
          </w:p>
        </w:tc>
      </w:tr>
      <w:tr w:rsidTr="0036078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6046"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in dry dock</w:t>
            </w:r>
          </w:p>
        </w:tc>
      </w:tr>
    </w:tbl>
    <w:p w:rsidR="00000000" w:rsidRPr="00CF1787" w:rsidP="00CF1787">
      <w:pPr>
        <w:pStyle w:val="BodyText"/>
      </w:pPr>
    </w:p>
    <w:tbl>
      <w:tblPr>
        <w:tblW w:w="9468" w:type="dxa"/>
        <w:tblLayout w:type="fixed"/>
        <w:tblCellMar>
          <w:left w:w="62" w:type="dxa"/>
          <w:right w:w="62" w:type="dxa"/>
        </w:tblCellMar>
        <w:tblLook w:val="0000"/>
      </w:tblPr>
      <w:tblGrid>
        <w:gridCol w:w="346"/>
        <w:gridCol w:w="1743"/>
        <w:gridCol w:w="357"/>
        <w:gridCol w:w="503"/>
        <w:gridCol w:w="4719"/>
        <w:gridCol w:w="821"/>
        <w:gridCol w:w="28"/>
        <w:gridCol w:w="951"/>
      </w:tblGrid>
      <w:tr w:rsidTr="0036078B">
        <w:tblPrEx>
          <w:tblW w:w="9468" w:type="dxa"/>
          <w:tblLayout w:type="fixed"/>
          <w:tblCellMar>
            <w:left w:w="62" w:type="dxa"/>
            <w:right w:w="62" w:type="dxa"/>
          </w:tblCellMar>
          <w:tblLook w:val="0000"/>
        </w:tblPrEx>
        <w:trPr>
          <w:gridAfter w:val="3"/>
          <w:wAfter w:w="1800" w:type="dxa"/>
          <w:tblHeader/>
        </w:trPr>
        <w:tc>
          <w:tcPr>
            <w:tcW w:w="766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Range Statement</w:t>
            </w:r>
            <w:r w:rsidRPr="00CF1787">
              <w:t xml:space="preserve"> (</w:t>
            </w:r>
            <w:r w:rsidRPr="00CF1787">
              <w:rPr>
                <w:rStyle w:val="SpecialBold"/>
              </w:rPr>
              <w:t>continued</w:t>
            </w:r>
            <w:r w:rsidRPr="00CF1787">
              <w:t xml:space="preserve">) </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9468" w:type="dxa"/>
          <w:tblLayout w:type="fixed"/>
          <w:tblCellMar>
            <w:left w:w="62" w:type="dxa"/>
            <w:right w:w="62" w:type="dxa"/>
          </w:tblCellMar>
          <w:tblLook w:val="0000"/>
        </w:tblPrEx>
        <w:trPr>
          <w:gridAfter w:val="1"/>
          <w:wAfter w:w="951" w:type="dxa"/>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VARIABLE</w:t>
            </w:r>
          </w:p>
        </w:tc>
        <w:tc>
          <w:tcPr>
            <w:tcW w:w="6428"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SCOPE</w:t>
            </w:r>
          </w:p>
        </w:tc>
      </w:tr>
      <w:tr w:rsidTr="0036078B">
        <w:tblPrEx>
          <w:tblW w:w="9468" w:type="dxa"/>
          <w:tblLayout w:type="fixed"/>
          <w:tblCellMar>
            <w:left w:w="62" w:type="dxa"/>
            <w:right w:w="62" w:type="dxa"/>
          </w:tblCellMar>
          <w:tblLook w:val="0000"/>
        </w:tblPrEx>
        <w:trPr>
          <w:gridAfter w:val="2"/>
          <w:wAfter w:w="979"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Machinery performance monitoring and repair may be carried out</w:t>
            </w:r>
            <w:r w:rsidRPr="00CF1787">
              <w:t xml:space="preserve">: </w:t>
            </w:r>
          </w:p>
          <w:p w:rsidR="00000000" w:rsidP="00CF1787">
            <w:pPr>
              <w:pStyle w:val="BodyText"/>
              <w:rPr>
                <w:lang w:val="en-NZ"/>
              </w:rPr>
            </w:pPr>
            <w:r w:rsidRPr="00CF1787">
              <w:t>(</w:t>
            </w:r>
            <w:r w:rsidRPr="00CF1787">
              <w:rPr>
                <w:rStyle w:val="SpecialBold"/>
              </w:rPr>
              <w:t>continued</w:t>
            </w:r>
            <w:r w:rsidRPr="00CF1787">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when bunkering </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8</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t>during cargo operations</w:t>
            </w:r>
          </w:p>
        </w:tc>
      </w:tr>
      <w:tr w:rsidTr="0036078B">
        <w:tblPrEx>
          <w:tblW w:w="9468" w:type="dxa"/>
          <w:tblLayout w:type="fixed"/>
          <w:tblCellMar>
            <w:left w:w="62" w:type="dxa"/>
            <w:right w:w="62" w:type="dxa"/>
          </w:tblCellMar>
          <w:tblLook w:val="0000"/>
        </w:tblPrEx>
        <w:trPr>
          <w:gridAfter w:val="2"/>
          <w:wAfter w:w="979"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9468" w:type="dxa"/>
          <w:tblLayout w:type="fixed"/>
          <w:tblCellMar>
            <w:left w:w="62" w:type="dxa"/>
            <w:right w:w="62" w:type="dxa"/>
          </w:tblCellMar>
          <w:tblLook w:val="0000"/>
        </w:tblPrEx>
        <w:trPr>
          <w:gridAfter w:val="2"/>
          <w:wAfter w:w="979"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Types of machinery may include</w:t>
            </w:r>
            <w:r w:rsidRPr="00CF178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steam, diesel, diesel electric and gas turbine propulsion systems and controls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electrical systems and controls, including prime movers (where relevant) </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batteries, transformers, switchboards, distribution systems, lighting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steering gear, stabilisers, bow thrusters, rudders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fluid power systems and controls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deck machinery</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pumps and pumping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604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auxiliary systems and controls, including</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fresh and salt water cooling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lubricating oil cooling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fuel, oil, gas and coal systems and centrifuges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iv</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air compressor and air starting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lubrication</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bilge and ballast system, oily water separator</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refrigeration and air-conditioning plant and equipment</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viii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on-board air compressors and compressed air and control air systems</w:t>
            </w:r>
          </w:p>
        </w:tc>
      </w:tr>
      <w:tr w:rsidTr="0036078B">
        <w:tblPrEx>
          <w:tblW w:w="9468"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ix</w:t>
            </w:r>
          </w:p>
        </w:tc>
        <w:tc>
          <w:tcPr>
            <w:tcW w:w="6519"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waste management and pollution control systems as per the MARPOL Convention</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evaporators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inert gas generator</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cargo pumps, tank washing machines and associated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xiii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purifiers and clarifiers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xiv</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heaters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xv</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sewage plant</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xvi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fixed firefighting installations and fire control systems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xvii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auxiliary boilers and waste heat generators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xviii</w:t>
            </w:r>
          </w:p>
        </w:tc>
        <w:tc>
          <w:tcPr>
            <w:tcW w:w="5540"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lifesaving appliances</w:t>
            </w:r>
          </w:p>
        </w:tc>
      </w:tr>
      <w:tr w:rsidTr="0036078B">
        <w:tblPrEx>
          <w:tblW w:w="9468" w:type="dxa"/>
          <w:tblLayout w:type="fixed"/>
          <w:tblCellMar>
            <w:left w:w="62" w:type="dxa"/>
            <w:right w:w="62" w:type="dxa"/>
          </w:tblCellMar>
          <w:tblLook w:val="0000"/>
        </w:tblPrEx>
        <w:trPr>
          <w:gridAfter w:val="2"/>
          <w:wAfter w:w="9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xix</w:t>
            </w:r>
          </w:p>
        </w:tc>
        <w:tc>
          <w:tcPr>
            <w:tcW w:w="5540"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hull and vessel side valves</w:t>
            </w:r>
          </w:p>
        </w:tc>
      </w:tr>
    </w:tbl>
    <w:p w:rsidR="00000000" w:rsidRPr="00CF1787" w:rsidP="00CF1787">
      <w:pPr>
        <w:pStyle w:val="BodyText"/>
      </w:pPr>
    </w:p>
    <w:tbl>
      <w:tblPr>
        <w:tblW w:w="0" w:type="auto"/>
        <w:tblLayout w:type="fixed"/>
        <w:tblCellMar>
          <w:left w:w="62" w:type="dxa"/>
          <w:right w:w="62" w:type="dxa"/>
        </w:tblCellMar>
        <w:tblLook w:val="0000"/>
      </w:tblPr>
      <w:tblGrid>
        <w:gridCol w:w="346"/>
        <w:gridCol w:w="1742"/>
        <w:gridCol w:w="413"/>
        <w:gridCol w:w="392"/>
        <w:gridCol w:w="4775"/>
        <w:gridCol w:w="818"/>
        <w:gridCol w:w="45"/>
        <w:gridCol w:w="18"/>
      </w:tblGrid>
      <w:tr w:rsidTr="0036078B">
        <w:tblPrEx>
          <w:tblW w:w="0" w:type="auto"/>
          <w:tblLayout w:type="fixed"/>
          <w:tblCellMar>
            <w:left w:w="62" w:type="dxa"/>
            <w:right w:w="62" w:type="dxa"/>
          </w:tblCellMar>
          <w:tblLook w:val="0000"/>
        </w:tblPrEx>
        <w:trPr>
          <w:gridAfter w:val="3"/>
          <w:wAfter w:w="881" w:type="dxa"/>
          <w:tblHeader/>
        </w:trPr>
        <w:tc>
          <w:tcPr>
            <w:tcW w:w="766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Range Statement</w:t>
            </w:r>
            <w:r w:rsidRPr="00CF1787">
              <w:t xml:space="preserve"> (</w:t>
            </w:r>
            <w:r w:rsidRPr="00CF1787">
              <w:rPr>
                <w:rStyle w:val="SpecialBold"/>
              </w:rPr>
              <w:t>continued</w:t>
            </w:r>
            <w:r w:rsidRPr="00CF1787">
              <w:t xml:space="preserve">) </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VARIABLE</w:t>
            </w:r>
          </w:p>
        </w:tc>
        <w:tc>
          <w:tcPr>
            <w:tcW w:w="6461" w:type="dxa"/>
            <w:gridSpan w:val="6"/>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rPr>
                <w:rStyle w:val="SpecialBold"/>
              </w:rPr>
              <w:t>SCOPE</w:t>
            </w:r>
          </w:p>
        </w:tc>
      </w:tr>
      <w:tr w:rsidTr="0036078B">
        <w:tblPrEx>
          <w:tblW w:w="0" w:type="auto"/>
          <w:tblLayout w:type="fixed"/>
          <w:tblCellMar>
            <w:left w:w="62" w:type="dxa"/>
            <w:right w:w="62" w:type="dxa"/>
          </w:tblCellMar>
          <w:tblLook w:val="0000"/>
        </w:tblPrEx>
        <w:trPr>
          <w:gridAfter w:val="2"/>
          <w:wAfter w:w="6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2"/>
          <w:wAfter w:w="63"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Propulsion plant configurations may include</w:t>
            </w:r>
            <w:r w:rsidRPr="00CF1787">
              <w:t>:</w:t>
            </w: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low speed, medium and high speed diesel propulsion</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stern tube bearing</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CPP</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direct drive shaft</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diesel electric</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steam</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gas turbine</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water jets and control systems</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reduction gears</w:t>
            </w:r>
          </w:p>
        </w:tc>
      </w:tr>
      <w:tr w:rsidTr="0036078B">
        <w:tblPrEx>
          <w:tblW w:w="0" w:type="auto"/>
          <w:tblLayout w:type="fixed"/>
          <w:tblCellMar>
            <w:left w:w="62" w:type="dxa"/>
            <w:right w:w="62" w:type="dxa"/>
          </w:tblCellMar>
          <w:tblLook w:val="0000"/>
        </w:tblPrEx>
        <w:trPr>
          <w:gridAfter w:val="2"/>
          <w:wAfter w:w="6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10</w:t>
            </w:r>
          </w:p>
        </w:tc>
        <w:tc>
          <w:tcPr>
            <w:tcW w:w="5985"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thrust blocks, detuners and shaft bearings</w:t>
            </w:r>
          </w:p>
        </w:tc>
      </w:tr>
      <w:tr w:rsidTr="0036078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Testing and repair equipment may include</w:t>
            </w:r>
            <w:r w:rsidRPr="00CF1787">
              <w:t>:</w:t>
            </w: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meters and gauges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computer displays of performance parameters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hand tools, such as spanners, wrenches, screwdrivers, hacksaws, etc.</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greasing and lubrication tools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electric power tools, such as grinders, lathes, drills, etc.</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pneumatic power tools, such as grinders, sanders, drills, etc.</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welding equipment</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block and tackle</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portable and manual lifting equipment and hydraulic jacks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10</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material safety data sheets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11</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protective clothing and equipment such as: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w:t>
            </w:r>
          </w:p>
        </w:tc>
        <w:tc>
          <w:tcPr>
            <w:tcW w:w="563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safety boots, helmet and eye and ear protection</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ii</w:t>
            </w:r>
          </w:p>
        </w:tc>
        <w:tc>
          <w:tcPr>
            <w:tcW w:w="5638"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dust and fume masks</w:t>
            </w:r>
          </w:p>
        </w:tc>
      </w:tr>
      <w:tr w:rsidTr="0036078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Maintenance and repair hazards may include</w:t>
            </w:r>
            <w:r w:rsidRPr="00CF1787">
              <w:t>:</w:t>
            </w: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moving heavy loads using unsafe lifting procedures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unsecured machinery, components or repair equipment</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slippery deck</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welding equipment</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6030"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sharp tools and implements</w:t>
            </w:r>
          </w:p>
        </w:tc>
      </w:tr>
      <w:tr w:rsidTr="0036078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6030"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power tools</w:t>
            </w:r>
          </w:p>
        </w:tc>
      </w:tr>
    </w:tbl>
    <w:p w:rsidR="00000000" w:rsidRPr="00CF1787" w:rsidP="00CF1787">
      <w:pPr>
        <w:pStyle w:val="BodyText"/>
      </w:pPr>
    </w:p>
    <w:tbl>
      <w:tblPr>
        <w:tblW w:w="0" w:type="auto"/>
        <w:tblLayout w:type="fixed"/>
        <w:tblCellMar>
          <w:left w:w="62" w:type="dxa"/>
          <w:right w:w="62" w:type="dxa"/>
        </w:tblCellMar>
        <w:tblLook w:val="0000"/>
      </w:tblPr>
      <w:tblGrid>
        <w:gridCol w:w="346"/>
        <w:gridCol w:w="1742"/>
        <w:gridCol w:w="359"/>
        <w:gridCol w:w="55"/>
        <w:gridCol w:w="27"/>
        <w:gridCol w:w="5139"/>
        <w:gridCol w:w="867"/>
        <w:gridCol w:w="14"/>
      </w:tblGrid>
      <w:tr w:rsidTr="0036078B">
        <w:tblPrEx>
          <w:tblW w:w="0" w:type="auto"/>
          <w:tblLayout w:type="fixed"/>
          <w:tblCellMar>
            <w:left w:w="62" w:type="dxa"/>
            <w:right w:w="62" w:type="dxa"/>
          </w:tblCellMar>
          <w:tblLook w:val="0000"/>
        </w:tblPrEx>
        <w:trPr>
          <w:gridAfter w:val="2"/>
          <w:wAfter w:w="881" w:type="dxa"/>
          <w:tblHeader/>
        </w:trPr>
        <w:tc>
          <w:tcPr>
            <w:tcW w:w="766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Range Statement</w:t>
            </w:r>
            <w:r w:rsidRPr="00CF1787">
              <w:t xml:space="preserve"> (</w:t>
            </w:r>
            <w:r w:rsidRPr="00CF1787">
              <w:rPr>
                <w:rStyle w:val="SpecialBold"/>
              </w:rPr>
              <w:t>continued</w:t>
            </w:r>
            <w:r w:rsidRPr="00CF1787">
              <w:t xml:space="preserve">) </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VARIABLE</w:t>
            </w:r>
          </w:p>
        </w:tc>
        <w:tc>
          <w:tcPr>
            <w:tcW w:w="646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SCOPE</w:t>
            </w:r>
          </w:p>
        </w:tc>
      </w:tr>
      <w:tr w:rsidTr="0036078B">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Maintenance and repair hazards may include</w:t>
            </w:r>
            <w:r w:rsidRPr="00CF1787">
              <w:t>:</w:t>
            </w:r>
          </w:p>
          <w:p w:rsidR="00000000" w:rsidP="00CF1787">
            <w:pPr>
              <w:pStyle w:val="BodyText"/>
              <w:rPr>
                <w:lang w:val="en-NZ"/>
              </w:rPr>
            </w:pPr>
            <w:r w:rsidRPr="00CF1787">
              <w:t>(</w:t>
            </w:r>
            <w:r w:rsidRPr="00CF1787">
              <w:rPr>
                <w:rStyle w:val="SpecialBold"/>
              </w:rPr>
              <w:t>continued</w:t>
            </w:r>
            <w:r w:rsidRPr="00CF1787">
              <w:t xml:space="preserve">) </w:t>
            </w: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7</w:t>
            </w:r>
          </w:p>
        </w:tc>
        <w:tc>
          <w:tcPr>
            <w:tcW w:w="6033" w:type="dxa"/>
            <w:gridSpan w:val="3"/>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 xml:space="preserve">moving and rotating machinery </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flammable liquids, vapours and fuel</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faulty machinery equipment handling equipment or lifting gear</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10</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using equipment beyond safe working limits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11</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poor housekeeping procedures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12</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non-co</w:t>
            </w:r>
            <w:r w:rsidRPr="00CF1787">
              <w:t>mpliance with safe working procedures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13</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electrical wiring and systems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14</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hot pipes and valves (steam, fuel oil, lubricating oil)</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15</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cold pipes and valves (refrigeration and liquefied gas cargoes)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16</w:t>
            </w:r>
          </w:p>
        </w:tc>
        <w:tc>
          <w:tcPr>
            <w:tcW w:w="6033" w:type="dxa"/>
            <w:gridSpan w:val="3"/>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working at heights</w:t>
            </w:r>
          </w:p>
        </w:tc>
      </w:tr>
      <w:tr w:rsidTr="0036078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Emergencies may include</w:t>
            </w:r>
            <w:r w:rsidRPr="00CF1787">
              <w:t>:</w:t>
            </w: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loss of propulsion</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loss of electrical power</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loss of engine and/or transmission control</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loss of steering</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flooding of engine room</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fire or explosion in engine room</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loss of refrigeration </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8</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loss of wa</w:t>
            </w:r>
            <w:r w:rsidRPr="00CF1787">
              <w:t>ter making ability</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fuel oil, lubrication oil, steam and gas leaks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10</w:t>
            </w:r>
          </w:p>
        </w:tc>
        <w:tc>
          <w:tcPr>
            <w:tcW w:w="6006"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overheating and overspeed of machinery, governors, emergency trips</w:t>
            </w:r>
          </w:p>
        </w:tc>
      </w:tr>
      <w:tr w:rsidTr="0036078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Documentation and records</w:t>
            </w:r>
          </w:p>
          <w:p w:rsidR="00000000" w:rsidP="00CF1787">
            <w:pPr>
              <w:pStyle w:val="BodyText"/>
              <w:rPr>
                <w:lang w:val="en-NZ"/>
              </w:rPr>
            </w:pPr>
            <w:r w:rsidRPr="00CF1787">
              <w:rPr>
                <w:rStyle w:val="SpecialBold"/>
              </w:rPr>
              <w:t>may include</w:t>
            </w:r>
            <w:r w:rsidRPr="00CF1787">
              <w:t>:</w:t>
            </w: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88"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vessel's and company's planned maintenance system, repair procedures and instructions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88"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machinery and vessel manufacturer's specifications, instructions and recommended procedures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88"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maintenance log, running sheets and records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88"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computer database of running information and maintenance records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5</w:t>
            </w:r>
          </w:p>
        </w:tc>
        <w:tc>
          <w:tcPr>
            <w:tcW w:w="6088"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vessel's survey as it relates to shipboard machinery</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6</w:t>
            </w:r>
          </w:p>
        </w:tc>
        <w:tc>
          <w:tcPr>
            <w:tcW w:w="6088" w:type="dxa"/>
            <w:gridSpan w:val="4"/>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vessel's safety and emergency contingency plans and procedures</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7</w:t>
            </w:r>
          </w:p>
        </w:tc>
        <w:tc>
          <w:tcPr>
            <w:tcW w:w="6088" w:type="dxa"/>
            <w:gridSpan w:val="4"/>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machinery and vessel manufacturer's specifications, instructions and recommended procedures</w:t>
            </w:r>
          </w:p>
        </w:tc>
      </w:tr>
    </w:tbl>
    <w:p w:rsidR="00000000" w:rsidRPr="00CF1787" w:rsidP="00CF1787">
      <w:pPr>
        <w:pStyle w:val="BodyText"/>
      </w:pPr>
    </w:p>
    <w:tbl>
      <w:tblPr>
        <w:tblW w:w="0" w:type="auto"/>
        <w:tblLayout w:type="fixed"/>
        <w:tblCellMar>
          <w:left w:w="62" w:type="dxa"/>
          <w:right w:w="62" w:type="dxa"/>
        </w:tblCellMar>
        <w:tblLook w:val="0000"/>
      </w:tblPr>
      <w:tblGrid>
        <w:gridCol w:w="346"/>
        <w:gridCol w:w="1744"/>
        <w:gridCol w:w="9"/>
        <w:gridCol w:w="348"/>
        <w:gridCol w:w="5221"/>
        <w:gridCol w:w="867"/>
        <w:gridCol w:w="14"/>
      </w:tblGrid>
      <w:tr w:rsidTr="0036078B">
        <w:tblPrEx>
          <w:tblW w:w="0" w:type="auto"/>
          <w:tblLayout w:type="fixed"/>
          <w:tblCellMar>
            <w:left w:w="62" w:type="dxa"/>
            <w:right w:w="62" w:type="dxa"/>
          </w:tblCellMar>
          <w:tblLook w:val="0000"/>
        </w:tblPrEx>
        <w:trPr>
          <w:gridAfter w:val="2"/>
          <w:wAfter w:w="881" w:type="dxa"/>
          <w:tblHeader/>
        </w:trPr>
        <w:tc>
          <w:tcPr>
            <w:tcW w:w="766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rPr>
                <w:rStyle w:val="SpecialBold"/>
              </w:rPr>
              <w:t>Range Statement</w:t>
            </w:r>
            <w:r w:rsidRPr="00CF1787">
              <w:t xml:space="preserve"> (</w:t>
            </w:r>
            <w:r w:rsidRPr="00CF1787">
              <w:rPr>
                <w:rStyle w:val="SpecialBold"/>
              </w:rPr>
              <w:t>continued</w:t>
            </w:r>
            <w:r w:rsidRPr="00CF1787">
              <w:t xml:space="preserve">) </w:t>
            </w:r>
          </w:p>
          <w:p w:rsidR="00000000" w:rsidP="00CF1787">
            <w:pPr>
              <w:pStyle w:val="BodyText"/>
              <w:rPr>
                <w:lang w:val="en-NZ"/>
              </w:rPr>
            </w:pPr>
            <w:r w:rsidRPr="00CF1787">
              <w:rPr>
                <w:rStyle w:val="SpecialBold"/>
              </w:rPr>
              <w:t>TDMMB3807B DISMANTLE</w:t>
            </w:r>
            <w:r w:rsidRPr="00CF1787">
              <w:t xml:space="preserve">, </w:t>
            </w:r>
            <w:r w:rsidRPr="00CF1787">
              <w:rPr>
                <w:rStyle w:val="SpecialBold"/>
              </w:rPr>
              <w:t>INSPECT</w:t>
            </w:r>
            <w:r w:rsidRPr="00CF1787">
              <w:t xml:space="preserve">, </w:t>
            </w:r>
            <w:r w:rsidRPr="00CF1787">
              <w:rPr>
                <w:rStyle w:val="SpecialBold"/>
              </w:rPr>
              <w:t>REPAIR AND REASSEMBLE VESSEL MACHINERY</w:t>
            </w:r>
          </w:p>
        </w:tc>
      </w:tr>
      <w:tr w:rsidTr="0036078B">
        <w:tblPrEx>
          <w:tblW w:w="0" w:type="auto"/>
          <w:tblLayout w:type="fixed"/>
          <w:tblCellMar>
            <w:left w:w="62" w:type="dxa"/>
            <w:right w:w="62" w:type="dxa"/>
          </w:tblCellMar>
          <w:tblLook w:val="0000"/>
        </w:tblPrEx>
        <w:tc>
          <w:tcPr>
            <w:tcW w:w="2099"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VARIABLE</w:t>
            </w:r>
          </w:p>
        </w:tc>
        <w:tc>
          <w:tcPr>
            <w:tcW w:w="6450"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F1787">
            <w:pPr>
              <w:pStyle w:val="BodyText"/>
              <w:rPr>
                <w:lang w:val="en-NZ"/>
              </w:rPr>
            </w:pPr>
            <w:r w:rsidRPr="00CF1787">
              <w:rPr>
                <w:rStyle w:val="SpecialBold"/>
              </w:rPr>
              <w:t>SCOPE</w:t>
            </w:r>
          </w:p>
        </w:tc>
      </w:tr>
      <w:tr w:rsidTr="0036078B">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CF1787" w:rsidP="00CF1787">
            <w:pPr>
              <w:pStyle w:val="BodyText"/>
            </w:pPr>
          </w:p>
          <w:p w:rsidR="00000000" w:rsidRPr="00CF1787" w:rsidP="00CF1787">
            <w:pPr>
              <w:pStyle w:val="BodyText"/>
            </w:pPr>
            <w:r w:rsidRPr="00CF1787">
              <w:rPr>
                <w:rStyle w:val="SpecialBold"/>
              </w:rPr>
              <w:t>Documentation and records</w:t>
            </w:r>
          </w:p>
          <w:p w:rsidR="00000000" w:rsidRPr="00CF1787" w:rsidP="00CF1787">
            <w:pPr>
              <w:pStyle w:val="BodyText"/>
            </w:pPr>
            <w:r w:rsidRPr="00CF1787">
              <w:rPr>
                <w:rStyle w:val="SpecialBold"/>
              </w:rPr>
              <w:t>may include</w:t>
            </w:r>
            <w:r w:rsidRPr="00CF1787">
              <w:t>:</w:t>
            </w:r>
          </w:p>
          <w:p w:rsidR="00000000" w:rsidP="00CF1787">
            <w:pPr>
              <w:pStyle w:val="BodyText"/>
              <w:rPr>
                <w:lang w:val="en-NZ"/>
              </w:rPr>
            </w:pPr>
            <w:r w:rsidRPr="00CF1787">
              <w:t>(</w:t>
            </w:r>
            <w:r w:rsidRPr="00CF1787">
              <w:rPr>
                <w:rStyle w:val="SpecialBold"/>
              </w:rPr>
              <w:t>continued</w:t>
            </w:r>
            <w:r w:rsidRPr="00CF1787">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8</w:t>
            </w:r>
          </w:p>
        </w:tc>
        <w:tc>
          <w:tcPr>
            <w:tcW w:w="6088"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p>
          <w:p w:rsidR="00000000" w:rsidP="00CF1787">
            <w:pPr>
              <w:pStyle w:val="BodyText"/>
              <w:rPr>
                <w:lang w:val="en-NZ"/>
              </w:rPr>
            </w:pPr>
            <w:r w:rsidRPr="00CF1787">
              <w:t xml:space="preserve">relevant maritime regulations </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9</w:t>
            </w:r>
          </w:p>
        </w:tc>
        <w:tc>
          <w:tcPr>
            <w:tcW w:w="6088"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instructions of relevant maritime authorities and classification societies concerning shipboard machinery maintenance and repair</w:t>
            </w:r>
          </w:p>
        </w:tc>
      </w:tr>
      <w:tr w:rsidTr="0036078B">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078B">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Applicable legislation</w:t>
            </w:r>
            <w:r w:rsidRPr="00CF1787">
              <w:t xml:space="preserve">, </w:t>
            </w:r>
            <w:r w:rsidRPr="00CF1787">
              <w:rPr>
                <w:rStyle w:val="SpecialBold"/>
              </w:rPr>
              <w:t>regulations and codes may include</w:t>
            </w:r>
            <w:r w:rsidRPr="00CF1787">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1</w:t>
            </w:r>
          </w:p>
        </w:tc>
        <w:tc>
          <w:tcPr>
            <w:tcW w:w="6088"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 xml:space="preserve">State and Territory marine regulations related to the operation of small vessels </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2</w:t>
            </w:r>
          </w:p>
        </w:tc>
        <w:tc>
          <w:tcPr>
            <w:tcW w:w="6088"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National Standard for Commercial Vessels and USL Code</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3</w:t>
            </w:r>
          </w:p>
        </w:tc>
        <w:tc>
          <w:tcPr>
            <w:tcW w:w="6088" w:type="dxa"/>
            <w:gridSpan w:val="2"/>
            <w:tcBorders>
              <w:top w:val="nil"/>
              <w:left w:val="nil"/>
              <w:bottom w:val="nil"/>
              <w:right w:val="nil"/>
            </w:tcBorders>
            <w:tcMar>
              <w:top w:w="0" w:type="dxa"/>
              <w:left w:w="62" w:type="dxa"/>
              <w:bottom w:w="0" w:type="dxa"/>
              <w:right w:w="62" w:type="dxa"/>
            </w:tcMar>
          </w:tcPr>
          <w:p w:rsidR="00000000" w:rsidP="00CF1787">
            <w:pPr>
              <w:pStyle w:val="BodyText"/>
              <w:rPr>
                <w:lang w:val="en-NZ"/>
              </w:rPr>
            </w:pPr>
            <w:r w:rsidRPr="00CF1787">
              <w:t>relevant international, Commonwealth, State and Territory OH&amp;S legislation</w:t>
            </w:r>
          </w:p>
        </w:tc>
      </w:tr>
      <w:tr w:rsidTr="0036078B">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CF1787">
            <w:pPr>
              <w:pStyle w:val="BodyText"/>
              <w:rPr>
                <w:lang w:val="en-NZ"/>
              </w:rPr>
            </w:pPr>
            <w:r w:rsidRPr="00CF1787">
              <w:t>4</w:t>
            </w:r>
          </w:p>
        </w:tc>
        <w:tc>
          <w:tcPr>
            <w:tcW w:w="6088" w:type="dxa"/>
            <w:gridSpan w:val="2"/>
            <w:tcBorders>
              <w:top w:val="nil"/>
              <w:left w:val="nil"/>
              <w:bottom w:val="nil"/>
              <w:right w:val="nil"/>
            </w:tcBorders>
            <w:tcMar>
              <w:top w:w="0" w:type="dxa"/>
              <w:left w:w="62" w:type="dxa"/>
              <w:bottom w:w="0" w:type="dxa"/>
              <w:right w:w="62" w:type="dxa"/>
            </w:tcMar>
          </w:tcPr>
          <w:p w:rsidR="00000000" w:rsidRPr="00CF1787" w:rsidP="00CF1787">
            <w:pPr>
              <w:pStyle w:val="BodyText"/>
            </w:pPr>
            <w:r w:rsidRPr="00CF1787">
              <w:t>relevant international, Commonwealth, State and Territory engineering practice standards</w:t>
            </w:r>
          </w:p>
        </w:tc>
      </w:tr>
    </w:tbl>
    <w:p w:rsidR="00000000" w:rsidRPr="00CF1787" w:rsidP="00CF1787">
      <w:pPr>
        <w:pStyle w:val="BodyText"/>
      </w:pPr>
    </w:p>
    <w:p w:rsidR="00000000" w:rsidRPr="00CF1787" w:rsidP="00CF1787">
      <w:pPr>
        <w:pStyle w:val="AllowPageBreak"/>
      </w:pPr>
    </w:p>
    <w:p w:rsidR="00000000" w:rsidRPr="00CF1787" w:rsidP="00CF1787">
      <w:pPr>
        <w:pStyle w:val="Heading1"/>
      </w:pPr>
      <w:bookmarkStart w:id="12" w:name="O_150614"/>
      <w:bookmarkEnd w:id="12"/>
      <w:r w:rsidRPr="00CF1787">
        <w:t>Unit Sector(s)</w:t>
      </w:r>
    </w:p>
    <w:p w:rsidR="00000000" w:rsidRPr="00CF1787" w:rsidP="00CF1787">
      <w:pPr>
        <w:pStyle w:val="BodyText"/>
      </w:pPr>
      <w:r w:rsidRPr="00CF1787">
        <w:t>Not applicable.</w:t>
      </w:r>
    </w:p>
    <w:p w:rsidR="00000000" w:rsidRPr="00CF1787" w:rsidP="00CF1787">
      <w:pPr>
        <w:pStyle w:val="AllowPageBreak"/>
      </w:pPr>
    </w:p>
    <w:p w:rsidR="00000000" w:rsidRPr="00CF1787" w:rsidP="00CF1787">
      <w:pPr>
        <w:pStyle w:val="Heading1"/>
      </w:pPr>
      <w:bookmarkStart w:id="13" w:name="O_163666"/>
      <w:bookmarkEnd w:id="13"/>
      <w:r w:rsidRPr="00CF1787">
        <w:t>Field</w:t>
      </w:r>
    </w:p>
    <w:p w:rsidR="0036078B" w:rsidP="00CF1787">
      <w:pPr>
        <w:pStyle w:val="BodyText"/>
      </w:pPr>
      <w:r w:rsidRPr="00CF1787">
        <w:t>Field</w:t>
      </w:r>
      <w:r w:rsidRPr="00CF1787">
        <w:tab/>
        <w:t>B</w:t>
      </w:r>
      <w:r w:rsidRPr="00CF1787">
        <w:tab/>
      </w:r>
      <w:r w:rsidRPr="00CF1787">
        <w:t>Equipment Checking and Maintenance</w:t>
      </w:r>
    </w:p>
    <w:p w:rsidR="0036078B" w:rsidP="00CF1787">
      <w:pPr>
        <w:pStyle w:val="BodyText"/>
      </w:pPr>
    </w:p>
    <w:p w:rsidR="00000000" w:rsidRPr="00CF1787" w:rsidP="00CF1787">
      <w:pPr>
        <w:pStyle w:val="Heading1"/>
      </w:pPr>
      <w:bookmarkStart w:id="14" w:name="O_163667"/>
      <w:bookmarkEnd w:id="14"/>
      <w:r w:rsidRPr="00CF1787">
        <w:t>Relationship to other units</w:t>
      </w:r>
    </w:p>
    <w:tbl>
      <w:tblPr>
        <w:tblW w:w="0" w:type="auto"/>
        <w:tblLayout w:type="fixed"/>
        <w:tblCellMar>
          <w:left w:w="62" w:type="dxa"/>
          <w:right w:w="62" w:type="dxa"/>
        </w:tblCellMar>
        <w:tblLook w:val="0000"/>
      </w:tblPr>
      <w:tblGrid>
        <w:gridCol w:w="1974"/>
        <w:gridCol w:w="6481"/>
      </w:tblGrid>
      <w:tr w:rsidTr="0036078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787">
            <w:pPr>
              <w:pStyle w:val="BodyText"/>
              <w:rPr>
                <w:lang w:val="en-NZ"/>
              </w:rPr>
            </w:pPr>
            <w:r w:rsidRPr="00CF1787">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787" w:rsidP="00CF1787">
            <w:pPr>
              <w:pStyle w:val="BodyText"/>
            </w:pPr>
            <w:r w:rsidRPr="00CF1787">
              <w:t>The unit may be assessed in conjunction with other units that relate to the functions of the occupation(s) concerned.</w:t>
            </w:r>
          </w:p>
        </w:tc>
      </w:tr>
    </w:tbl>
    <w:p w:rsidR="00000000" w:rsidRPr="00CF1787" w:rsidP="00CF1787">
      <w:pPr>
        <w:pStyle w:val="BodyText"/>
      </w:pPr>
    </w:p>
    <w:p w:rsidR="00000000" w:rsidRPr="00CF1787" w:rsidP="00CF1787"/>
    <w:sectPr w:rsidSect="00CF1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78B" w:rsidP="00360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8B" w:rsidP="00CF1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6078B" w:rsidP="00CF1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6078B" w:rsidP="00CF1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78B" w:rsidP="003607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8B" w:rsidP="00CF1787">
    <w:pPr>
      <w:pStyle w:val="Header"/>
      <w:framePr w:wrap="around"/>
    </w:pPr>
    <w:r>
      <w:fldChar w:fldCharType="begin"/>
    </w:r>
    <w:r>
      <w:instrText xml:space="preserve"> TITLE   \* MERGEFORMAT </w:instrText>
    </w:r>
    <w:r>
      <w:fldChar w:fldCharType="separate"/>
    </w:r>
    <w:r>
      <w:t>TDMMB3807B DISMANTLE, INSPECT, REPAIR AND REASSEMBLE VESSEL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078B" w:rsidP="00CF1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787"/>
    <w:pPr>
      <w:spacing w:before="360" w:after="60"/>
      <w:outlineLvl w:val="0"/>
    </w:pPr>
    <w:rPr>
      <w:sz w:val="32"/>
    </w:rPr>
  </w:style>
  <w:style w:type="paragraph" w:styleId="Heading2">
    <w:name w:val="heading 2"/>
    <w:basedOn w:val="HeadingBase"/>
    <w:next w:val="BodyText"/>
    <w:link w:val="Heading2Char"/>
    <w:qFormat/>
    <w:rsid w:val="00CF1787"/>
    <w:pPr>
      <w:keepLines/>
      <w:spacing w:before="240" w:after="120"/>
      <w:outlineLvl w:val="1"/>
    </w:pPr>
    <w:rPr>
      <w:sz w:val="28"/>
      <w:szCs w:val="40"/>
    </w:rPr>
  </w:style>
  <w:style w:type="paragraph" w:styleId="Heading3">
    <w:name w:val="heading 3"/>
    <w:basedOn w:val="HeadingBase"/>
    <w:next w:val="BodyText"/>
    <w:link w:val="Heading3Char"/>
    <w:qFormat/>
    <w:rsid w:val="00CF1787"/>
    <w:pPr>
      <w:spacing w:before="180" w:after="120"/>
      <w:outlineLvl w:val="2"/>
    </w:pPr>
    <w:rPr>
      <w:spacing w:val="-10"/>
      <w:kern w:val="32"/>
    </w:rPr>
  </w:style>
  <w:style w:type="paragraph" w:styleId="Heading4">
    <w:name w:val="heading 4"/>
    <w:basedOn w:val="HeadingBase"/>
    <w:next w:val="BodyText"/>
    <w:link w:val="Heading4Char"/>
    <w:qFormat/>
    <w:rsid w:val="00CF1787"/>
    <w:pPr>
      <w:spacing w:before="160" w:after="120"/>
      <w:outlineLvl w:val="3"/>
    </w:pPr>
    <w:rPr>
      <w:sz w:val="22"/>
    </w:rPr>
  </w:style>
  <w:style w:type="paragraph" w:styleId="Heading5">
    <w:name w:val="heading 5"/>
    <w:basedOn w:val="HeadingBase"/>
    <w:next w:val="Normal"/>
    <w:link w:val="Heading5Char"/>
    <w:qFormat/>
    <w:rsid w:val="00CF1787"/>
    <w:pPr>
      <w:spacing w:before="80"/>
      <w:outlineLvl w:val="4"/>
    </w:pPr>
    <w:rPr>
      <w:color w:val="918585"/>
      <w:sz w:val="20"/>
    </w:rPr>
  </w:style>
  <w:style w:type="paragraph" w:styleId="Heading6">
    <w:name w:val="heading 6"/>
    <w:basedOn w:val="HeadingBase"/>
    <w:next w:val="Normal"/>
    <w:link w:val="Heading6Char"/>
    <w:qFormat/>
    <w:rsid w:val="00CF1787"/>
    <w:pPr>
      <w:spacing w:before="60"/>
      <w:outlineLvl w:val="5"/>
    </w:pPr>
    <w:rPr>
      <w:color w:val="918585"/>
      <w:sz w:val="20"/>
    </w:rPr>
  </w:style>
  <w:style w:type="paragraph" w:styleId="Heading7">
    <w:name w:val="heading 7"/>
    <w:basedOn w:val="Normal"/>
    <w:next w:val="Normal"/>
    <w:link w:val="Heading7Char"/>
    <w:qFormat/>
    <w:rsid w:val="00CF1787"/>
    <w:pPr>
      <w:ind w:left="720"/>
      <w:outlineLvl w:val="6"/>
    </w:pPr>
    <w:rPr>
      <w:i/>
    </w:rPr>
  </w:style>
  <w:style w:type="paragraph" w:styleId="Heading8">
    <w:name w:val="heading 8"/>
    <w:basedOn w:val="Normal"/>
    <w:next w:val="Normal"/>
    <w:link w:val="Heading8Char"/>
    <w:qFormat/>
    <w:rsid w:val="00CF1787"/>
    <w:pPr>
      <w:ind w:left="720"/>
      <w:outlineLvl w:val="7"/>
    </w:pPr>
    <w:rPr>
      <w:i/>
    </w:rPr>
  </w:style>
  <w:style w:type="paragraph" w:styleId="Heading9">
    <w:name w:val="heading 9"/>
    <w:basedOn w:val="Normal"/>
    <w:next w:val="Normal"/>
    <w:link w:val="Heading9Char"/>
    <w:qFormat/>
    <w:rsid w:val="00CF1787"/>
    <w:pPr>
      <w:ind w:left="720"/>
      <w:outlineLvl w:val="8"/>
    </w:pPr>
    <w:rPr>
      <w:i/>
    </w:rPr>
  </w:style>
  <w:style w:type="character" w:default="1" w:styleId="DefaultParagraphFont">
    <w:name w:val="Default Paragraph Font"/>
    <w:uiPriority w:val="1"/>
    <w:unhideWhenUsed/>
    <w:rsid w:val="00CF1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787"/>
  </w:style>
  <w:style w:type="character" w:customStyle="1" w:styleId="Heading1Char">
    <w:name w:val="Heading 1 Char"/>
    <w:basedOn w:val="DefaultParagraphFont"/>
    <w:link w:val="Heading1"/>
    <w:rsid w:val="00CF1787"/>
    <w:rPr>
      <w:rFonts w:ascii="Times New Roman" w:eastAsia="Times New Roman" w:hAnsi="Times New Roman" w:cs="Times New Roman"/>
      <w:b/>
      <w:sz w:val="32"/>
      <w:szCs w:val="20"/>
      <w:lang w:eastAsia="en-US"/>
    </w:rPr>
  </w:style>
  <w:style w:type="paragraph" w:styleId="BodyText">
    <w:name w:val="Body Text"/>
    <w:basedOn w:val="Normal"/>
    <w:link w:val="BodyTextChar"/>
    <w:rsid w:val="00CF1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787"/>
    <w:rPr>
      <w:rFonts w:ascii="Times New Roman" w:eastAsia="Times New Roman" w:hAnsi="Times New Roman" w:cs="Times New Roman"/>
      <w:sz w:val="24"/>
      <w:lang w:val="en-US" w:eastAsia="en-US"/>
    </w:rPr>
  </w:style>
  <w:style w:type="paragraph" w:styleId="Footer">
    <w:name w:val="footer"/>
    <w:basedOn w:val="Normal"/>
    <w:link w:val="FooterChar"/>
    <w:rsid w:val="00CF1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78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F1787"/>
    <w:rPr>
      <w:b/>
      <w:spacing w:val="0"/>
    </w:rPr>
  </w:style>
  <w:style w:type="paragraph" w:styleId="Header">
    <w:name w:val="header"/>
    <w:basedOn w:val="Normal"/>
    <w:link w:val="HeaderChar"/>
    <w:rsid w:val="00CF1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7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1787"/>
    <w:rPr>
      <w:i/>
    </w:rPr>
  </w:style>
  <w:style w:type="paragraph" w:customStyle="1" w:styleId="SuperHeading">
    <w:name w:val="SuperHeading"/>
    <w:basedOn w:val="Normal"/>
    <w:rsid w:val="00CF1787"/>
    <w:pPr>
      <w:spacing w:before="240" w:after="120"/>
      <w:outlineLvl w:val="0"/>
    </w:pPr>
    <w:rPr>
      <w:rFonts w:ascii="Times New Roman" w:hAnsi="Times New Roman"/>
      <w:b/>
      <w:sz w:val="28"/>
    </w:rPr>
  </w:style>
  <w:style w:type="paragraph" w:customStyle="1" w:styleId="AllowPageBreak">
    <w:name w:val="AllowPageBreak"/>
    <w:rsid w:val="00CF17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787"/>
    <w:rPr>
      <w:rFonts w:ascii="Courier New" w:eastAsia="Times New Roman" w:hAnsi="Courier New" w:cs="Times New Roman"/>
      <w:i/>
      <w:szCs w:val="20"/>
      <w:lang w:val="en-US" w:eastAsia="en-US"/>
    </w:rPr>
  </w:style>
  <w:style w:type="paragraph" w:customStyle="1" w:styleId="HeadingBase">
    <w:name w:val="Heading Base"/>
    <w:rsid w:val="00CF1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787"/>
    <w:pPr>
      <w:tabs>
        <w:tab w:val="right" w:leader="dot" w:pos="9072"/>
      </w:tabs>
      <w:ind w:left="567"/>
    </w:pPr>
    <w:rPr>
      <w:szCs w:val="22"/>
    </w:rPr>
  </w:style>
  <w:style w:type="paragraph" w:customStyle="1" w:styleId="TOCBase">
    <w:name w:val="TOC Base"/>
    <w:rsid w:val="00CF1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787"/>
    <w:pPr>
      <w:tabs>
        <w:tab w:val="right" w:leader="dot" w:pos="9072"/>
      </w:tabs>
      <w:spacing w:before="40" w:after="40"/>
      <w:ind w:left="284"/>
    </w:pPr>
    <w:rPr>
      <w:rFonts w:ascii="Times New Roman" w:hAnsi="Times New Roman"/>
    </w:rPr>
  </w:style>
  <w:style w:type="paragraph" w:styleId="TOC1">
    <w:name w:val="toc 1"/>
    <w:basedOn w:val="TOCBase"/>
    <w:next w:val="Normal"/>
    <w:rsid w:val="00CF1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787"/>
    <w:pPr>
      <w:spacing w:before="5040"/>
      <w:jc w:val="center"/>
    </w:pPr>
    <w:rPr>
      <w:sz w:val="48"/>
      <w:szCs w:val="72"/>
      <w:lang w:val="en-US"/>
    </w:rPr>
  </w:style>
  <w:style w:type="character" w:customStyle="1" w:styleId="TitleChar">
    <w:name w:val="Title Char"/>
    <w:basedOn w:val="DefaultParagraphFont"/>
    <w:link w:val="Title"/>
    <w:rsid w:val="00CF1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787"/>
    <w:pPr>
      <w:tabs>
        <w:tab w:val="left" w:pos="3600"/>
        <w:tab w:val="left" w:pos="3958"/>
      </w:tabs>
    </w:pPr>
  </w:style>
  <w:style w:type="paragraph" w:styleId="List">
    <w:name w:val="List"/>
    <w:basedOn w:val="BodyText"/>
    <w:next w:val="BodyText"/>
    <w:rsid w:val="00CF1787"/>
    <w:pPr>
      <w:tabs>
        <w:tab w:val="left" w:pos="340"/>
      </w:tabs>
      <w:spacing w:before="60" w:after="60"/>
      <w:ind w:left="340" w:hanging="340"/>
    </w:pPr>
  </w:style>
  <w:style w:type="paragraph" w:styleId="ListBullet">
    <w:name w:val="List Bullet"/>
    <w:basedOn w:val="List"/>
    <w:rsid w:val="00CF1787"/>
    <w:pPr>
      <w:numPr>
        <w:numId w:val="11"/>
      </w:numPr>
      <w:tabs>
        <w:tab w:val="clear" w:pos="340"/>
      </w:tabs>
      <w:spacing w:before="40" w:after="40"/>
    </w:pPr>
  </w:style>
  <w:style w:type="paragraph" w:customStyle="1" w:styleId="Note">
    <w:name w:val="Note"/>
    <w:basedOn w:val="BodyText"/>
    <w:rsid w:val="00CF1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787"/>
    <w:pPr>
      <w:framePr w:wrap="auto" w:hAnchor="text" w:y="6049"/>
    </w:pPr>
    <w:rPr>
      <w:color w:val="000000"/>
      <w:sz w:val="40"/>
    </w:rPr>
  </w:style>
  <w:style w:type="paragraph" w:customStyle="1" w:styleId="TOCTitle">
    <w:name w:val="TOCTitle"/>
    <w:basedOn w:val="Heading1"/>
    <w:rsid w:val="00CF1787"/>
    <w:pPr>
      <w:spacing w:after="240"/>
      <w:jc w:val="center"/>
      <w:outlineLvl w:val="9"/>
    </w:pPr>
    <w:rPr>
      <w:caps/>
    </w:rPr>
  </w:style>
  <w:style w:type="paragraph" w:customStyle="1" w:styleId="Version">
    <w:name w:val="Version"/>
    <w:rsid w:val="00CF17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787"/>
    <w:pPr>
      <w:numPr>
        <w:numId w:val="12"/>
      </w:numPr>
      <w:tabs>
        <w:tab w:val="clear" w:pos="680"/>
      </w:tabs>
    </w:pPr>
  </w:style>
  <w:style w:type="paragraph" w:styleId="Index1">
    <w:name w:val="index 1"/>
    <w:basedOn w:val="Normal"/>
    <w:next w:val="Normal"/>
    <w:semiHidden/>
    <w:rsid w:val="00CF1787"/>
    <w:pPr>
      <w:keepNext w:val="0"/>
      <w:tabs>
        <w:tab w:val="right" w:pos="4176"/>
      </w:tabs>
      <w:ind w:left="198" w:hanging="198"/>
    </w:pPr>
    <w:rPr>
      <w:rFonts w:ascii="Garamond" w:hAnsi="Garamond"/>
    </w:rPr>
  </w:style>
  <w:style w:type="paragraph" w:styleId="IndexHeading">
    <w:name w:val="index heading"/>
    <w:basedOn w:val="Normal"/>
    <w:next w:val="Index1"/>
    <w:semiHidden/>
    <w:rsid w:val="00CF1787"/>
    <w:pPr>
      <w:spacing w:before="120" w:after="120"/>
    </w:pPr>
    <w:rPr>
      <w:rFonts w:ascii="Arial" w:hAnsi="Arial"/>
      <w:b/>
      <w:color w:val="918585"/>
      <w:sz w:val="24"/>
    </w:rPr>
  </w:style>
  <w:style w:type="paragraph" w:customStyle="1" w:styleId="Chapter">
    <w:name w:val="Chapter"/>
    <w:basedOn w:val="Normal"/>
    <w:rsid w:val="00CF1787"/>
    <w:pPr>
      <w:spacing w:before="240"/>
    </w:pPr>
    <w:rPr>
      <w:rFonts w:ascii="Times New Roman" w:hAnsi="Times New Roman"/>
      <w:smallCaps/>
      <w:spacing w:val="80"/>
      <w:sz w:val="28"/>
    </w:rPr>
  </w:style>
  <w:style w:type="paragraph" w:customStyle="1" w:styleId="InChapter">
    <w:name w:val="InChapter"/>
    <w:basedOn w:val="Heading3"/>
    <w:rsid w:val="00CF1787"/>
    <w:pPr>
      <w:spacing w:after="240"/>
      <w:outlineLvl w:val="9"/>
    </w:pPr>
    <w:rPr>
      <w:noProof/>
    </w:rPr>
  </w:style>
  <w:style w:type="paragraph" w:styleId="Index2">
    <w:name w:val="index 2"/>
    <w:basedOn w:val="Normal"/>
    <w:next w:val="Normal"/>
    <w:semiHidden/>
    <w:rsid w:val="00CF1787"/>
    <w:pPr>
      <w:tabs>
        <w:tab w:val="right" w:pos="4176"/>
      </w:tabs>
      <w:ind w:left="568" w:hanging="284"/>
    </w:pPr>
    <w:rPr>
      <w:rFonts w:ascii="Garamond" w:hAnsi="Garamond"/>
    </w:rPr>
  </w:style>
  <w:style w:type="paragraph" w:customStyle="1" w:styleId="Byline">
    <w:name w:val="Byline"/>
    <w:rsid w:val="00CF1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787"/>
    <w:pPr>
      <w:tabs>
        <w:tab w:val="clear" w:pos="3600"/>
        <w:tab w:val="clear" w:pos="3958"/>
      </w:tabs>
      <w:jc w:val="right"/>
    </w:pPr>
  </w:style>
  <w:style w:type="paragraph" w:styleId="Caption">
    <w:name w:val="caption"/>
    <w:basedOn w:val="BodyText"/>
    <w:next w:val="Normal"/>
    <w:qFormat/>
    <w:rsid w:val="00CF1787"/>
    <w:pPr>
      <w:framePr w:w="2268" w:hSpace="181" w:vSpace="181" w:wrap="around" w:vAnchor="text" w:hAnchor="page" w:x="1135" w:y="285" w:anchorLock="1"/>
    </w:pPr>
    <w:rPr>
      <w:i/>
    </w:rPr>
  </w:style>
  <w:style w:type="paragraph" w:customStyle="1" w:styleId="MiniTOCTitle">
    <w:name w:val="MiniTOCTitle"/>
    <w:basedOn w:val="Heading4"/>
    <w:rsid w:val="00CF1787"/>
    <w:pPr>
      <w:spacing w:before="240"/>
      <w:outlineLvl w:val="9"/>
    </w:pPr>
    <w:rPr>
      <w:noProof/>
      <w:sz w:val="24"/>
    </w:rPr>
  </w:style>
  <w:style w:type="paragraph" w:customStyle="1" w:styleId="MiniTOCItem">
    <w:name w:val="MiniTOCItem"/>
    <w:basedOn w:val="ListBullet"/>
    <w:rsid w:val="00CF1787"/>
    <w:pPr>
      <w:numPr>
        <w:numId w:val="0"/>
      </w:numPr>
      <w:tabs>
        <w:tab w:val="right" w:leader="dot" w:pos="6521"/>
      </w:tabs>
      <w:spacing w:before="0" w:after="0"/>
    </w:pPr>
  </w:style>
  <w:style w:type="paragraph" w:customStyle="1" w:styleId="TOFTitle">
    <w:name w:val="TOFTitle"/>
    <w:basedOn w:val="TOCTitle"/>
    <w:rsid w:val="00CF1787"/>
  </w:style>
  <w:style w:type="paragraph" w:styleId="TableofFigures">
    <w:name w:val="table of figures"/>
    <w:basedOn w:val="Normal"/>
    <w:next w:val="Normal"/>
    <w:semiHidden/>
    <w:rsid w:val="00CF1787"/>
    <w:pPr>
      <w:tabs>
        <w:tab w:val="right" w:leader="dot" w:pos="9072"/>
      </w:tabs>
      <w:ind w:left="970" w:hanging="403"/>
    </w:pPr>
    <w:rPr>
      <w:rFonts w:ascii="Times New Roman" w:hAnsi="Times New Roman"/>
      <w:b/>
    </w:rPr>
  </w:style>
  <w:style w:type="paragraph" w:styleId="ListNumber">
    <w:name w:val="List Number"/>
    <w:basedOn w:val="List"/>
    <w:rsid w:val="00CF1787"/>
    <w:pPr>
      <w:numPr>
        <w:numId w:val="9"/>
      </w:numPr>
    </w:pPr>
  </w:style>
  <w:style w:type="character" w:customStyle="1" w:styleId="WingdingSymbols">
    <w:name w:val="Wingding Symbols"/>
    <w:rsid w:val="00CF1787"/>
    <w:rPr>
      <w:rFonts w:ascii="Wingdings" w:hAnsi="Wingdings"/>
    </w:rPr>
  </w:style>
  <w:style w:type="paragraph" w:customStyle="1" w:styleId="TableHeading">
    <w:name w:val="Table Heading"/>
    <w:basedOn w:val="HeadingBase"/>
    <w:rsid w:val="00CF1787"/>
    <w:pPr>
      <w:keepLines/>
      <w:pBdr>
        <w:bottom w:val="single" w:sz="6" w:space="1" w:color="918585"/>
      </w:pBdr>
      <w:spacing w:before="240"/>
    </w:pPr>
  </w:style>
  <w:style w:type="character" w:customStyle="1" w:styleId="HotSpot">
    <w:name w:val="HotSpot"/>
    <w:rsid w:val="00CF1787"/>
    <w:rPr>
      <w:color w:val="0033CC"/>
      <w:u w:val="none"/>
    </w:rPr>
  </w:style>
  <w:style w:type="paragraph" w:customStyle="1" w:styleId="BodyTextRight">
    <w:name w:val="Body Text Right"/>
    <w:basedOn w:val="BodyText"/>
    <w:rsid w:val="00CF1787"/>
    <w:pPr>
      <w:spacing w:before="0" w:after="0"/>
      <w:jc w:val="right"/>
    </w:pPr>
  </w:style>
  <w:style w:type="paragraph" w:styleId="Index3">
    <w:name w:val="index 3"/>
    <w:basedOn w:val="ListNumber2"/>
    <w:next w:val="Normal"/>
    <w:semiHidden/>
    <w:rsid w:val="00CF1787"/>
    <w:pPr>
      <w:numPr>
        <w:numId w:val="0"/>
      </w:numPr>
      <w:tabs>
        <w:tab w:val="right" w:leader="dot" w:pos="4176"/>
      </w:tabs>
    </w:pPr>
  </w:style>
  <w:style w:type="paragraph" w:styleId="ListNumber2">
    <w:name w:val="List Number 2"/>
    <w:basedOn w:val="List2"/>
    <w:rsid w:val="00CF1787"/>
    <w:pPr>
      <w:numPr>
        <w:numId w:val="8"/>
      </w:numPr>
      <w:tabs>
        <w:tab w:val="clear" w:pos="1060"/>
      </w:tabs>
    </w:pPr>
  </w:style>
  <w:style w:type="paragraph" w:customStyle="1" w:styleId="MarginNote">
    <w:name w:val="Margin Note"/>
    <w:basedOn w:val="BodyText"/>
    <w:rsid w:val="00CF1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787"/>
    <w:rPr>
      <w:sz w:val="32"/>
    </w:rPr>
  </w:style>
  <w:style w:type="paragraph" w:customStyle="1" w:styleId="HeadingProcedure">
    <w:name w:val="Heading Procedure"/>
    <w:basedOn w:val="HeadingBase"/>
    <w:next w:val="Normal"/>
    <w:rsid w:val="00CF1787"/>
    <w:pPr>
      <w:tabs>
        <w:tab w:val="left" w:pos="0"/>
      </w:tabs>
      <w:spacing w:before="120" w:after="60"/>
    </w:pPr>
    <w:rPr>
      <w:i/>
      <w:color w:val="918585"/>
      <w:sz w:val="22"/>
    </w:rPr>
  </w:style>
  <w:style w:type="paragraph" w:customStyle="1" w:styleId="TableBodyText">
    <w:name w:val="Table Body Text"/>
    <w:basedOn w:val="BodyText"/>
    <w:rsid w:val="00CF1787"/>
    <w:pPr>
      <w:spacing w:before="60" w:after="60"/>
    </w:pPr>
  </w:style>
  <w:style w:type="paragraph" w:styleId="ListContinue">
    <w:name w:val="List Continue"/>
    <w:basedOn w:val="List"/>
    <w:rsid w:val="00CF1787"/>
    <w:pPr>
      <w:ind w:firstLine="0"/>
    </w:pPr>
  </w:style>
  <w:style w:type="paragraph" w:customStyle="1" w:styleId="ListNote">
    <w:name w:val="List Note"/>
    <w:basedOn w:val="List"/>
    <w:rsid w:val="00CF1787"/>
    <w:pPr>
      <w:pBdr>
        <w:top w:val="single" w:sz="6" w:space="2" w:color="918585"/>
        <w:bottom w:val="single" w:sz="6" w:space="2" w:color="918585"/>
      </w:pBdr>
      <w:tabs>
        <w:tab w:val="left" w:pos="1021"/>
      </w:tabs>
      <w:ind w:firstLine="0"/>
    </w:pPr>
  </w:style>
  <w:style w:type="paragraph" w:customStyle="1" w:styleId="Warning">
    <w:name w:val="Warning"/>
    <w:basedOn w:val="BodyText"/>
    <w:rsid w:val="00CF1787"/>
    <w:pPr>
      <w:shd w:val="clear" w:color="auto" w:fill="D9D9D9"/>
      <w:tabs>
        <w:tab w:val="left" w:pos="992"/>
      </w:tabs>
      <w:ind w:left="119" w:right="119"/>
    </w:pPr>
    <w:rPr>
      <w:sz w:val="20"/>
    </w:rPr>
  </w:style>
  <w:style w:type="paragraph" w:customStyle="1" w:styleId="MarginIcons">
    <w:name w:val="Margin Icons"/>
    <w:basedOn w:val="BodyText"/>
    <w:rsid w:val="00CF1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787"/>
    <w:rPr>
      <w:rFonts w:ascii="Courier New" w:hAnsi="Courier New"/>
    </w:rPr>
  </w:style>
  <w:style w:type="paragraph" w:customStyle="1" w:styleId="NoteBullet">
    <w:name w:val="Note Bullet"/>
    <w:basedOn w:val="Note"/>
    <w:rsid w:val="00CF1787"/>
    <w:pPr>
      <w:tabs>
        <w:tab w:val="clear" w:pos="680"/>
      </w:tabs>
      <w:spacing w:before="60" w:after="60"/>
    </w:pPr>
  </w:style>
  <w:style w:type="paragraph" w:customStyle="1" w:styleId="SubHeading2">
    <w:name w:val="SubHeading2"/>
    <w:basedOn w:val="HeadingBase"/>
    <w:rsid w:val="00CF1787"/>
    <w:pPr>
      <w:spacing w:before="240" w:after="60"/>
    </w:pPr>
    <w:rPr>
      <w:sz w:val="20"/>
    </w:rPr>
  </w:style>
  <w:style w:type="paragraph" w:customStyle="1" w:styleId="SubHeading1">
    <w:name w:val="SubHeading1"/>
    <w:basedOn w:val="HeadingBase"/>
    <w:rsid w:val="00CF1787"/>
    <w:pPr>
      <w:spacing w:before="240" w:after="60"/>
    </w:pPr>
    <w:rPr>
      <w:color w:val="918585"/>
      <w:sz w:val="22"/>
    </w:rPr>
  </w:style>
  <w:style w:type="paragraph" w:customStyle="1" w:styleId="SideHeading">
    <w:name w:val="Side Heading"/>
    <w:basedOn w:val="HeadingBase"/>
    <w:rsid w:val="00CF1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787"/>
    <w:pPr>
      <w:numPr>
        <w:numId w:val="10"/>
      </w:numPr>
    </w:pPr>
  </w:style>
  <w:style w:type="paragraph" w:styleId="PlainText">
    <w:name w:val="Plain Text"/>
    <w:basedOn w:val="Normal"/>
    <w:link w:val="PlainTextChar"/>
    <w:rsid w:val="00CF1787"/>
    <w:rPr>
      <w:sz w:val="20"/>
    </w:rPr>
  </w:style>
  <w:style w:type="character" w:customStyle="1" w:styleId="PlainTextChar">
    <w:name w:val="Plain Text Char"/>
    <w:basedOn w:val="DefaultParagraphFont"/>
    <w:link w:val="PlainText"/>
    <w:rsid w:val="00CF17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787"/>
    <w:rPr>
      <w:b/>
      <w:smallCaps/>
    </w:rPr>
  </w:style>
  <w:style w:type="paragraph" w:customStyle="1" w:styleId="TableListNumber">
    <w:name w:val="Table List Number"/>
    <w:basedOn w:val="ListNumber"/>
    <w:rsid w:val="00CF1787"/>
    <w:pPr>
      <w:numPr>
        <w:numId w:val="0"/>
      </w:numPr>
    </w:pPr>
  </w:style>
  <w:style w:type="paragraph" w:styleId="TOC4">
    <w:name w:val="toc 4"/>
    <w:basedOn w:val="TOCBase"/>
    <w:next w:val="Normal"/>
    <w:semiHidden/>
    <w:rsid w:val="00CF1787"/>
    <w:pPr>
      <w:tabs>
        <w:tab w:val="right" w:leader="dot" w:pos="9071"/>
      </w:tabs>
      <w:ind w:left="1701"/>
    </w:pPr>
  </w:style>
  <w:style w:type="paragraph" w:customStyle="1" w:styleId="ListAlpha">
    <w:name w:val="List Alpha"/>
    <w:basedOn w:val="List"/>
    <w:rsid w:val="00CF1787"/>
    <w:pPr>
      <w:numPr>
        <w:numId w:val="7"/>
      </w:numPr>
    </w:pPr>
  </w:style>
  <w:style w:type="paragraph" w:customStyle="1" w:styleId="ListAlpha2">
    <w:name w:val="List Alpha 2"/>
    <w:basedOn w:val="List2"/>
    <w:rsid w:val="00CF1787"/>
    <w:pPr>
      <w:numPr>
        <w:numId w:val="6"/>
      </w:numPr>
    </w:pPr>
  </w:style>
  <w:style w:type="paragraph" w:styleId="List2">
    <w:name w:val="List 2"/>
    <w:basedOn w:val="BodyText"/>
    <w:rsid w:val="00CF1787"/>
    <w:pPr>
      <w:tabs>
        <w:tab w:val="left" w:pos="680"/>
      </w:tabs>
      <w:spacing w:before="60" w:after="60"/>
      <w:ind w:left="680" w:hanging="340"/>
    </w:pPr>
  </w:style>
  <w:style w:type="paragraph" w:styleId="List3">
    <w:name w:val="List 3"/>
    <w:basedOn w:val="BodyText"/>
    <w:rsid w:val="00CF1787"/>
    <w:pPr>
      <w:tabs>
        <w:tab w:val="left" w:pos="1021"/>
      </w:tabs>
      <w:spacing w:before="60" w:after="60"/>
      <w:ind w:left="1020" w:hanging="340"/>
    </w:pPr>
  </w:style>
  <w:style w:type="paragraph" w:styleId="List4">
    <w:name w:val="List 4"/>
    <w:basedOn w:val="BodyText"/>
    <w:rsid w:val="00CF1787"/>
    <w:pPr>
      <w:tabs>
        <w:tab w:val="left" w:pos="1361"/>
      </w:tabs>
      <w:spacing w:before="60" w:after="60"/>
      <w:ind w:left="1361" w:hanging="340"/>
    </w:pPr>
  </w:style>
  <w:style w:type="paragraph" w:styleId="List5">
    <w:name w:val="List 5"/>
    <w:basedOn w:val="BodyText"/>
    <w:rsid w:val="00CF1787"/>
    <w:pPr>
      <w:tabs>
        <w:tab w:val="left" w:pos="1701"/>
      </w:tabs>
      <w:spacing w:before="60" w:after="60"/>
      <w:ind w:left="1701" w:hanging="340"/>
    </w:pPr>
  </w:style>
  <w:style w:type="paragraph" w:styleId="ListBullet3">
    <w:name w:val="List Bullet 3"/>
    <w:basedOn w:val="List3"/>
    <w:rsid w:val="00CF1787"/>
    <w:pPr>
      <w:numPr>
        <w:numId w:val="13"/>
      </w:numPr>
      <w:tabs>
        <w:tab w:val="clear" w:pos="1021"/>
      </w:tabs>
      <w:ind w:left="1037" w:hanging="357"/>
    </w:pPr>
  </w:style>
  <w:style w:type="paragraph" w:styleId="ListBullet4">
    <w:name w:val="List Bullet 4"/>
    <w:basedOn w:val="List4"/>
    <w:rsid w:val="00CF1787"/>
    <w:pPr>
      <w:numPr>
        <w:numId w:val="1"/>
      </w:numPr>
    </w:pPr>
  </w:style>
  <w:style w:type="paragraph" w:styleId="ListBullet5">
    <w:name w:val="List Bullet 5"/>
    <w:basedOn w:val="List5"/>
    <w:rsid w:val="00CF1787"/>
    <w:pPr>
      <w:numPr>
        <w:numId w:val="2"/>
      </w:numPr>
    </w:pPr>
  </w:style>
  <w:style w:type="paragraph" w:styleId="ListContinue2">
    <w:name w:val="List Continue 2"/>
    <w:basedOn w:val="List2"/>
    <w:rsid w:val="00CF1787"/>
    <w:pPr>
      <w:ind w:firstLine="0"/>
    </w:pPr>
  </w:style>
  <w:style w:type="paragraph" w:styleId="ListContinue3">
    <w:name w:val="List Continue 3"/>
    <w:basedOn w:val="List3"/>
    <w:rsid w:val="00CF1787"/>
    <w:pPr>
      <w:ind w:left="1021" w:firstLine="0"/>
    </w:pPr>
  </w:style>
  <w:style w:type="paragraph" w:styleId="ListContinue4">
    <w:name w:val="List Continue 4"/>
    <w:basedOn w:val="List4"/>
    <w:rsid w:val="00CF1787"/>
    <w:pPr>
      <w:ind w:firstLine="0"/>
    </w:pPr>
  </w:style>
  <w:style w:type="paragraph" w:styleId="ListContinue5">
    <w:name w:val="List Continue 5"/>
    <w:basedOn w:val="List5"/>
    <w:rsid w:val="00CF1787"/>
    <w:pPr>
      <w:ind w:firstLine="0"/>
    </w:pPr>
  </w:style>
  <w:style w:type="paragraph" w:styleId="ListNumber3">
    <w:name w:val="List Number 3"/>
    <w:basedOn w:val="List3"/>
    <w:rsid w:val="00CF1787"/>
    <w:pPr>
      <w:numPr>
        <w:numId w:val="3"/>
      </w:numPr>
    </w:pPr>
  </w:style>
  <w:style w:type="paragraph" w:styleId="ListNumber4">
    <w:name w:val="List Number 4"/>
    <w:basedOn w:val="List4"/>
    <w:rsid w:val="00CF1787"/>
    <w:pPr>
      <w:numPr>
        <w:numId w:val="4"/>
      </w:numPr>
    </w:pPr>
  </w:style>
  <w:style w:type="paragraph" w:styleId="ListNumber5">
    <w:name w:val="List Number 5"/>
    <w:basedOn w:val="List5"/>
    <w:rsid w:val="00CF1787"/>
    <w:pPr>
      <w:numPr>
        <w:numId w:val="5"/>
      </w:numPr>
    </w:pPr>
  </w:style>
  <w:style w:type="paragraph" w:styleId="BlockText">
    <w:name w:val="Block Text"/>
    <w:basedOn w:val="Normal"/>
    <w:rsid w:val="00CF1787"/>
    <w:pPr>
      <w:spacing w:after="120"/>
      <w:ind w:left="1440" w:right="1440"/>
    </w:pPr>
  </w:style>
  <w:style w:type="character" w:customStyle="1" w:styleId="Subscript">
    <w:name w:val="Subscript"/>
    <w:basedOn w:val="DefaultParagraphFont"/>
    <w:rsid w:val="00CF1787"/>
    <w:rPr>
      <w:sz w:val="16"/>
      <w:vertAlign w:val="subscript"/>
    </w:rPr>
  </w:style>
  <w:style w:type="character" w:customStyle="1" w:styleId="Superscript">
    <w:name w:val="Superscript"/>
    <w:basedOn w:val="DefaultParagraphFont"/>
    <w:rsid w:val="00CF1787"/>
    <w:rPr>
      <w:sz w:val="16"/>
      <w:vertAlign w:val="superscript"/>
    </w:rPr>
  </w:style>
  <w:style w:type="character" w:customStyle="1" w:styleId="Symbols">
    <w:name w:val="Symbols"/>
    <w:basedOn w:val="DefaultParagraphFont"/>
    <w:rsid w:val="00CF1787"/>
    <w:rPr>
      <w:rFonts w:ascii="Symbol" w:hAnsi="Symbol"/>
    </w:rPr>
  </w:style>
  <w:style w:type="character" w:customStyle="1" w:styleId="MenuOptions">
    <w:name w:val="Menu Options"/>
    <w:basedOn w:val="DefaultParagraphFont"/>
    <w:rsid w:val="00CF1787"/>
    <w:rPr>
      <w:rFonts w:ascii="Arial Narrow" w:hAnsi="Arial Narrow"/>
      <w:smallCaps/>
    </w:rPr>
  </w:style>
  <w:style w:type="character" w:customStyle="1" w:styleId="Buttons">
    <w:name w:val="Buttons"/>
    <w:basedOn w:val="DefaultParagraphFont"/>
    <w:rsid w:val="00CF1787"/>
    <w:rPr>
      <w:b/>
    </w:rPr>
  </w:style>
  <w:style w:type="character" w:customStyle="1" w:styleId="Underlined">
    <w:name w:val="Underlined"/>
    <w:basedOn w:val="DefaultParagraphFont"/>
    <w:rsid w:val="00CF1787"/>
    <w:rPr>
      <w:u w:val="single"/>
    </w:rPr>
  </w:style>
  <w:style w:type="paragraph" w:customStyle="1" w:styleId="TableBodyTextRight">
    <w:name w:val="Table Body Text Right"/>
    <w:basedOn w:val="TableBodyText"/>
    <w:rsid w:val="00CF1787"/>
    <w:pPr>
      <w:widowControl w:val="0"/>
      <w:autoSpaceDE w:val="0"/>
      <w:autoSpaceDN w:val="0"/>
      <w:adjustRightInd w:val="0"/>
      <w:jc w:val="right"/>
    </w:pPr>
    <w:rPr>
      <w:rFonts w:cs="Arial"/>
      <w:szCs w:val="18"/>
    </w:rPr>
  </w:style>
  <w:style w:type="paragraph" w:customStyle="1" w:styleId="CopyrightText">
    <w:name w:val="Copyright Text"/>
    <w:basedOn w:val="BodyText"/>
    <w:rsid w:val="00CF1787"/>
    <w:rPr>
      <w:sz w:val="18"/>
    </w:rPr>
  </w:style>
  <w:style w:type="paragraph" w:customStyle="1" w:styleId="BodySmallRight">
    <w:name w:val="Body Small Right"/>
    <w:basedOn w:val="BodyTextRight"/>
    <w:rsid w:val="00CF1787"/>
    <w:rPr>
      <w:sz w:val="18"/>
      <w:szCs w:val="18"/>
    </w:rPr>
  </w:style>
  <w:style w:type="paragraph" w:customStyle="1" w:styleId="MarginEdition">
    <w:name w:val="Margin Edition"/>
    <w:basedOn w:val="MarginNote"/>
    <w:rsid w:val="00CF1787"/>
    <w:pPr>
      <w:spacing w:before="0" w:after="0"/>
    </w:pPr>
    <w:rPr>
      <w:rFonts w:ascii="Times New Roman" w:hAnsi="Times New Roman"/>
      <w:color w:val="999999"/>
    </w:rPr>
  </w:style>
  <w:style w:type="paragraph" w:customStyle="1" w:styleId="Spacer">
    <w:name w:val="Spacer"/>
    <w:basedOn w:val="Normal"/>
    <w:rsid w:val="00CF1787"/>
    <w:rPr>
      <w:sz w:val="2"/>
      <w:szCs w:val="2"/>
    </w:rPr>
  </w:style>
  <w:style w:type="character" w:customStyle="1" w:styleId="Small">
    <w:name w:val="Small"/>
    <w:basedOn w:val="DefaultParagraphFont"/>
    <w:rsid w:val="00CF1787"/>
    <w:rPr>
      <w:sz w:val="16"/>
    </w:rPr>
  </w:style>
  <w:style w:type="paragraph" w:customStyle="1" w:styleId="WideTable">
    <w:name w:val="Wide Table"/>
    <w:basedOn w:val="Normal"/>
    <w:rsid w:val="00CF1787"/>
    <w:pPr>
      <w:ind w:left="-1418"/>
    </w:pPr>
    <w:rPr>
      <w:sz w:val="2"/>
      <w:szCs w:val="2"/>
    </w:rPr>
  </w:style>
  <w:style w:type="character" w:styleId="PageNumber">
    <w:name w:val="page number"/>
    <w:basedOn w:val="DefaultParagraphFont"/>
    <w:rsid w:val="00CF1787"/>
  </w:style>
  <w:style w:type="paragraph" w:styleId="Quote">
    <w:name w:val="Quote"/>
    <w:basedOn w:val="Heading1"/>
    <w:link w:val="QuoteChar"/>
    <w:qFormat/>
    <w:rsid w:val="00CF1787"/>
    <w:rPr>
      <w:b w:val="0"/>
      <w:sz w:val="72"/>
      <w:szCs w:val="72"/>
      <w:lang w:val="en-NZ"/>
    </w:rPr>
  </w:style>
  <w:style w:type="character" w:customStyle="1" w:styleId="QuoteChar">
    <w:name w:val="Quote Char"/>
    <w:basedOn w:val="DefaultParagraphFont"/>
    <w:link w:val="Quote"/>
    <w:rsid w:val="00CF1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787"/>
    <w:pPr>
      <w:pageBreakBefore/>
    </w:pPr>
  </w:style>
  <w:style w:type="paragraph" w:customStyle="1" w:styleId="Border">
    <w:name w:val="Border"/>
    <w:basedOn w:val="Normal"/>
    <w:qFormat/>
    <w:rsid w:val="00CF1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787"/>
    <w:rPr>
      <w:b/>
      <w:bCs/>
      <w:i/>
      <w:iCs/>
      <w:color w:val="auto"/>
    </w:rPr>
  </w:style>
  <w:style w:type="paragraph" w:styleId="IntenseQuote">
    <w:name w:val="Intense Quote"/>
    <w:basedOn w:val="Normal"/>
    <w:next w:val="Normal"/>
    <w:link w:val="IntenseQuoteChar"/>
    <w:uiPriority w:val="30"/>
    <w:qFormat/>
    <w:rsid w:val="00CF1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7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787"/>
    <w:rPr>
      <w:smallCaps/>
      <w:color w:val="auto"/>
      <w:u w:val="single"/>
    </w:rPr>
  </w:style>
  <w:style w:type="character" w:styleId="IntenseReference">
    <w:name w:val="Intense Reference"/>
    <w:basedOn w:val="DefaultParagraphFont"/>
    <w:uiPriority w:val="32"/>
    <w:qFormat/>
    <w:rsid w:val="00CF1787"/>
    <w:rPr>
      <w:b/>
      <w:bCs/>
      <w:smallCaps/>
      <w:color w:val="auto"/>
      <w:spacing w:val="5"/>
      <w:u w:val="single"/>
    </w:rPr>
  </w:style>
  <w:style w:type="paragraph" w:customStyle="1" w:styleId="2ColumnHeading">
    <w:name w:val="2Column Heading"/>
    <w:basedOn w:val="BodyText"/>
    <w:qFormat/>
    <w:rsid w:val="00CF1787"/>
    <w:pPr>
      <w:spacing w:after="60"/>
      <w:ind w:left="-2268"/>
    </w:pPr>
    <w:rPr>
      <w:b/>
    </w:rPr>
  </w:style>
  <w:style w:type="paragraph" w:customStyle="1" w:styleId="Heading1TOC">
    <w:name w:val="Heading1 TOC"/>
    <w:basedOn w:val="Normal"/>
    <w:qFormat/>
    <w:rsid w:val="00CF1787"/>
    <w:pPr>
      <w:spacing w:before="240" w:after="120"/>
    </w:pPr>
    <w:rPr>
      <w:rFonts w:ascii="Times New Roman" w:hAnsi="Times New Roman"/>
      <w:b/>
      <w:sz w:val="32"/>
    </w:rPr>
  </w:style>
  <w:style w:type="paragraph" w:customStyle="1" w:styleId="Heading2TOC">
    <w:name w:val="Heading2 TOC"/>
    <w:basedOn w:val="Normal"/>
    <w:qFormat/>
    <w:rsid w:val="00CF1787"/>
    <w:pPr>
      <w:spacing w:before="240" w:after="60"/>
    </w:pPr>
    <w:rPr>
      <w:rFonts w:ascii="Times New Roman" w:hAnsi="Times New Roman"/>
      <w:b/>
      <w:sz w:val="28"/>
    </w:rPr>
  </w:style>
  <w:style w:type="character" w:customStyle="1" w:styleId="Underline">
    <w:name w:val="Underline"/>
    <w:basedOn w:val="DefaultParagraphFont"/>
    <w:qFormat/>
    <w:rsid w:val="00CF1787"/>
    <w:rPr>
      <w:u w:val="single"/>
    </w:rPr>
  </w:style>
  <w:style w:type="character" w:customStyle="1" w:styleId="BoldandItalics">
    <w:name w:val="Bold and Italics"/>
    <w:qFormat/>
    <w:rsid w:val="00CF1787"/>
    <w:rPr>
      <w:b/>
      <w:i/>
      <w:u w:val="none"/>
    </w:rPr>
  </w:style>
  <w:style w:type="paragraph" w:styleId="BalloonText">
    <w:name w:val="Balloon Text"/>
    <w:basedOn w:val="Normal"/>
    <w:link w:val="BalloonTextChar"/>
    <w:rsid w:val="00CF1787"/>
    <w:rPr>
      <w:rFonts w:ascii="Tahoma" w:hAnsi="Tahoma" w:cs="Tahoma"/>
      <w:sz w:val="16"/>
      <w:szCs w:val="16"/>
    </w:rPr>
  </w:style>
  <w:style w:type="character" w:customStyle="1" w:styleId="BalloonTextChar">
    <w:name w:val="Balloon Text Char"/>
    <w:basedOn w:val="DefaultParagraphFont"/>
    <w:link w:val="BalloonText"/>
    <w:rsid w:val="00CF1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7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3413</Words>
  <Characters>20284</Characters>
  <Application>Microsoft Office Word</Application>
  <DocSecurity>0</DocSecurity>
  <Lines>1345</Lines>
  <Paragraphs>633</Paragraphs>
  <ScaleCrop>false</ScaleCrop>
  <Company>Author-it Software Corporation Ltd.</Company>
  <LinksUpToDate>false</LinksUpToDate>
  <CharactersWithSpaces>23092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TDMMB3807B DISMANTLE, INSPECT, REPAIR AND REASSEMBLE VESSEL MACHINERY</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2012-05-26T21:50:00Z</dcterms:created>
  <dcterms:modified xsi:type="dcterms:W3CDTF">2012-05-26T21:50:00Z</dcterms:modified>
</cp:coreProperties>
</file>