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FEE" w:rsidP="00927FEE">
      <w:pPr>
        <w:pStyle w:val="Title"/>
      </w:pPr>
      <w:r>
        <w:fldChar w:fldCharType="begin"/>
      </w:r>
      <w:r>
        <w:instrText xml:space="preserve"> TITLE   \* MERGEFORMAT </w:instrText>
      </w:r>
      <w:r>
        <w:fldChar w:fldCharType="separate"/>
      </w:r>
      <w:r>
        <w:t>TDMMB3607B PREPARE A SMALL VESSEL'S MACHINERY FOR SEA WITHIN THE LIMITS OF RESPONSIBILITY OF A MARINE ENGINE DRIVER GRADE 3</w:t>
      </w:r>
      <w:r>
        <w:fldChar w:fldCharType="end"/>
      </w:r>
    </w:p>
    <w:p w:rsidR="00927FEE" w:rsidP="00927FEE">
      <w:pPr>
        <w:pStyle w:val="Version"/>
        <w:sectPr w:rsidSect="00CA1D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1D62" w:rsidP="00CA1D62">
      <w:pPr>
        <w:pStyle w:val="SuperHeading"/>
      </w:pPr>
      <w:r w:rsidRPr="00CA1D62">
        <w:t>TDMM</w:t>
      </w:r>
      <w:r w:rsidRPr="00CA1D62">
        <w:t>B3607B PREPARE A SMALL VESSEL'S MACHINERY FOR SEA WITHIN THE LIMITS OF RESPONSIBILITY OF A MARINE ENGINE DRIVER GRADE 3</w:t>
      </w:r>
    </w:p>
    <w:p w:rsidR="00000000" w:rsidRPr="00CA1D62" w:rsidP="00CA1D62">
      <w:pPr>
        <w:pStyle w:val="Heading1"/>
      </w:pPr>
      <w:bookmarkStart w:id="1" w:name="O_150579"/>
      <w:bookmarkEnd w:id="1"/>
      <w:r w:rsidRPr="00CA1D62">
        <w:t>Modification History</w:t>
      </w:r>
    </w:p>
    <w:p w:rsidR="00000000" w:rsidRPr="00CA1D62" w:rsidP="00CA1D62">
      <w:pPr>
        <w:pStyle w:val="BodyText"/>
      </w:pPr>
      <w:r w:rsidRPr="00CA1D62">
        <w:t>Not applicable.</w:t>
      </w:r>
    </w:p>
    <w:p w:rsidR="00000000" w:rsidRPr="00CA1D62" w:rsidP="00CA1D62">
      <w:pPr>
        <w:pStyle w:val="AllowPageBreak"/>
      </w:pPr>
    </w:p>
    <w:p w:rsidR="00000000" w:rsidRPr="00CA1D62" w:rsidP="00CA1D62">
      <w:pPr>
        <w:pStyle w:val="Heading1"/>
      </w:pPr>
      <w:bookmarkStart w:id="2" w:name="O_150580"/>
      <w:bookmarkEnd w:id="2"/>
      <w:r w:rsidRPr="00CA1D62">
        <w:t>Unit Descriptor</w:t>
      </w:r>
    </w:p>
    <w:tbl>
      <w:tblPr>
        <w:tblW w:w="0" w:type="auto"/>
        <w:tblLayout w:type="fixed"/>
        <w:tblCellMar>
          <w:left w:w="62" w:type="dxa"/>
          <w:right w:w="62" w:type="dxa"/>
        </w:tblCellMar>
        <w:tblLook w:val="0000"/>
      </w:tblPr>
      <w:tblGrid>
        <w:gridCol w:w="1974"/>
        <w:gridCol w:w="6481"/>
      </w:tblGrid>
      <w:tr w:rsidTr="00927FEE">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D62" w:rsidP="00CA1D62">
            <w:pPr>
              <w:pStyle w:val="BodyText"/>
            </w:pPr>
            <w:r w:rsidRPr="00CA1D62">
              <w:t>UNIT DESCRIPTOR:</w:t>
            </w:r>
          </w:p>
          <w:p w:rsidR="00000000" w:rsidP="00CA1D62">
            <w:pPr>
              <w:pStyle w:val="BodyText"/>
              <w:rPr>
                <w:lang w:val="en-NZ"/>
              </w:rPr>
            </w:pPr>
            <w:r w:rsidRPr="00CA1D62">
              <w:rPr>
                <w:rStyle w:val="SpecialBold"/>
              </w:rPr>
              <w:t>This unit involves the skills and knowledge required within the limits of responsibility of a Marine Engine Driver Grade 3 to prepare a small commercial vessel's machinery for sea</w:t>
            </w:r>
            <w:r w:rsidRPr="00CA1D62">
              <w:t xml:space="preserve">, </w:t>
            </w:r>
            <w:r w:rsidRPr="00CA1D62">
              <w:rPr>
                <w:rStyle w:val="SpecialBold"/>
              </w:rPr>
              <w:t>including the start up and shut down of the main propulsion and auxiliary m</w:t>
            </w:r>
            <w:r w:rsidRPr="00CA1D62">
              <w:rPr>
                <w:rStyle w:val="SpecialBold"/>
              </w:rPr>
              <w:t>achinery and associated systems</w:t>
            </w:r>
            <w:r w:rsidRPr="00CA1D62">
              <w:t>.</w:t>
            </w:r>
          </w:p>
        </w:tc>
      </w:tr>
      <w:tr w:rsidTr="00927FEE">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CA1D62" w:rsidP="00CA1D62">
            <w:pPr>
              <w:pStyle w:val="BodyText"/>
            </w:pPr>
          </w:p>
        </w:tc>
      </w:tr>
    </w:tbl>
    <w:p w:rsidR="00000000" w:rsidRPr="00CA1D62" w:rsidP="00CA1D62">
      <w:pPr>
        <w:pStyle w:val="BodyText"/>
      </w:pPr>
    </w:p>
    <w:p w:rsidR="00000000" w:rsidRPr="00CA1D62" w:rsidP="00CA1D62">
      <w:pPr>
        <w:pStyle w:val="AllowPageBreak"/>
      </w:pPr>
    </w:p>
    <w:p w:rsidR="00000000" w:rsidRPr="00CA1D62" w:rsidP="00CA1D62">
      <w:pPr>
        <w:pStyle w:val="Heading1"/>
      </w:pPr>
      <w:bookmarkStart w:id="3" w:name="O_150581"/>
      <w:bookmarkEnd w:id="3"/>
      <w:r w:rsidRPr="00CA1D62">
        <w:t>Application of the Unit</w:t>
      </w:r>
    </w:p>
    <w:tbl>
      <w:tblPr>
        <w:tblW w:w="0" w:type="auto"/>
        <w:tblLayout w:type="fixed"/>
        <w:tblCellMar>
          <w:left w:w="62" w:type="dxa"/>
          <w:right w:w="62" w:type="dxa"/>
        </w:tblCellMar>
        <w:tblLook w:val="0000"/>
      </w:tblPr>
      <w:tblGrid>
        <w:gridCol w:w="1974"/>
        <w:gridCol w:w="6481"/>
      </w:tblGrid>
      <w:tr w:rsidTr="00927FEE">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D62" w:rsidP="00CA1D62">
            <w:pPr>
              <w:pStyle w:val="BodyText"/>
            </w:pPr>
            <w:r w:rsidRPr="00CA1D62">
              <w:t xml:space="preserve">The unit has applications in the qualification for a Marine Engine Driver Grade 3 (MED 3) as per relevant sections of Part D of the National </w:t>
            </w:r>
            <w:r w:rsidRPr="00CA1D62">
              <w:t>Standard for Commercial Vessels (NSCV), i.e. Certificate II in Transport&amp;Distribution (Marine Engine Driving - Grade 3).</w:t>
            </w:r>
          </w:p>
        </w:tc>
      </w:tr>
    </w:tbl>
    <w:p w:rsidR="00000000" w:rsidRPr="00CA1D62" w:rsidP="00CA1D62">
      <w:pPr>
        <w:pStyle w:val="BodyText"/>
      </w:pPr>
    </w:p>
    <w:p w:rsidR="00000000" w:rsidRPr="00CA1D62" w:rsidP="00CA1D62">
      <w:pPr>
        <w:pStyle w:val="AllowPageBreak"/>
      </w:pPr>
    </w:p>
    <w:p w:rsidR="00000000" w:rsidRPr="00CA1D62" w:rsidP="00CA1D62">
      <w:pPr>
        <w:pStyle w:val="Heading1"/>
      </w:pPr>
      <w:bookmarkStart w:id="4" w:name="O_150582"/>
      <w:bookmarkEnd w:id="4"/>
      <w:r w:rsidRPr="00CA1D62">
        <w:t>Licensing/Regulatory Information</w:t>
      </w:r>
    </w:p>
    <w:tbl>
      <w:tblPr>
        <w:tblW w:w="0" w:type="auto"/>
        <w:tblLayout w:type="fixed"/>
        <w:tblCellMar>
          <w:left w:w="62" w:type="dxa"/>
          <w:right w:w="62" w:type="dxa"/>
        </w:tblCellMar>
        <w:tblLook w:val="0000"/>
      </w:tblPr>
      <w:tblGrid>
        <w:gridCol w:w="1974"/>
        <w:gridCol w:w="6481"/>
      </w:tblGrid>
      <w:tr w:rsidTr="00927FEE">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Licensing</w:t>
            </w:r>
            <w:r w:rsidRPr="00CA1D62">
              <w:t>/</w:t>
            </w:r>
            <w:r w:rsidRPr="00CA1D62">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D62" w:rsidP="00CA1D62">
            <w:pPr>
              <w:pStyle w:val="BodyText"/>
            </w:pPr>
            <w:r w:rsidRPr="00CA1D62">
              <w:t>The unit is consistent with the relevant section</w:t>
            </w:r>
            <w:r w:rsidRPr="00CA1D62">
              <w:t>s of State and Territory maritime regulations and NSCV/USL Code for a MED 3.</w:t>
            </w:r>
          </w:p>
        </w:tc>
      </w:tr>
    </w:tbl>
    <w:p w:rsidR="00000000" w:rsidRPr="00CA1D62" w:rsidP="00CA1D62">
      <w:pPr>
        <w:pStyle w:val="BodyText"/>
      </w:pPr>
    </w:p>
    <w:p w:rsidR="00000000" w:rsidRPr="00CA1D62" w:rsidP="00CA1D62">
      <w:pPr>
        <w:pStyle w:val="AllowPageBreak"/>
      </w:pPr>
    </w:p>
    <w:p w:rsidR="00000000" w:rsidRPr="00CA1D62" w:rsidP="00CA1D62">
      <w:pPr>
        <w:pStyle w:val="Heading1"/>
      </w:pPr>
      <w:bookmarkStart w:id="5" w:name="O_150583"/>
      <w:bookmarkEnd w:id="5"/>
      <w:r w:rsidRPr="00CA1D62">
        <w:t>Pre-Requisites</w:t>
      </w:r>
    </w:p>
    <w:p w:rsidR="00000000" w:rsidRPr="00CA1D62" w:rsidP="00CA1D62">
      <w:pPr>
        <w:pStyle w:val="BodyText"/>
      </w:pPr>
      <w:r w:rsidRPr="00CA1D62">
        <w:t>Not applicable.</w:t>
      </w:r>
    </w:p>
    <w:p w:rsidR="00000000" w:rsidRPr="00CA1D62" w:rsidP="00CA1D62">
      <w:pPr>
        <w:pStyle w:val="AllowPageBreak"/>
      </w:pPr>
    </w:p>
    <w:p w:rsidR="00000000" w:rsidRPr="00CA1D62" w:rsidP="00CA1D62">
      <w:pPr>
        <w:pStyle w:val="Heading1"/>
      </w:pPr>
      <w:bookmarkStart w:id="6" w:name="O_150584"/>
      <w:bookmarkEnd w:id="6"/>
      <w:r w:rsidRPr="00CA1D62">
        <w:t>Employability Skills Information</w:t>
      </w:r>
    </w:p>
    <w:p w:rsidR="00000000" w:rsidRPr="00CA1D62" w:rsidP="00CA1D62">
      <w:pPr>
        <w:pStyle w:val="BodyText"/>
      </w:pPr>
      <w:r w:rsidRPr="00CA1D62">
        <w:t>Not applicable.</w:t>
      </w:r>
    </w:p>
    <w:p w:rsidR="00000000" w:rsidRPr="00CA1D62" w:rsidP="00CA1D62">
      <w:pPr>
        <w:pStyle w:val="AllowPageBreak"/>
      </w:pPr>
    </w:p>
    <w:p w:rsidR="00000000" w:rsidRPr="00CA1D62" w:rsidP="00CA1D62">
      <w:pPr>
        <w:pStyle w:val="Heading1"/>
      </w:pPr>
      <w:bookmarkStart w:id="7" w:name="O_150585"/>
      <w:bookmarkEnd w:id="7"/>
      <w:r w:rsidRPr="00CA1D62">
        <w:t>Elements and Performance Criteria Pre-Content</w:t>
      </w:r>
    </w:p>
    <w:tbl>
      <w:tblPr>
        <w:tblW w:w="0" w:type="auto"/>
        <w:tblLayout w:type="fixed"/>
        <w:tblCellMar>
          <w:left w:w="62" w:type="dxa"/>
          <w:right w:w="62" w:type="dxa"/>
        </w:tblCellMar>
        <w:tblLook w:val="0000"/>
      </w:tblPr>
      <w:tblGrid>
        <w:gridCol w:w="1946"/>
        <w:gridCol w:w="6493"/>
      </w:tblGrid>
      <w:tr w:rsidTr="00927FEE">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CA1D62" w:rsidP="00CA1D62">
            <w:pPr>
              <w:pStyle w:val="BodyText"/>
            </w:pPr>
            <w:r w:rsidRPr="00CA1D62">
              <w:rPr>
                <w:rStyle w:val="Emphasis"/>
              </w:rPr>
              <w:t>Elements describe the essential outcomes of a unit of competency</w:t>
            </w:r>
            <w:r w:rsidRPr="00CA1D62">
              <w:t>.</w:t>
            </w:r>
          </w:p>
        </w:tc>
        <w:tc>
          <w:tcPr>
            <w:tcW w:w="6493" w:type="dxa"/>
            <w:tcBorders>
              <w:top w:val="single" w:sz="6" w:space="0" w:color="auto"/>
              <w:left w:val="single" w:sz="6" w:space="0" w:color="auto"/>
              <w:bottom w:val="nil"/>
              <w:right w:val="nil"/>
            </w:tcBorders>
            <w:tcMar>
              <w:top w:w="0" w:type="dxa"/>
              <w:left w:w="62" w:type="dxa"/>
              <w:bottom w:w="0" w:type="dxa"/>
              <w:right w:w="62" w:type="dxa"/>
            </w:tcMar>
          </w:tcPr>
          <w:p w:rsidR="00000000" w:rsidRPr="00CA1D62" w:rsidP="00CA1D62">
            <w:pPr>
              <w:pStyle w:val="BodyText"/>
            </w:pPr>
            <w:r w:rsidRPr="00CA1D62">
              <w:rPr>
                <w:rStyle w:val="Emphasis"/>
              </w:rPr>
              <w:t>Performance Criteria describe the required performance needed to demonstrate achievement of the element</w:t>
            </w:r>
            <w:r w:rsidRPr="00CA1D62">
              <w:t xml:space="preserve">. </w:t>
            </w:r>
            <w:r w:rsidRPr="00CA1D62">
              <w:rPr>
                <w:rStyle w:val="Emphasis"/>
              </w:rPr>
              <w:t>Assessment of performance is to be consistent with the Evidence Guide</w:t>
            </w:r>
            <w:r w:rsidRPr="00CA1D62">
              <w:t>.</w:t>
            </w:r>
          </w:p>
        </w:tc>
      </w:tr>
    </w:tbl>
    <w:p w:rsidR="00000000" w:rsidRPr="00CA1D62" w:rsidP="00CA1D62">
      <w:pPr>
        <w:pStyle w:val="BodyText"/>
      </w:pPr>
    </w:p>
    <w:p w:rsidR="00000000" w:rsidRPr="00CA1D62" w:rsidP="00CA1D62">
      <w:pPr>
        <w:pStyle w:val="AllowPageBreak"/>
      </w:pPr>
    </w:p>
    <w:p w:rsidR="00000000" w:rsidRPr="00CA1D62" w:rsidP="00CA1D62">
      <w:pPr>
        <w:pStyle w:val="Heading1"/>
      </w:pPr>
      <w:bookmarkStart w:id="8" w:name="O_150586"/>
      <w:bookmarkEnd w:id="8"/>
      <w:r w:rsidRPr="00CA1D62">
        <w:t>Elements and Performance Criteria</w:t>
      </w:r>
    </w:p>
    <w:tbl>
      <w:tblPr>
        <w:tblW w:w="0" w:type="auto"/>
        <w:tblLayout w:type="fixed"/>
        <w:tblCellMar>
          <w:left w:w="62" w:type="dxa"/>
          <w:right w:w="62" w:type="dxa"/>
        </w:tblCellMar>
        <w:tblLook w:val="0000"/>
      </w:tblPr>
      <w:tblGrid>
        <w:gridCol w:w="340"/>
        <w:gridCol w:w="1606"/>
        <w:gridCol w:w="360"/>
        <w:gridCol w:w="6033"/>
        <w:gridCol w:w="100"/>
      </w:tblGrid>
      <w:tr w:rsidTr="00927FEE">
        <w:tblPrEx>
          <w:tblW w:w="0" w:type="auto"/>
          <w:tblLayout w:type="fixed"/>
          <w:tblCellMar>
            <w:left w:w="62" w:type="dxa"/>
            <w:right w:w="62" w:type="dxa"/>
          </w:tblCellMar>
          <w:tblLook w:val="0000"/>
        </w:tblPrEx>
        <w:trPr>
          <w:gridAfter w:val="1"/>
          <w:wAfter w:w="100"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A1D62" w:rsidP="00CA1D62">
            <w:pPr>
              <w:pStyle w:val="BodyText"/>
            </w:pPr>
            <w:r w:rsidRPr="00CA1D62">
              <w:rPr>
                <w:rStyle w:val="SpecialBold"/>
              </w:rPr>
              <w:t>ELEMENT</w:t>
            </w:r>
          </w:p>
        </w:tc>
        <w:tc>
          <w:tcPr>
            <w:tcW w:w="639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A1D62">
            <w:pPr>
              <w:pStyle w:val="BodyText"/>
              <w:rPr>
                <w:lang w:val="en-NZ"/>
              </w:rPr>
            </w:pPr>
            <w:r w:rsidRPr="00CA1D62">
              <w:rPr>
                <w:rStyle w:val="SpecialBold"/>
              </w:rPr>
              <w:t>PERFORMANCE CRITERIA</w:t>
            </w:r>
          </w:p>
        </w:tc>
      </w:tr>
      <w:tr w:rsidTr="00927FEE">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CA1D62">
            <w:pPr>
              <w:pStyle w:val="BodyText"/>
              <w:rPr>
                <w:lang w:val="en-NZ"/>
              </w:rPr>
            </w:pPr>
            <w:r w:rsidRPr="00CA1D62">
              <w:t>.</w:t>
            </w:r>
          </w:p>
        </w:tc>
        <w:tc>
          <w:tcPr>
            <w:tcW w:w="649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w:t>
            </w:r>
          </w:p>
        </w:tc>
      </w:tr>
      <w:tr w:rsidTr="00927FEE">
        <w:tblPrEx>
          <w:tblW w:w="0" w:type="auto"/>
          <w:tblLayout w:type="fixed"/>
          <w:tblCellMar>
            <w:left w:w="62" w:type="dxa"/>
            <w:right w:w="62" w:type="dxa"/>
          </w:tblCellMar>
          <w:tblLook w:val="0000"/>
        </w:tblPrEx>
        <w:trPr>
          <w:gridAfter w:val="1"/>
          <w:wAfter w:w="100" w:type="dxa"/>
        </w:trPr>
        <w:tc>
          <w:tcPr>
            <w:tcW w:w="340" w:type="dxa"/>
            <w:vMerge w:val="restart"/>
            <w:tcBorders>
              <w:top w:val="nil"/>
              <w:left w:val="nil"/>
              <w:bottom w:val="nil"/>
              <w:right w:val="nil"/>
            </w:tcBorders>
            <w:tcMar>
              <w:top w:w="0" w:type="dxa"/>
              <w:left w:w="62" w:type="dxa"/>
              <w:bottom w:w="0" w:type="dxa"/>
              <w:right w:w="62" w:type="dxa"/>
            </w:tcMar>
          </w:tcPr>
          <w:p w:rsidR="00000000" w:rsidRPr="00CA1D62" w:rsidP="00CA1D62">
            <w:pPr>
              <w:pStyle w:val="BodyText"/>
            </w:pPr>
            <w:r w:rsidRPr="00CA1D62">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Prepare the start up of main and auxiliary machinery</w:t>
            </w:r>
          </w:p>
        </w:tc>
        <w:tc>
          <w:tcPr>
            <w:tcW w:w="360"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a</w:t>
            </w:r>
          </w:p>
        </w:tc>
        <w:tc>
          <w:tcPr>
            <w:tcW w:w="603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 xml:space="preserve">Method of preparing the start up of main propulsion and auxiliary machinery is in accordance with manufacturer's specifications and instructions </w:t>
            </w:r>
          </w:p>
        </w:tc>
      </w:tr>
      <w:tr w:rsidTr="00927FEE">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b</w:t>
            </w:r>
          </w:p>
        </w:tc>
        <w:tc>
          <w:tcPr>
            <w:tcW w:w="603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Procedures for making available fuels, lubricants, cooling water and air for the start up of main propuls</w:t>
            </w:r>
            <w:r w:rsidRPr="00CA1D62">
              <w:t>ion and auxiliary machinery is in accordance with manufacturer's specifications and instructions</w:t>
            </w:r>
          </w:p>
        </w:tc>
      </w:tr>
      <w:tr w:rsidTr="00927FEE">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c</w:t>
            </w:r>
          </w:p>
        </w:tc>
        <w:tc>
          <w:tcPr>
            <w:tcW w:w="603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Required precautions are taken prior to start up of main propulsion and auxiliary machinery to minimise and control hazards and operational risks</w:t>
            </w:r>
          </w:p>
        </w:tc>
      </w:tr>
      <w:tr w:rsidTr="00927FEE">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d</w:t>
            </w:r>
          </w:p>
        </w:tc>
        <w:tc>
          <w:tcPr>
            <w:tcW w:w="603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Problems with the start up of main propulsion and auxiliary machinery are identified and investigated and appropriate action is initiated to rectify any problems that occur</w:t>
            </w:r>
          </w:p>
        </w:tc>
      </w:tr>
      <w:tr w:rsidTr="00927FEE">
        <w:tblPrEx>
          <w:tblW w:w="0" w:type="auto"/>
          <w:tblLayout w:type="fixed"/>
          <w:tblCellMar>
            <w:left w:w="62" w:type="dxa"/>
            <w:right w:w="62" w:type="dxa"/>
          </w:tblCellMar>
          <w:tblLook w:val="0000"/>
        </w:tblPrEx>
        <w:trPr>
          <w:gridAfter w:val="1"/>
          <w:wAfter w:w="100"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e</w:t>
            </w:r>
          </w:p>
        </w:tc>
        <w:tc>
          <w:tcPr>
            <w:tcW w:w="6033" w:type="dxa"/>
            <w:tcBorders>
              <w:top w:val="nil"/>
              <w:left w:val="nil"/>
              <w:bottom w:val="nil"/>
              <w:right w:val="nil"/>
            </w:tcBorders>
            <w:tcMar>
              <w:top w:w="0" w:type="dxa"/>
              <w:left w:w="62" w:type="dxa"/>
              <w:bottom w:w="0" w:type="dxa"/>
              <w:right w:w="62" w:type="dxa"/>
            </w:tcMar>
          </w:tcPr>
          <w:p w:rsidR="00000000" w:rsidRPr="00CA1D62" w:rsidP="00CA1D62">
            <w:pPr>
              <w:pStyle w:val="BodyText"/>
            </w:pPr>
            <w:r w:rsidRPr="00CA1D62">
              <w:t>Where applicable, petrol driven outboard engines are prepared for operation in</w:t>
            </w:r>
            <w:r w:rsidRPr="00CA1D62">
              <w:t xml:space="preserve"> accordance with manufacturer's instructions</w:t>
            </w:r>
          </w:p>
        </w:tc>
      </w:tr>
    </w:tbl>
    <w:p w:rsidR="00000000" w:rsidRPr="00CA1D62" w:rsidP="00CA1D62">
      <w:pPr>
        <w:pStyle w:val="BodyText"/>
      </w:pPr>
    </w:p>
    <w:tbl>
      <w:tblPr>
        <w:tblW w:w="0" w:type="auto"/>
        <w:tblLayout w:type="fixed"/>
        <w:tblCellMar>
          <w:left w:w="62" w:type="dxa"/>
          <w:right w:w="62" w:type="dxa"/>
        </w:tblCellMar>
        <w:tblLook w:val="0000"/>
      </w:tblPr>
      <w:tblGrid>
        <w:gridCol w:w="8208"/>
      </w:tblGrid>
      <w:tr w:rsidTr="00927FE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D62" w:rsidP="00CA1D62">
            <w:pPr>
              <w:pStyle w:val="BodyText"/>
            </w:pPr>
            <w:r w:rsidRPr="00CA1D62">
              <w:rPr>
                <w:rStyle w:val="SpecialBold"/>
              </w:rPr>
              <w:t>TDMMB3607B PREPARE A SMALL VESSEL'S MACHINERY FOR SEA WITHIN THE LIMITS OF RESPONSIBILITY OF A MARINE ENGINE DRIVER GRADE 3</w:t>
            </w:r>
          </w:p>
        </w:tc>
      </w:tr>
    </w:tbl>
    <w:p w:rsidR="00000000" w:rsidRPr="00CA1D62" w:rsidP="00CA1D62">
      <w:pPr>
        <w:pStyle w:val="BodyText"/>
      </w:pPr>
    </w:p>
    <w:tbl>
      <w:tblPr>
        <w:tblW w:w="0" w:type="auto"/>
        <w:tblLayout w:type="fixed"/>
        <w:tblCellMar>
          <w:left w:w="62" w:type="dxa"/>
          <w:right w:w="62" w:type="dxa"/>
        </w:tblCellMar>
        <w:tblLook w:val="0000"/>
      </w:tblPr>
      <w:tblGrid>
        <w:gridCol w:w="340"/>
        <w:gridCol w:w="1606"/>
        <w:gridCol w:w="340"/>
        <w:gridCol w:w="20"/>
        <w:gridCol w:w="6004"/>
        <w:gridCol w:w="33"/>
      </w:tblGrid>
      <w:tr w:rsidTr="00927FEE">
        <w:tblPrEx>
          <w:tblW w:w="0" w:type="auto"/>
          <w:tblLayout w:type="fixed"/>
          <w:tblCellMar>
            <w:left w:w="62" w:type="dxa"/>
            <w:right w:w="62" w:type="dxa"/>
          </w:tblCellMar>
          <w:tblLook w:val="0000"/>
        </w:tblPrEx>
        <w:trPr>
          <w:gridAfter w:val="1"/>
          <w:wAfter w:w="33"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A1D62" w:rsidP="00CA1D62">
            <w:pPr>
              <w:pStyle w:val="BodyText"/>
            </w:pPr>
            <w:r w:rsidRPr="00CA1D62">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CA1D62">
            <w:pPr>
              <w:pStyle w:val="BodyText"/>
              <w:rPr>
                <w:lang w:val="en-NZ"/>
              </w:rPr>
            </w:pPr>
            <w:r w:rsidRPr="00CA1D62">
              <w:rPr>
                <w:rStyle w:val="SpecialBold"/>
              </w:rPr>
              <w:t>PERFORMANCE CRITERIA</w:t>
            </w:r>
          </w:p>
        </w:tc>
      </w:tr>
      <w:tr w:rsidTr="00927FEE">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CA1D62" w:rsidP="00CA1D62">
            <w:pPr>
              <w:pStyle w:val="BodyText"/>
            </w:pPr>
          </w:p>
          <w:p w:rsidR="00000000" w:rsidP="00CA1D62">
            <w:pPr>
              <w:pStyle w:val="BodyText"/>
              <w:rPr>
                <w:lang w:val="en-NZ"/>
              </w:rPr>
            </w:pPr>
            <w:r w:rsidRPr="00CA1D62">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CA1D62" w:rsidP="00CA1D62">
            <w:pPr>
              <w:pStyle w:val="BodyText"/>
            </w:pPr>
          </w:p>
          <w:p w:rsidR="00000000" w:rsidP="00CA1D62">
            <w:pPr>
              <w:pStyle w:val="BodyText"/>
              <w:rPr>
                <w:lang w:val="en-NZ"/>
              </w:rPr>
            </w:pPr>
            <w:r w:rsidRPr="00CA1D62">
              <w:rPr>
                <w:rStyle w:val="SpecialBold"/>
              </w:rPr>
              <w:t>Start up and warm up main propulsion and auxiliary machinery</w:t>
            </w:r>
          </w:p>
        </w:tc>
        <w:tc>
          <w:tcPr>
            <w:tcW w:w="340" w:type="dxa"/>
            <w:tcBorders>
              <w:top w:val="nil"/>
              <w:left w:val="single" w:sz="6" w:space="0" w:color="auto"/>
              <w:bottom w:val="nil"/>
              <w:right w:val="nil"/>
            </w:tcBorders>
            <w:tcMar>
              <w:top w:w="0" w:type="dxa"/>
              <w:left w:w="62" w:type="dxa"/>
              <w:bottom w:w="0" w:type="dxa"/>
              <w:right w:w="62" w:type="dxa"/>
            </w:tcMar>
          </w:tcPr>
          <w:p w:rsidR="00000000" w:rsidRPr="00CA1D62" w:rsidP="00CA1D62">
            <w:pPr>
              <w:pStyle w:val="BodyText"/>
            </w:pPr>
          </w:p>
          <w:p w:rsidR="00000000" w:rsidP="00CA1D62">
            <w:pPr>
              <w:pStyle w:val="BodyText"/>
              <w:rPr>
                <w:lang w:val="en-NZ"/>
              </w:rPr>
            </w:pPr>
            <w:r w:rsidRPr="00CA1D62">
              <w:t>a</w:t>
            </w:r>
          </w:p>
        </w:tc>
        <w:tc>
          <w:tcPr>
            <w:tcW w:w="6057" w:type="dxa"/>
            <w:gridSpan w:val="3"/>
            <w:tcBorders>
              <w:top w:val="nil"/>
              <w:left w:val="nil"/>
              <w:bottom w:val="nil"/>
              <w:right w:val="nil"/>
            </w:tcBorders>
            <w:tcMar>
              <w:top w:w="0" w:type="dxa"/>
              <w:left w:w="62" w:type="dxa"/>
              <w:bottom w:w="0" w:type="dxa"/>
              <w:right w:w="62" w:type="dxa"/>
            </w:tcMar>
          </w:tcPr>
          <w:p w:rsidR="00000000" w:rsidRPr="00CA1D62" w:rsidP="00CA1D62">
            <w:pPr>
              <w:pStyle w:val="BodyText"/>
            </w:pPr>
          </w:p>
          <w:p w:rsidR="00000000" w:rsidP="00CA1D62">
            <w:pPr>
              <w:pStyle w:val="BodyText"/>
              <w:rPr>
                <w:lang w:val="en-NZ"/>
              </w:rPr>
            </w:pPr>
            <w:r w:rsidRPr="00CA1D62">
              <w:t xml:space="preserve">Main propulsion and auxiliary machinery is started up and warmed up accordance with manufacturer's specifications and instructions and established marine practice </w:t>
            </w:r>
          </w:p>
        </w:tc>
      </w:tr>
      <w:tr w:rsidTr="00927FEE">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b</w:t>
            </w:r>
          </w:p>
        </w:tc>
        <w:tc>
          <w:tcPr>
            <w:tcW w:w="6057"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Sequence and timing o</w:t>
            </w:r>
            <w:r w:rsidRPr="00CA1D62">
              <w:t xml:space="preserve">f start up and shut down of main propulsion and auxiliary machinery is appropriate for safe and efficient operation </w:t>
            </w:r>
          </w:p>
        </w:tc>
      </w:tr>
      <w:tr w:rsidTr="00927FEE">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c</w:t>
            </w:r>
          </w:p>
        </w:tc>
        <w:tc>
          <w:tcPr>
            <w:tcW w:w="6057"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Checks of pressures, temperatures, and revolutions during the start up and warm up period are made in accordance with manufacturer's technical specifications and appropriate action is initiated when out of specified limits</w:t>
            </w:r>
          </w:p>
        </w:tc>
      </w:tr>
      <w:tr w:rsidTr="00927FEE">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d</w:t>
            </w:r>
          </w:p>
        </w:tc>
        <w:tc>
          <w:tcPr>
            <w:tcW w:w="6057"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Main propulsion and auxiliar</w:t>
            </w:r>
            <w:r w:rsidRPr="00CA1D62">
              <w:t>y machinery is operated within manufacturer's recommended limits</w:t>
            </w:r>
          </w:p>
        </w:tc>
      </w:tr>
      <w:tr w:rsidTr="00927FEE">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e</w:t>
            </w:r>
          </w:p>
        </w:tc>
        <w:tc>
          <w:tcPr>
            <w:tcW w:w="6057"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Running and maintenance logs are maintained in accordance with procedures and manufacturer's specifications and instructions</w:t>
            </w:r>
          </w:p>
        </w:tc>
      </w:tr>
      <w:tr w:rsidTr="00927FEE">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CA1D62">
            <w:pPr>
              <w:pStyle w:val="BodyText"/>
              <w:rPr>
                <w:lang w:val="en-NZ"/>
              </w:rPr>
            </w:pPr>
            <w:r w:rsidRPr="00CA1D62">
              <w:t>f</w:t>
            </w:r>
          </w:p>
        </w:tc>
        <w:tc>
          <w:tcPr>
            <w:tcW w:w="6057"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Where applicable, petrol driven outboard engines are operated in accordance with manufacturer's instructions</w:t>
            </w:r>
          </w:p>
        </w:tc>
      </w:tr>
      <w:tr w:rsidTr="00927FEE">
        <w:tblPrEx>
          <w:tblW w:w="0" w:type="auto"/>
          <w:tblLayout w:type="fixed"/>
          <w:tblCellMar>
            <w:left w:w="62" w:type="dxa"/>
            <w:right w:w="62" w:type="dxa"/>
          </w:tblCellMar>
          <w:tblLook w:val="0000"/>
        </w:tblPrEx>
        <w:trPr>
          <w:gridAfter w:val="1"/>
          <w:wAfter w:w="3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CA1D62">
            <w:pPr>
              <w:pStyle w:val="BodyText"/>
              <w:rPr>
                <w:lang w:val="en-NZ"/>
              </w:rPr>
            </w:pPr>
          </w:p>
        </w:tc>
      </w:tr>
      <w:tr w:rsidTr="00927FE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CA1D62" w:rsidP="00CA1D62">
            <w:pPr>
              <w:pStyle w:val="BodyText"/>
            </w:pPr>
            <w:r w:rsidRPr="00CA1D62">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Prepare and shut down of main propulsion and auxiliary machinery</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a</w:t>
            </w:r>
          </w:p>
        </w:tc>
        <w:tc>
          <w:tcPr>
            <w:tcW w:w="6037"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 xml:space="preserve">Method of preparing the shut down of main propulsion and auxiliary machinery is in accordance with manufacturer's specifications and instructions </w:t>
            </w:r>
          </w:p>
        </w:tc>
      </w:tr>
      <w:tr w:rsidTr="00927FE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b</w:t>
            </w:r>
          </w:p>
        </w:tc>
        <w:tc>
          <w:tcPr>
            <w:tcW w:w="6037"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 xml:space="preserve">Required precautions </w:t>
            </w:r>
            <w:r w:rsidRPr="00CA1D62">
              <w:t>are taken prior to shut down of main propulsion and auxiliary machinery to minimise and control hazards and operational risks</w:t>
            </w:r>
          </w:p>
        </w:tc>
      </w:tr>
      <w:tr w:rsidTr="00927FE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c</w:t>
            </w:r>
          </w:p>
        </w:tc>
        <w:tc>
          <w:tcPr>
            <w:tcW w:w="6037"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Problems with the shut down of main propulsion and auxiliary machinery are identified and investigated and appropriate action is initiated to report and rectify the problems</w:t>
            </w:r>
          </w:p>
        </w:tc>
      </w:tr>
      <w:tr w:rsidTr="00927FE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d</w:t>
            </w:r>
          </w:p>
        </w:tc>
        <w:tc>
          <w:tcPr>
            <w:tcW w:w="6037"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 xml:space="preserve">Where applicable, petrol driven outboard engines are shut down in accordance </w:t>
            </w:r>
            <w:r w:rsidRPr="00CA1D62">
              <w:t>with manufacturer's instructions</w:t>
            </w:r>
          </w:p>
        </w:tc>
      </w:tr>
      <w:tr w:rsidTr="00927FE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e</w:t>
            </w:r>
          </w:p>
        </w:tc>
        <w:tc>
          <w:tcPr>
            <w:tcW w:w="6037" w:type="dxa"/>
            <w:gridSpan w:val="2"/>
            <w:tcBorders>
              <w:top w:val="nil"/>
              <w:left w:val="nil"/>
              <w:bottom w:val="nil"/>
              <w:right w:val="nil"/>
            </w:tcBorders>
            <w:tcMar>
              <w:top w:w="0" w:type="dxa"/>
              <w:left w:w="62" w:type="dxa"/>
              <w:bottom w:w="0" w:type="dxa"/>
              <w:right w:w="62" w:type="dxa"/>
            </w:tcMar>
          </w:tcPr>
          <w:p w:rsidR="00000000" w:rsidRPr="00CA1D62" w:rsidP="00CA1D62">
            <w:pPr>
              <w:pStyle w:val="BodyText"/>
            </w:pPr>
            <w:r w:rsidRPr="00CA1D62">
              <w:t>The cooling down of the engine is monitored in accordance with manufacturer's specifications and instructions</w:t>
            </w:r>
          </w:p>
        </w:tc>
      </w:tr>
    </w:tbl>
    <w:p w:rsidR="00000000" w:rsidRPr="00CA1D62" w:rsidP="00CA1D62">
      <w:pPr>
        <w:pStyle w:val="BodyText"/>
      </w:pPr>
    </w:p>
    <w:tbl>
      <w:tblPr>
        <w:tblW w:w="0" w:type="auto"/>
        <w:tblLayout w:type="fixed"/>
        <w:tblCellMar>
          <w:left w:w="62" w:type="dxa"/>
          <w:right w:w="62" w:type="dxa"/>
        </w:tblCellMar>
        <w:tblLook w:val="0000"/>
      </w:tblPr>
      <w:tblGrid>
        <w:gridCol w:w="8208"/>
      </w:tblGrid>
      <w:tr w:rsidTr="00927FE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D62" w:rsidP="00CA1D62">
            <w:pPr>
              <w:pStyle w:val="BodyText"/>
            </w:pPr>
            <w:r w:rsidRPr="00CA1D62">
              <w:rPr>
                <w:rStyle w:val="SpecialBold"/>
              </w:rPr>
              <w:t>TDMMB3607B PREPARE A SMALL VESSEL'S</w:t>
            </w:r>
            <w:r w:rsidRPr="00CA1D62">
              <w:rPr>
                <w:rStyle w:val="SpecialBold"/>
              </w:rPr>
              <w:t xml:space="preserve"> MACHINERY FOR SEA WITHIN THE LIMITS OF RESPONSIBILITY OF A MARINE ENGINE DRIVER GRADE 3</w:t>
            </w:r>
          </w:p>
        </w:tc>
      </w:tr>
    </w:tbl>
    <w:p w:rsidR="00927FEE" w:rsidP="00CA1D62">
      <w:pPr>
        <w:pStyle w:val="BodyText"/>
      </w:pPr>
    </w:p>
    <w:p w:rsidR="00927FEE" w:rsidP="00CA1D62">
      <w:pPr>
        <w:pStyle w:val="BodyText"/>
      </w:pPr>
    </w:p>
    <w:p w:rsidR="00000000" w:rsidRPr="00CA1D62" w:rsidP="00CA1D62">
      <w:pPr>
        <w:pStyle w:val="Heading1"/>
      </w:pPr>
      <w:bookmarkStart w:id="9" w:name="O_150587"/>
      <w:bookmarkEnd w:id="9"/>
      <w:r w:rsidRPr="00CA1D62">
        <w:t>Required Skills and Knowledge</w:t>
      </w:r>
    </w:p>
    <w:tbl>
      <w:tblPr>
        <w:tblW w:w="0" w:type="auto"/>
        <w:tblLayout w:type="fixed"/>
        <w:tblCellMar>
          <w:left w:w="62" w:type="dxa"/>
          <w:right w:w="62" w:type="dxa"/>
        </w:tblCellMar>
        <w:tblLook w:val="0000"/>
      </w:tblPr>
      <w:tblGrid>
        <w:gridCol w:w="423"/>
        <w:gridCol w:w="353"/>
        <w:gridCol w:w="7553"/>
        <w:gridCol w:w="14"/>
      </w:tblGrid>
      <w:tr w:rsidTr="00927FEE">
        <w:tblPrEx>
          <w:tblW w:w="0" w:type="auto"/>
          <w:tblLayout w:type="fixed"/>
          <w:tblCellMar>
            <w:left w:w="62" w:type="dxa"/>
            <w:right w:w="62" w:type="dxa"/>
          </w:tblCellMar>
          <w:tblLook w:val="0000"/>
        </w:tblPrEx>
        <w:trPr>
          <w:gridAfter w:val="1"/>
          <w:wAfter w:w="14" w:type="dxa"/>
          <w:tblHeader/>
        </w:trPr>
        <w:tc>
          <w:tcPr>
            <w:tcW w:w="8329"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rPr>
                <w:rStyle w:val="SpecialBold"/>
              </w:rPr>
              <w:t>REQUIRED SKILLS AND KNOWLEDGE</w:t>
            </w:r>
          </w:p>
        </w:tc>
      </w:tr>
      <w:tr w:rsidTr="00927FEE">
        <w:tblPrEx>
          <w:tblW w:w="0" w:type="auto"/>
          <w:tblLayout w:type="fixed"/>
          <w:tblCellMar>
            <w:left w:w="62" w:type="dxa"/>
            <w:right w:w="62" w:type="dxa"/>
          </w:tblCellMar>
          <w:tblLook w:val="0000"/>
        </w:tblPrEx>
        <w:tc>
          <w:tcPr>
            <w:tcW w:w="8343" w:type="dxa"/>
            <w:gridSpan w:val="4"/>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rPr>
                <w:rStyle w:val="SpecialBold"/>
              </w:rPr>
              <w:t>REQUIRED KNOWLEDGE</w:t>
            </w:r>
          </w:p>
        </w:tc>
      </w:tr>
      <w:tr w:rsidTr="00927FEE">
        <w:tblPrEx>
          <w:tblW w:w="0" w:type="auto"/>
          <w:tblLayout w:type="fixed"/>
          <w:tblCellMar>
            <w:left w:w="62" w:type="dxa"/>
            <w:right w:w="62" w:type="dxa"/>
          </w:tblCellMar>
          <w:tblLook w:val="0000"/>
        </w:tblPrEx>
        <w:tc>
          <w:tcPr>
            <w:tcW w:w="8343" w:type="dxa"/>
            <w:gridSpan w:val="4"/>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rPr>
                <w:rStyle w:val="Emphasis"/>
              </w:rPr>
              <w:t>This describes the knowledge required for this unit</w:t>
            </w:r>
            <w:r w:rsidRPr="00CA1D62">
              <w:t>.</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1</w:t>
            </w:r>
          </w:p>
        </w:tc>
        <w:tc>
          <w:tcPr>
            <w:tcW w:w="7920"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Relevant OH&amp;S and pollution control legislation, codes of practice, policies and procedures</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2</w:t>
            </w:r>
          </w:p>
        </w:tc>
        <w:tc>
          <w:tcPr>
            <w:tcW w:w="7920"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 xml:space="preserve">Procedures for the start up and shut down of main propulsion and auxiliary machinery and associated systems on a small commercial vessel, (including </w:t>
            </w:r>
            <w:r w:rsidRPr="00CA1D62">
              <w:t>petrol driven outboard motors)</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3</w:t>
            </w:r>
          </w:p>
        </w:tc>
        <w:tc>
          <w:tcPr>
            <w:tcW w:w="7920"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Operational characteristics and performance specifications for the various types of main propulsion and auxiliary machinery and associated systems found on small commercial vessels</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4</w:t>
            </w:r>
          </w:p>
        </w:tc>
        <w:tc>
          <w:tcPr>
            <w:tcW w:w="7920"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The nature and causes of start up an</w:t>
            </w:r>
            <w:r w:rsidRPr="00CA1D62">
              <w:t>d shut down malfunctions of main propulsion and auxiliary machinery and associated systems and the available methods for their detection and rectification</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5</w:t>
            </w:r>
          </w:p>
        </w:tc>
        <w:tc>
          <w:tcPr>
            <w:tcW w:w="7920"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 xml:space="preserve">Safety, environmental and hazard control precautions and procedures relevant to the start up and </w:t>
            </w:r>
            <w:r w:rsidRPr="00CA1D62">
              <w:t>shut down of main propulsion and auxiliary machinery and associated systems</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6</w:t>
            </w:r>
          </w:p>
        </w:tc>
        <w:tc>
          <w:tcPr>
            <w:tcW w:w="7920"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Basic principles of engines and propulsion systems used on a small vessel, including basic theory of:</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a</w:t>
            </w:r>
          </w:p>
        </w:tc>
        <w:tc>
          <w:tcPr>
            <w:tcW w:w="7567"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internal combustion engines</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b</w:t>
            </w:r>
          </w:p>
        </w:tc>
        <w:tc>
          <w:tcPr>
            <w:tcW w:w="7567"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fuel systems</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c</w:t>
            </w:r>
          </w:p>
        </w:tc>
        <w:tc>
          <w:tcPr>
            <w:tcW w:w="7567"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engine cooling and lubrication</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7</w:t>
            </w:r>
          </w:p>
        </w:tc>
        <w:tc>
          <w:tcPr>
            <w:tcW w:w="7920" w:type="dxa"/>
            <w:gridSpan w:val="3"/>
            <w:tcBorders>
              <w:top w:val="nil"/>
              <w:left w:val="nil"/>
              <w:bottom w:val="nil"/>
              <w:right w:val="nil"/>
            </w:tcBorders>
            <w:tcMar>
              <w:top w:w="0" w:type="dxa"/>
              <w:left w:w="62" w:type="dxa"/>
              <w:bottom w:w="0" w:type="dxa"/>
              <w:right w:w="62" w:type="dxa"/>
            </w:tcMar>
          </w:tcPr>
          <w:p w:rsidR="00000000" w:rsidRPr="00CA1D62" w:rsidP="00CA1D62">
            <w:pPr>
              <w:pStyle w:val="BodyText"/>
            </w:pPr>
            <w:r w:rsidRPr="00CA1D62">
              <w:t xml:space="preserve">Types of operational and servicing records that must be maintained on a small vessel </w:t>
            </w:r>
          </w:p>
        </w:tc>
      </w:tr>
    </w:tbl>
    <w:p w:rsidR="00000000" w:rsidRPr="00CA1D62" w:rsidP="00CA1D62">
      <w:pPr>
        <w:pStyle w:val="BodyText"/>
      </w:pPr>
    </w:p>
    <w:tbl>
      <w:tblPr>
        <w:tblW w:w="0" w:type="auto"/>
        <w:tblLayout w:type="fixed"/>
        <w:tblCellMar>
          <w:left w:w="62" w:type="dxa"/>
          <w:right w:w="62" w:type="dxa"/>
        </w:tblCellMar>
        <w:tblLook w:val="0000"/>
      </w:tblPr>
      <w:tblGrid>
        <w:gridCol w:w="8208"/>
      </w:tblGrid>
      <w:tr w:rsidTr="00927FE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D62" w:rsidP="00CA1D62">
            <w:pPr>
              <w:pStyle w:val="BodyText"/>
            </w:pPr>
            <w:r w:rsidRPr="00CA1D62">
              <w:rPr>
                <w:rStyle w:val="SpecialBold"/>
              </w:rPr>
              <w:t>TDMMB3607B PREPARE A SMALL VESSEL'S MACHINERY FOR SEA WITHIN THE LIMITS OF RESPONSIBILITY OF A MARINE ENGINE DRIVER GRADE 3</w:t>
            </w:r>
          </w:p>
        </w:tc>
      </w:tr>
    </w:tbl>
    <w:p w:rsidR="00000000" w:rsidRPr="00CA1D62" w:rsidP="00CA1D62">
      <w:pPr>
        <w:pStyle w:val="BodyText"/>
      </w:pPr>
    </w:p>
    <w:tbl>
      <w:tblPr>
        <w:tblW w:w="0" w:type="auto"/>
        <w:tblLayout w:type="fixed"/>
        <w:tblCellMar>
          <w:left w:w="62" w:type="dxa"/>
          <w:right w:w="62" w:type="dxa"/>
        </w:tblCellMar>
        <w:tblLook w:val="0000"/>
      </w:tblPr>
      <w:tblGrid>
        <w:gridCol w:w="423"/>
        <w:gridCol w:w="7906"/>
      </w:tblGrid>
      <w:tr w:rsidTr="00927FEE">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rPr>
                <w:rStyle w:val="SpecialBold"/>
              </w:rPr>
              <w:t>REQUIRED SKILLS</w:t>
            </w:r>
          </w:p>
        </w:tc>
      </w:tr>
      <w:tr w:rsidTr="00927FEE">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rPr>
                <w:rStyle w:val="Emphasis"/>
              </w:rPr>
              <w:t>This describes the basic skills required for this unit</w:t>
            </w:r>
            <w:r w:rsidRPr="00CA1D62">
              <w:t>.</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1</w:t>
            </w:r>
          </w:p>
        </w:tc>
        <w:tc>
          <w:tcPr>
            <w:tcW w:w="7906"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 xml:space="preserve">Use basic verbal communication skills required when preparing a small vessel's machinery for sea </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2</w:t>
            </w:r>
          </w:p>
        </w:tc>
        <w:tc>
          <w:tcPr>
            <w:tcW w:w="7906"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Read, interpret and apply simple instructions on the preparation of a small vessel's machinery for sea, including all required OH&amp;S procedures and precautions</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3</w:t>
            </w:r>
          </w:p>
        </w:tc>
        <w:tc>
          <w:tcPr>
            <w:tcW w:w="7906"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Read and interpret material safety data sheets</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4</w:t>
            </w:r>
          </w:p>
        </w:tc>
        <w:tc>
          <w:tcPr>
            <w:tcW w:w="7906"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Read and interpret machinery performance rea</w:t>
            </w:r>
            <w:r w:rsidRPr="00CA1D62">
              <w:t>dings and indications</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5</w:t>
            </w:r>
          </w:p>
        </w:tc>
        <w:tc>
          <w:tcPr>
            <w:tcW w:w="7906"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Start up and shut down main propulsion and auxiliary machinery and associated systems on a small commercial vessel</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6</w:t>
            </w:r>
          </w:p>
        </w:tc>
        <w:tc>
          <w:tcPr>
            <w:tcW w:w="7906"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Complete any required operational and servicing records</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7</w:t>
            </w:r>
          </w:p>
        </w:tc>
        <w:tc>
          <w:tcPr>
            <w:tcW w:w="7906"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Work safely and collaboratively with others during the</w:t>
            </w:r>
            <w:r w:rsidRPr="00CA1D62">
              <w:t xml:space="preserve"> preparation of a small vessel's machinery for sea</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8</w:t>
            </w:r>
          </w:p>
        </w:tc>
        <w:tc>
          <w:tcPr>
            <w:tcW w:w="7906"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Select and use relevant tools and equipment as per instructions</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9</w:t>
            </w:r>
          </w:p>
        </w:tc>
        <w:tc>
          <w:tcPr>
            <w:tcW w:w="7906"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Recognise faulty equipment and take appropriate action as per operating instructions</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10</w:t>
            </w:r>
          </w:p>
        </w:tc>
        <w:tc>
          <w:tcPr>
            <w:tcW w:w="7906"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Recognise routine problems during the preparation of a small vessel's machinery for sea and take appropriate action</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11</w:t>
            </w:r>
          </w:p>
        </w:tc>
        <w:tc>
          <w:tcPr>
            <w:tcW w:w="7906"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Adapt to changes in equipment and procedures in the workplace</w:t>
            </w:r>
          </w:p>
        </w:tc>
      </w:tr>
      <w:tr w:rsidTr="00927FE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12</w:t>
            </w:r>
          </w:p>
        </w:tc>
        <w:tc>
          <w:tcPr>
            <w:tcW w:w="7906" w:type="dxa"/>
            <w:tcBorders>
              <w:top w:val="nil"/>
              <w:left w:val="nil"/>
              <w:bottom w:val="nil"/>
              <w:right w:val="nil"/>
            </w:tcBorders>
            <w:tcMar>
              <w:top w:w="0" w:type="dxa"/>
              <w:left w:w="62" w:type="dxa"/>
              <w:bottom w:w="0" w:type="dxa"/>
              <w:right w:w="62" w:type="dxa"/>
            </w:tcMar>
          </w:tcPr>
          <w:p w:rsidR="00000000" w:rsidRPr="00CA1D62" w:rsidP="00CA1D62">
            <w:pPr>
              <w:pStyle w:val="BodyText"/>
            </w:pPr>
            <w:r w:rsidRPr="00CA1D62">
              <w:t>Follow required work schedule as per company requirements</w:t>
            </w:r>
          </w:p>
        </w:tc>
      </w:tr>
    </w:tbl>
    <w:p w:rsidR="00927FEE" w:rsidP="00CA1D62">
      <w:pPr>
        <w:pStyle w:val="BodyText"/>
      </w:pPr>
    </w:p>
    <w:p w:rsidR="00927FEE" w:rsidP="00CA1D62">
      <w:pPr>
        <w:pStyle w:val="BodyText"/>
      </w:pPr>
    </w:p>
    <w:p w:rsidR="00000000" w:rsidRPr="00CA1D62" w:rsidP="00CA1D62">
      <w:pPr>
        <w:pStyle w:val="Heading1"/>
      </w:pPr>
      <w:bookmarkStart w:id="10" w:name="O_150588"/>
      <w:bookmarkEnd w:id="10"/>
      <w:r w:rsidRPr="00CA1D62">
        <w:t>Evidence Guide</w:t>
      </w:r>
    </w:p>
    <w:p w:rsidR="00000000" w:rsidRPr="00CA1D62" w:rsidP="00CA1D62">
      <w:pPr>
        <w:pStyle w:val="BodyText"/>
      </w:pPr>
      <w:r w:rsidRPr="00CA1D62">
        <w:rPr>
          <w:rStyle w:val="SpecialBold"/>
        </w:rPr>
        <w:t xml:space="preserve">Evidence Guide </w:t>
      </w:r>
    </w:p>
    <w:tbl>
      <w:tblPr>
        <w:tblW w:w="0" w:type="auto"/>
        <w:tblLayout w:type="fixed"/>
        <w:tblCellMar>
          <w:left w:w="62" w:type="dxa"/>
          <w:right w:w="62" w:type="dxa"/>
        </w:tblCellMar>
        <w:tblLook w:val="0000"/>
      </w:tblPr>
      <w:tblGrid>
        <w:gridCol w:w="8208"/>
      </w:tblGrid>
      <w:tr w:rsidTr="00927FE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D62" w:rsidP="00CA1D62">
            <w:pPr>
              <w:pStyle w:val="BodyText"/>
            </w:pPr>
            <w:r w:rsidRPr="00CA1D62">
              <w:rPr>
                <w:rStyle w:val="SpecialBold"/>
              </w:rPr>
              <w:t>TDMMB3607B PREPARE A SMALL VESSEL'S MACHINERY FOR SEA WITHIN THE LIMITS OF RESPONSIBILITY OF A MARINE ENGINE DRIVER GRADE 3</w:t>
            </w:r>
          </w:p>
        </w:tc>
      </w:tr>
    </w:tbl>
    <w:p w:rsidR="00000000" w:rsidRPr="00CA1D62" w:rsidP="00CA1D62">
      <w:pPr>
        <w:pStyle w:val="BodyText"/>
      </w:pPr>
    </w:p>
    <w:tbl>
      <w:tblPr>
        <w:tblW w:w="0" w:type="auto"/>
        <w:tblLayout w:type="fixed"/>
        <w:tblCellMar>
          <w:left w:w="62" w:type="dxa"/>
          <w:right w:w="62" w:type="dxa"/>
        </w:tblCellMar>
        <w:tblLook w:val="0000"/>
      </w:tblPr>
      <w:tblGrid>
        <w:gridCol w:w="302"/>
        <w:gridCol w:w="1788"/>
        <w:gridCol w:w="361"/>
        <w:gridCol w:w="359"/>
        <w:gridCol w:w="5668"/>
        <w:gridCol w:w="15"/>
      </w:tblGrid>
      <w:tr w:rsidTr="00927FEE">
        <w:tblPrEx>
          <w:tblW w:w="0" w:type="auto"/>
          <w:tblLayout w:type="fixed"/>
          <w:tblCellMar>
            <w:left w:w="62" w:type="dxa"/>
            <w:right w:w="62" w:type="dxa"/>
          </w:tblCellMar>
          <w:tblLook w:val="0000"/>
        </w:tblPrEx>
        <w:trPr>
          <w:tblHeader/>
        </w:trPr>
        <w:tc>
          <w:tcPr>
            <w:tcW w:w="8493" w:type="dxa"/>
            <w:gridSpan w:val="6"/>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rPr>
                <w:rStyle w:val="Emphasis"/>
              </w:rPr>
              <w:t>The Evidence Guide provides advice on assessment and must be read in conjunction with the Performance Criteria</w:t>
            </w:r>
            <w:r w:rsidRPr="00CA1D62">
              <w:t xml:space="preserve">, </w:t>
            </w:r>
            <w:r w:rsidRPr="00CA1D62">
              <w:rPr>
                <w:rStyle w:val="Emphasis"/>
              </w:rPr>
              <w:t>Required Skills and Knowledge</w:t>
            </w:r>
            <w:r w:rsidRPr="00CA1D62">
              <w:t xml:space="preserve">, </w:t>
            </w:r>
            <w:r w:rsidRPr="00CA1D62">
              <w:rPr>
                <w:rStyle w:val="Emphasis"/>
              </w:rPr>
              <w:t>the Range Statement and the Assessment Guidelines for this Training Package</w:t>
            </w:r>
            <w:r w:rsidRPr="00CA1D62">
              <w:t>.</w:t>
            </w:r>
          </w:p>
        </w:tc>
      </w:tr>
      <w:tr w:rsidTr="00927FEE">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CA1D62" w:rsidP="00CA1D62">
            <w:pPr>
              <w:pStyle w:val="BodyText"/>
            </w:pPr>
            <w:r w:rsidRPr="00CA1D62">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 xml:space="preserve">Critical aspects of evidence </w:t>
            </w:r>
            <w:r w:rsidRPr="00CA1D62">
              <w:rPr>
                <w:rStyle w:val="SpecialBold"/>
              </w:rPr>
              <w:t>required to demonstrate competency in this unit</w:t>
            </w:r>
          </w:p>
        </w:tc>
        <w:tc>
          <w:tcPr>
            <w:tcW w:w="6388" w:type="dxa"/>
            <w:gridSpan w:val="3"/>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Assessment must confirm appropriate knowledge and skills to:</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a</w:t>
            </w:r>
          </w:p>
        </w:tc>
        <w:tc>
          <w:tcPr>
            <w:tcW w:w="6027"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 xml:space="preserve">Prepare a small vessel's machinery for sea, including the start up and shut down of the main propulsion and auxiliary machinery and associated systems typically found on a small commercial vessel </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b</w:t>
            </w:r>
          </w:p>
        </w:tc>
        <w:tc>
          <w:tcPr>
            <w:tcW w:w="6027"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Exercise all required safety, environmental and hazard control precautions and procedures when starting up and shutting down the main propulsion and auxiliary machinery and associated systems</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CA1D62">
            <w:pPr>
              <w:pStyle w:val="BodyText"/>
              <w:rPr>
                <w:lang w:val="en-NZ"/>
              </w:rPr>
            </w:pPr>
            <w:r w:rsidRPr="00CA1D62">
              <w:t>c</w:t>
            </w:r>
          </w:p>
        </w:tc>
        <w:tc>
          <w:tcPr>
            <w:tcW w:w="6027" w:type="dxa"/>
            <w:gridSpan w:val="2"/>
            <w:tcBorders>
              <w:top w:val="nil"/>
              <w:left w:val="nil"/>
              <w:bottom w:val="single" w:sz="6" w:space="0" w:color="auto"/>
              <w:right w:val="nil"/>
            </w:tcBorders>
            <w:tcMar>
              <w:top w:w="0" w:type="dxa"/>
              <w:left w:w="62" w:type="dxa"/>
              <w:bottom w:w="0" w:type="dxa"/>
              <w:right w:w="62" w:type="dxa"/>
            </w:tcMar>
          </w:tcPr>
          <w:p w:rsidR="00000000" w:rsidP="00CA1D62">
            <w:pPr>
              <w:pStyle w:val="BodyText"/>
              <w:rPr>
                <w:lang w:val="en-NZ"/>
              </w:rPr>
            </w:pPr>
            <w:r w:rsidRPr="00CA1D62">
              <w:t>Communicate effectively with others during start up and sh</w:t>
            </w:r>
            <w:r w:rsidRPr="00CA1D62">
              <w:t>ut down operations</w:t>
            </w:r>
          </w:p>
        </w:tc>
      </w:tr>
      <w:tr w:rsidTr="00927FEE">
        <w:tblPrEx>
          <w:tblW w:w="0" w:type="auto"/>
          <w:tblLayout w:type="fixed"/>
          <w:tblCellMar>
            <w:left w:w="62" w:type="dxa"/>
            <w:right w:w="62" w:type="dxa"/>
          </w:tblCellMar>
          <w:tblLook w:val="0000"/>
        </w:tblPrEx>
        <w:trPr>
          <w:gridAfter w:val="1"/>
          <w:wAfter w:w="15" w:type="dxa"/>
        </w:trPr>
        <w:tc>
          <w:tcPr>
            <w:tcW w:w="302" w:type="dxa"/>
            <w:vMerge w:val="restart"/>
            <w:tcBorders>
              <w:top w:val="single" w:sz="6" w:space="0" w:color="auto"/>
              <w:left w:val="nil"/>
              <w:bottom w:val="nil"/>
              <w:right w:val="nil"/>
            </w:tcBorders>
            <w:tcMar>
              <w:top w:w="0" w:type="dxa"/>
              <w:left w:w="62" w:type="dxa"/>
              <w:bottom w:w="0" w:type="dxa"/>
              <w:right w:w="62" w:type="dxa"/>
            </w:tcMar>
          </w:tcPr>
          <w:p w:rsidR="00000000" w:rsidRPr="00CA1D62" w:rsidP="00CA1D62">
            <w:pPr>
              <w:pStyle w:val="BodyText"/>
            </w:pPr>
          </w:p>
          <w:p w:rsidR="00000000" w:rsidP="00CA1D62">
            <w:pPr>
              <w:pStyle w:val="BodyText"/>
              <w:rPr>
                <w:lang w:val="en-NZ"/>
              </w:rPr>
            </w:pPr>
            <w:r w:rsidRPr="00CA1D62">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CA1D62" w:rsidP="00CA1D62">
            <w:pPr>
              <w:pStyle w:val="BodyText"/>
            </w:pPr>
          </w:p>
          <w:p w:rsidR="00000000" w:rsidP="00CA1D62">
            <w:pPr>
              <w:pStyle w:val="BodyText"/>
              <w:rPr>
                <w:lang w:val="en-NZ"/>
              </w:rPr>
            </w:pPr>
            <w:r w:rsidRPr="00CA1D62">
              <w:rPr>
                <w:rStyle w:val="SpecialBold"/>
              </w:rPr>
              <w:t>Evidence required for demonstration of consistent performance</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CA1D62" w:rsidP="00CA1D62">
            <w:pPr>
              <w:pStyle w:val="BodyText"/>
            </w:pPr>
          </w:p>
          <w:p w:rsidR="00000000" w:rsidP="00CA1D62">
            <w:pPr>
              <w:pStyle w:val="BodyText"/>
              <w:rPr>
                <w:lang w:val="en-NZ"/>
              </w:rPr>
            </w:pPr>
            <w:r w:rsidRPr="00CA1D62">
              <w:t>a</w:t>
            </w:r>
          </w:p>
        </w:tc>
        <w:tc>
          <w:tcPr>
            <w:tcW w:w="6027" w:type="dxa"/>
            <w:gridSpan w:val="2"/>
            <w:tcBorders>
              <w:top w:val="single" w:sz="6" w:space="0" w:color="auto"/>
              <w:left w:val="nil"/>
              <w:bottom w:val="nil"/>
              <w:right w:val="nil"/>
            </w:tcBorders>
            <w:tcMar>
              <w:top w:w="0" w:type="dxa"/>
              <w:left w:w="62" w:type="dxa"/>
              <w:bottom w:w="0" w:type="dxa"/>
              <w:right w:w="62" w:type="dxa"/>
            </w:tcMar>
          </w:tcPr>
          <w:p w:rsidR="00000000" w:rsidRPr="00CA1D62" w:rsidP="00CA1D62">
            <w:pPr>
              <w:pStyle w:val="BodyText"/>
            </w:pPr>
          </w:p>
          <w:p w:rsidR="00000000" w:rsidP="00CA1D62">
            <w:pPr>
              <w:pStyle w:val="BodyText"/>
              <w:rPr>
                <w:lang w:val="en-NZ"/>
              </w:rPr>
            </w:pPr>
            <w:r w:rsidRPr="00CA1D62">
              <w:t>Performance is demonstrated consistently over a period of time and in a suitable range of contexts</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b</w:t>
            </w:r>
          </w:p>
        </w:tc>
        <w:tc>
          <w:tcPr>
            <w:tcW w:w="6027"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Consistently applies underpinning knowledge and skills when:</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1</w:t>
            </w:r>
          </w:p>
        </w:tc>
        <w:tc>
          <w:tcPr>
            <w:tcW w:w="5668"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starting up and shutting down the main propulsion and auxiliary machinery and associated systems found on a small commercial vessel</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2</w:t>
            </w:r>
          </w:p>
        </w:tc>
        <w:tc>
          <w:tcPr>
            <w:tcW w:w="5668"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identifying problems and hazards with the start up and shut down of the main propulsion and auxiliary machinery and initiating appropriate action for rectification</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3</w:t>
            </w:r>
          </w:p>
        </w:tc>
        <w:tc>
          <w:tcPr>
            <w:tcW w:w="5668"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exercising all required safety, environmental and hazard control precautions and proce</w:t>
            </w:r>
            <w:r w:rsidRPr="00CA1D62">
              <w:t>dures when starting up and shutting down the main propulsion and auxiliary machinery and associated systems</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4</w:t>
            </w:r>
          </w:p>
        </w:tc>
        <w:tc>
          <w:tcPr>
            <w:tcW w:w="5668"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communicating effectively with others during start up and shut down operations</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5</w:t>
            </w:r>
          </w:p>
        </w:tc>
        <w:tc>
          <w:tcPr>
            <w:tcW w:w="5668"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applying safety precautions relevant to start up and shut down operations</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c</w:t>
            </w:r>
          </w:p>
        </w:tc>
        <w:tc>
          <w:tcPr>
            <w:tcW w:w="6027"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Shows evidence of application of relevant workplace procedures, including:</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1</w:t>
            </w:r>
          </w:p>
        </w:tc>
        <w:tc>
          <w:tcPr>
            <w:tcW w:w="5668"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relevant maritime regulations</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2</w:t>
            </w:r>
          </w:p>
        </w:tc>
        <w:tc>
          <w:tcPr>
            <w:tcW w:w="5668"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 xml:space="preserve">OH&amp;S regulations and hazard prevention policies and procedures </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3</w:t>
            </w:r>
          </w:p>
        </w:tc>
        <w:tc>
          <w:tcPr>
            <w:tcW w:w="5668"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standard operating procedures</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4</w:t>
            </w:r>
          </w:p>
        </w:tc>
        <w:tc>
          <w:tcPr>
            <w:tcW w:w="5668"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following on-board housekeeping processes</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d</w:t>
            </w:r>
          </w:p>
        </w:tc>
        <w:tc>
          <w:tcPr>
            <w:tcW w:w="6027"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Action is taken promptly to report and/or rectify machinery malfunctions</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e</w:t>
            </w:r>
          </w:p>
        </w:tc>
        <w:tc>
          <w:tcPr>
            <w:tcW w:w="6027"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Work is completed systematically with required attention to detail</w:t>
            </w:r>
          </w:p>
        </w:tc>
      </w:tr>
      <w:tr w:rsidTr="00927FEE">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f</w:t>
            </w:r>
          </w:p>
        </w:tc>
        <w:tc>
          <w:tcPr>
            <w:tcW w:w="6027" w:type="dxa"/>
            <w:gridSpan w:val="2"/>
            <w:tcBorders>
              <w:top w:val="nil"/>
              <w:left w:val="nil"/>
              <w:bottom w:val="nil"/>
              <w:right w:val="nil"/>
            </w:tcBorders>
            <w:tcMar>
              <w:top w:w="0" w:type="dxa"/>
              <w:left w:w="62" w:type="dxa"/>
              <w:bottom w:w="0" w:type="dxa"/>
              <w:right w:w="62" w:type="dxa"/>
            </w:tcMar>
          </w:tcPr>
          <w:p w:rsidR="00000000" w:rsidRPr="00CA1D62" w:rsidP="00CA1D62">
            <w:pPr>
              <w:pStyle w:val="BodyText"/>
            </w:pPr>
            <w:r w:rsidRPr="00CA1D62">
              <w:t>Recognises and adapts appropriately to cultural differences in the workplace, including modes of behaviour and interactions among crew and others</w:t>
            </w:r>
          </w:p>
        </w:tc>
      </w:tr>
    </w:tbl>
    <w:p w:rsidR="00000000" w:rsidRPr="00CA1D62" w:rsidP="00CA1D62">
      <w:pPr>
        <w:pStyle w:val="BodyText"/>
      </w:pPr>
    </w:p>
    <w:p w:rsidR="00000000" w:rsidRPr="00CA1D62" w:rsidP="00CA1D62">
      <w:pPr>
        <w:pStyle w:val="BodyText"/>
      </w:pPr>
      <w:r w:rsidRPr="00CA1D62">
        <w:rPr>
          <w:rStyle w:val="SpecialBold"/>
        </w:rPr>
        <w:t>Evidence Guide</w:t>
      </w:r>
      <w:r w:rsidRPr="00CA1D62">
        <w:t xml:space="preserve"> (</w:t>
      </w:r>
      <w:r w:rsidRPr="00CA1D62">
        <w:rPr>
          <w:rStyle w:val="SpecialBold"/>
        </w:rPr>
        <w:t>continued</w:t>
      </w:r>
      <w:r w:rsidRPr="00CA1D62">
        <w:t xml:space="preserve">) </w:t>
      </w:r>
    </w:p>
    <w:tbl>
      <w:tblPr>
        <w:tblW w:w="0" w:type="auto"/>
        <w:tblLayout w:type="fixed"/>
        <w:tblCellMar>
          <w:left w:w="62" w:type="dxa"/>
          <w:right w:w="62" w:type="dxa"/>
        </w:tblCellMar>
        <w:tblLook w:val="0000"/>
      </w:tblPr>
      <w:tblGrid>
        <w:gridCol w:w="8208"/>
      </w:tblGrid>
      <w:tr w:rsidTr="00927FE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D62" w:rsidP="00CA1D62">
            <w:pPr>
              <w:pStyle w:val="BodyText"/>
            </w:pPr>
            <w:r w:rsidRPr="00CA1D62">
              <w:rPr>
                <w:rStyle w:val="SpecialBold"/>
              </w:rPr>
              <w:t>TDMMB3607B PREPARE A SMALL VESSEL'S MACHINERY FOR SEA WITHIN THE LIMITS OF RESPONSIBILITY OF A MARINE ENGINE DRIVER GRADE 3</w:t>
            </w:r>
          </w:p>
        </w:tc>
      </w:tr>
    </w:tbl>
    <w:p w:rsidR="00000000" w:rsidRPr="00CA1D62" w:rsidP="00CA1D62">
      <w:pPr>
        <w:pStyle w:val="BodyText"/>
      </w:pPr>
    </w:p>
    <w:tbl>
      <w:tblPr>
        <w:tblW w:w="0" w:type="auto"/>
        <w:tblLayout w:type="fixed"/>
        <w:tblCellMar>
          <w:left w:w="62" w:type="dxa"/>
          <w:right w:w="62" w:type="dxa"/>
        </w:tblCellMar>
        <w:tblLook w:val="0000"/>
      </w:tblPr>
      <w:tblGrid>
        <w:gridCol w:w="302"/>
        <w:gridCol w:w="1788"/>
        <w:gridCol w:w="361"/>
        <w:gridCol w:w="359"/>
        <w:gridCol w:w="358"/>
        <w:gridCol w:w="5310"/>
        <w:gridCol w:w="15"/>
      </w:tblGrid>
      <w:tr w:rsidTr="00927FEE">
        <w:tblPrEx>
          <w:tblW w:w="0" w:type="auto"/>
          <w:tblLayout w:type="fixed"/>
          <w:tblCellMar>
            <w:left w:w="62" w:type="dxa"/>
            <w:right w:w="62" w:type="dxa"/>
          </w:tblCellMar>
          <w:tblLook w:val="0000"/>
        </w:tblPrEx>
        <w:trPr>
          <w:tblHeader/>
        </w:trPr>
        <w:tc>
          <w:tcPr>
            <w:tcW w:w="302" w:type="dxa"/>
            <w:vMerge w:val="restart"/>
            <w:tcBorders>
              <w:top w:val="nil"/>
              <w:left w:val="nil"/>
              <w:bottom w:val="nil"/>
              <w:right w:val="nil"/>
            </w:tcBorders>
            <w:tcMar>
              <w:top w:w="0" w:type="dxa"/>
              <w:left w:w="62" w:type="dxa"/>
              <w:bottom w:w="0" w:type="dxa"/>
              <w:right w:w="62" w:type="dxa"/>
            </w:tcMar>
          </w:tcPr>
          <w:p w:rsidR="00000000" w:rsidRPr="00CA1D62" w:rsidP="00CA1D62">
            <w:pPr>
              <w:pStyle w:val="BodyText"/>
            </w:pPr>
            <w:r w:rsidRPr="00CA1D62">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a</w:t>
            </w:r>
          </w:p>
        </w:tc>
        <w:tc>
          <w:tcPr>
            <w:tcW w:w="6042" w:type="dxa"/>
            <w:gridSpan w:val="4"/>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Assessment of competency must comply with the assessment requirements of the relevant maritime regulatio</w:t>
            </w:r>
            <w:r w:rsidRPr="00CA1D62">
              <w:t>ns</w:t>
            </w:r>
          </w:p>
        </w:tc>
      </w:tr>
      <w:tr w:rsidTr="00927FEE">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b</w:t>
            </w:r>
          </w:p>
        </w:tc>
        <w:tc>
          <w:tcPr>
            <w:tcW w:w="6042" w:type="dxa"/>
            <w:gridSpan w:val="4"/>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Assessment of this unit must be undertaken within relevant marine authority approved and audited arrangements by a registered training organisation:</w:t>
            </w:r>
          </w:p>
        </w:tc>
      </w:tr>
      <w:tr w:rsidTr="00927FEE">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1</w:t>
            </w:r>
          </w:p>
        </w:tc>
        <w:tc>
          <w:tcPr>
            <w:tcW w:w="5683"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As a minimum, assessment of knowledge must be conducted through appropriate written/oral examinations, and</w:t>
            </w:r>
          </w:p>
        </w:tc>
      </w:tr>
      <w:tr w:rsidTr="00927FEE">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2</w:t>
            </w:r>
          </w:p>
        </w:tc>
        <w:tc>
          <w:tcPr>
            <w:tcW w:w="5683"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Appropriate practical assessment must occur:</w:t>
            </w:r>
          </w:p>
        </w:tc>
      </w:tr>
      <w:tr w:rsidTr="00927FEE">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i</w:t>
            </w:r>
          </w:p>
        </w:tc>
        <w:tc>
          <w:tcPr>
            <w:tcW w:w="5325"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 xml:space="preserve">at the registered training organisation; and/or </w:t>
            </w:r>
          </w:p>
        </w:tc>
      </w:tr>
      <w:tr w:rsidTr="00927FEE">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ii</w:t>
            </w:r>
          </w:p>
        </w:tc>
        <w:tc>
          <w:tcPr>
            <w:tcW w:w="5325" w:type="dxa"/>
            <w:gridSpan w:val="2"/>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on an appropriate working or training vessel</w:t>
            </w:r>
          </w:p>
        </w:tc>
      </w:tr>
      <w:tr w:rsidTr="00927FEE">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CA1D62">
            <w:pPr>
              <w:pStyle w:val="BodyText"/>
              <w:rPr>
                <w:lang w:val="en-NZ"/>
              </w:rPr>
            </w:pPr>
          </w:p>
        </w:tc>
      </w:tr>
      <w:tr w:rsidTr="00927FEE">
        <w:tblPrEx>
          <w:tblW w:w="0" w:type="auto"/>
          <w:tblLayout w:type="fixed"/>
          <w:tblCellMar>
            <w:left w:w="62" w:type="dxa"/>
            <w:right w:w="62" w:type="dxa"/>
          </w:tblCellMar>
          <w:tblLook w:val="0000"/>
        </w:tblPrEx>
        <w:trPr>
          <w:gridAfter w:val="1"/>
          <w:wAfter w:w="15" w:type="dxa"/>
        </w:trPr>
        <w:tc>
          <w:tcPr>
            <w:tcW w:w="2090" w:type="dxa"/>
            <w:gridSpan w:val="2"/>
            <w:vMerge w:val="restart"/>
            <w:tcBorders>
              <w:top w:val="nil"/>
              <w:left w:val="nil"/>
              <w:bottom w:val="nil"/>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4Specific resources required for assessment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Access is required to opportunities to:</w:t>
            </w:r>
          </w:p>
        </w:tc>
      </w:tr>
      <w:tr w:rsidTr="00927FEE">
        <w:tblPrEx>
          <w:tblW w:w="0" w:type="auto"/>
          <w:tblLayout w:type="fixed"/>
          <w:tblCellMar>
            <w:left w:w="62" w:type="dxa"/>
            <w:right w:w="62" w:type="dxa"/>
          </w:tblCellMar>
          <w:tblLook w:val="0000"/>
        </w:tblPrEx>
        <w:trPr>
          <w:gridAfter w:val="1"/>
          <w:wAfter w:w="15"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a</w:t>
            </w:r>
          </w:p>
        </w:tc>
        <w:tc>
          <w:tcPr>
            <w:tcW w:w="6027"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 xml:space="preserve">Participate in a range of practical and theoretical assignments, exercises, case studies and other assessments that demonstrate the skills and knowledge to start up and shut down the main propulsion and auxiliary machinery and associated systems typically </w:t>
            </w:r>
            <w:r w:rsidRPr="00CA1D62">
              <w:t>found on a small commercial vessel; and/or</w:t>
            </w:r>
          </w:p>
        </w:tc>
      </w:tr>
      <w:tr w:rsidTr="00927FEE">
        <w:tblPrEx>
          <w:tblW w:w="0" w:type="auto"/>
          <w:tblLayout w:type="fixed"/>
          <w:tblCellMar>
            <w:left w:w="62" w:type="dxa"/>
            <w:right w:w="62" w:type="dxa"/>
          </w:tblCellMar>
          <w:tblLook w:val="0000"/>
        </w:tblPrEx>
        <w:trPr>
          <w:gridAfter w:val="1"/>
          <w:wAfter w:w="15"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b</w:t>
            </w:r>
          </w:p>
        </w:tc>
        <w:tc>
          <w:tcPr>
            <w:tcW w:w="6027" w:type="dxa"/>
            <w:gridSpan w:val="3"/>
            <w:tcBorders>
              <w:top w:val="nil"/>
              <w:left w:val="nil"/>
              <w:bottom w:val="nil"/>
              <w:right w:val="nil"/>
            </w:tcBorders>
            <w:tcMar>
              <w:top w:w="0" w:type="dxa"/>
              <w:left w:w="62" w:type="dxa"/>
              <w:bottom w:w="0" w:type="dxa"/>
              <w:right w:w="62" w:type="dxa"/>
            </w:tcMar>
          </w:tcPr>
          <w:p w:rsidR="00000000" w:rsidRPr="00CA1D62" w:rsidP="00CA1D62">
            <w:pPr>
              <w:pStyle w:val="BodyText"/>
            </w:pPr>
            <w:r w:rsidRPr="00CA1D62">
              <w:t>Start up and shut down the main propulsion and auxiliary machinery and associated systems in a range of operational situations on a small commercial or training vessel</w:t>
            </w:r>
          </w:p>
        </w:tc>
      </w:tr>
    </w:tbl>
    <w:p w:rsidR="00927FEE" w:rsidP="00CA1D62">
      <w:pPr>
        <w:pStyle w:val="BodyText"/>
      </w:pPr>
    </w:p>
    <w:p w:rsidR="00927FEE" w:rsidP="00CA1D62">
      <w:pPr>
        <w:pStyle w:val="BodyText"/>
      </w:pPr>
    </w:p>
    <w:p w:rsidR="00000000" w:rsidRPr="00CA1D62" w:rsidP="00CA1D62">
      <w:pPr>
        <w:pStyle w:val="Heading1"/>
      </w:pPr>
      <w:bookmarkStart w:id="11" w:name="O_150589"/>
      <w:bookmarkEnd w:id="11"/>
      <w:r w:rsidRPr="00CA1D62">
        <w:t>Range Statement</w:t>
      </w:r>
    </w:p>
    <w:p w:rsidR="00000000" w:rsidRPr="00CA1D62" w:rsidP="00CA1D62">
      <w:pPr>
        <w:pStyle w:val="BodyText"/>
      </w:pPr>
      <w:r w:rsidRPr="00CA1D62">
        <w:rPr>
          <w:rStyle w:val="SpecialBold"/>
        </w:rPr>
        <w:t xml:space="preserve">Range Statement </w:t>
      </w:r>
    </w:p>
    <w:tbl>
      <w:tblPr>
        <w:tblW w:w="0" w:type="auto"/>
        <w:tblLayout w:type="fixed"/>
        <w:tblCellMar>
          <w:left w:w="62" w:type="dxa"/>
          <w:right w:w="62" w:type="dxa"/>
        </w:tblCellMar>
        <w:tblLook w:val="0000"/>
      </w:tblPr>
      <w:tblGrid>
        <w:gridCol w:w="8208"/>
      </w:tblGrid>
      <w:tr w:rsidTr="00927FE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D62" w:rsidP="00CA1D62">
            <w:pPr>
              <w:pStyle w:val="BodyText"/>
            </w:pPr>
            <w:r w:rsidRPr="00CA1D62">
              <w:rPr>
                <w:rStyle w:val="SpecialBold"/>
              </w:rPr>
              <w:t>TDMMB3607B PREPARE A SMALL VESSEL'S MACHINERY FOR SEA WITHIN THE LIMITS OF RESPONSIBILITY OF A MARINE ENGINE DRIVER GRADE 3</w:t>
            </w:r>
          </w:p>
        </w:tc>
      </w:tr>
    </w:tbl>
    <w:p w:rsidR="00000000" w:rsidRPr="00CA1D62" w:rsidP="00CA1D62">
      <w:pPr>
        <w:pStyle w:val="BodyText"/>
      </w:pPr>
    </w:p>
    <w:tbl>
      <w:tblPr>
        <w:tblW w:w="0" w:type="auto"/>
        <w:tblLayout w:type="fixed"/>
        <w:tblCellMar>
          <w:left w:w="62" w:type="dxa"/>
          <w:right w:w="62" w:type="dxa"/>
        </w:tblCellMar>
        <w:tblLook w:val="0000"/>
      </w:tblPr>
      <w:tblGrid>
        <w:gridCol w:w="340"/>
        <w:gridCol w:w="6"/>
        <w:gridCol w:w="1743"/>
        <w:gridCol w:w="357"/>
        <w:gridCol w:w="11"/>
        <w:gridCol w:w="6014"/>
        <w:gridCol w:w="18"/>
        <w:gridCol w:w="28"/>
      </w:tblGrid>
      <w:tr w:rsidTr="00927FEE">
        <w:tblPrEx>
          <w:tblW w:w="0" w:type="auto"/>
          <w:tblLayout w:type="fixed"/>
          <w:tblCellMar>
            <w:left w:w="62" w:type="dxa"/>
            <w:right w:w="62" w:type="dxa"/>
          </w:tblCellMar>
          <w:tblLook w:val="0000"/>
        </w:tblPrEx>
        <w:trPr>
          <w:tblHeader/>
        </w:trPr>
        <w:tc>
          <w:tcPr>
            <w:tcW w:w="8517" w:type="dxa"/>
            <w:gridSpan w:val="8"/>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rPr>
                <w:rStyle w:val="Emphasis"/>
              </w:rPr>
              <w:t>The Range Statement relates to the unit of competency as a whole</w:t>
            </w:r>
            <w:r w:rsidRPr="00CA1D62">
              <w:t xml:space="preserve">. </w:t>
            </w:r>
            <w:r w:rsidRPr="00CA1D62">
              <w:rPr>
                <w:rStyle w:val="Emphasis"/>
              </w:rPr>
              <w:t>It allows for different work environments and situations that may affect performance</w:t>
            </w:r>
            <w:r w:rsidRPr="00CA1D62">
              <w:t>.</w:t>
            </w:r>
          </w:p>
        </w:tc>
      </w:tr>
      <w:tr w:rsidTr="00927FEE">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CA1D62" w:rsidP="00CA1D62">
            <w:pPr>
              <w:pStyle w:val="BodyText"/>
            </w:pPr>
            <w:r w:rsidRPr="00CA1D62">
              <w:rPr>
                <w:rStyle w:val="SpecialBold"/>
              </w:rPr>
              <w:t>VARIABLE</w:t>
            </w:r>
          </w:p>
        </w:tc>
        <w:tc>
          <w:tcPr>
            <w:tcW w:w="6428" w:type="dxa"/>
            <w:gridSpan w:val="5"/>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rPr>
                <w:rStyle w:val="SpecialBold"/>
              </w:rPr>
              <w:t>SCOPE</w:t>
            </w:r>
          </w:p>
        </w:tc>
      </w:tr>
      <w:tr w:rsidTr="00927FEE">
        <w:tblPrEx>
          <w:tblW w:w="0" w:type="auto"/>
          <w:tblLayout w:type="fixed"/>
          <w:tblCellMar>
            <w:left w:w="62" w:type="dxa"/>
            <w:right w:w="62" w:type="dxa"/>
          </w:tblCellMar>
          <w:tblLook w:val="0000"/>
        </w:tblPrEx>
        <w:tc>
          <w:tcPr>
            <w:tcW w:w="8517" w:type="dxa"/>
            <w:gridSpan w:val="8"/>
            <w:tcBorders>
              <w:top w:val="nil"/>
              <w:left w:val="nil"/>
              <w:bottom w:val="single" w:sz="6" w:space="0" w:color="auto"/>
              <w:right w:val="nil"/>
            </w:tcBorders>
            <w:tcMar>
              <w:top w:w="0" w:type="dxa"/>
              <w:left w:w="62" w:type="dxa"/>
              <w:bottom w:w="0" w:type="dxa"/>
              <w:right w:w="62" w:type="dxa"/>
            </w:tcMar>
          </w:tcPr>
          <w:p w:rsidR="00000000" w:rsidP="00CA1D62">
            <w:pPr>
              <w:pStyle w:val="BodyText"/>
              <w:rPr>
                <w:lang w:val="en-NZ"/>
              </w:rPr>
            </w:pPr>
            <w:r w:rsidRPr="00CA1D62">
              <w:rPr>
                <w:rStyle w:val="SpecialBold"/>
              </w:rPr>
              <w:t>1</w:t>
            </w:r>
            <w:r w:rsidRPr="00CA1D62">
              <w:t>.</w:t>
            </w:r>
            <w:r w:rsidRPr="00CA1D62">
              <w:tab/>
            </w:r>
            <w:r w:rsidRPr="00CA1D62">
              <w:rPr>
                <w:rStyle w:val="SpecialBold"/>
              </w:rPr>
              <w:t>GENERAL CONTEXT</w:t>
            </w:r>
          </w:p>
        </w:tc>
      </w:tr>
      <w:tr w:rsidTr="00927FEE">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A1D62">
            <w:pPr>
              <w:pStyle w:val="BodyText"/>
              <w:rPr>
                <w:lang w:val="en-NZ"/>
              </w:rPr>
            </w:pPr>
          </w:p>
        </w:tc>
      </w:tr>
      <w:tr w:rsidTr="00927FEE">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CA1D62" w:rsidP="00CA1D62">
            <w:pPr>
              <w:pStyle w:val="BodyText"/>
            </w:pPr>
            <w:r w:rsidRPr="00CA1D62">
              <w:rPr>
                <w:rStyle w:val="SpecialBold"/>
              </w:rPr>
              <w:t>a</w:t>
            </w:r>
            <w:r w:rsidRPr="00CA1D62">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Work must be carried out</w:t>
            </w:r>
            <w:r w:rsidRPr="00CA1D6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A1D62">
            <w:pPr>
              <w:pStyle w:val="BodyText"/>
              <w:rPr>
                <w:lang w:val="en-NZ"/>
              </w:rPr>
            </w:pPr>
            <w:r w:rsidRPr="00CA1D62">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CA1D62">
            <w:pPr>
              <w:pStyle w:val="BodyText"/>
              <w:rPr>
                <w:lang w:val="en-NZ"/>
              </w:rPr>
            </w:pPr>
            <w:r w:rsidRPr="00CA1D62">
              <w:t>in compliance with the relevant sections of the State and Territory marine regulations and the National Standard for Commercial Vessels</w:t>
            </w:r>
          </w:p>
        </w:tc>
      </w:tr>
      <w:tr w:rsidTr="00927FEE">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A1D62">
            <w:pPr>
              <w:pStyle w:val="BodyText"/>
              <w:rPr>
                <w:lang w:val="en-NZ"/>
              </w:rPr>
            </w:pPr>
          </w:p>
        </w:tc>
      </w:tr>
      <w:tr w:rsidTr="00927FEE">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CA1D62" w:rsidP="00CA1D62">
            <w:pPr>
              <w:pStyle w:val="BodyText"/>
            </w:pPr>
            <w:r w:rsidRPr="00CA1D62">
              <w:rPr>
                <w:rStyle w:val="SpecialBold"/>
              </w:rPr>
              <w:t>b</w:t>
            </w:r>
            <w:r w:rsidRPr="00CA1D62">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Work is performed</w:t>
            </w:r>
            <w:r w:rsidRPr="00CA1D62">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CA1D62">
            <w:pPr>
              <w:pStyle w:val="BodyText"/>
              <w:rPr>
                <w:lang w:val="en-NZ"/>
              </w:rPr>
            </w:pPr>
            <w:r w:rsidRPr="00CA1D62">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CA1D62">
            <w:pPr>
              <w:pStyle w:val="BodyText"/>
              <w:rPr>
                <w:lang w:val="en-NZ"/>
              </w:rPr>
            </w:pPr>
            <w:r w:rsidRPr="00CA1D62">
              <w:t>within established procedures, with responsibility for own outputs in relation to specified quality and safety standards</w:t>
            </w:r>
          </w:p>
        </w:tc>
      </w:tr>
      <w:tr w:rsidTr="00927FEE">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A1D62">
            <w:pPr>
              <w:pStyle w:val="BodyText"/>
              <w:rPr>
                <w:lang w:val="en-NZ"/>
              </w:rPr>
            </w:pPr>
          </w:p>
        </w:tc>
      </w:tr>
      <w:tr w:rsidTr="00927FEE">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CA1D62" w:rsidP="00CA1D62">
            <w:pPr>
              <w:pStyle w:val="BodyText"/>
            </w:pPr>
            <w:r w:rsidRPr="00CA1D62">
              <w:rPr>
                <w:rStyle w:val="SpecialBold"/>
              </w:rPr>
              <w:t>d</w:t>
            </w:r>
            <w:r w:rsidRPr="00CA1D62">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Work requires</w:t>
            </w:r>
            <w:r w:rsidRPr="00CA1D62">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1</w:t>
            </w:r>
          </w:p>
        </w:tc>
        <w:tc>
          <w:tcPr>
            <w:tcW w:w="6014"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limited responsibility for others in achieving outcomes, including the application of solutions to a variety of predictable maintenance problems</w:t>
            </w:r>
          </w:p>
        </w:tc>
      </w:tr>
      <w:tr w:rsidTr="00927FEE">
        <w:tblPrEx>
          <w:tblW w:w="0" w:type="auto"/>
          <w:tblLayout w:type="fixed"/>
          <w:tblCellMar>
            <w:left w:w="62" w:type="dxa"/>
            <w:right w:w="62" w:type="dxa"/>
          </w:tblCellMar>
          <w:tblLook w:val="0000"/>
        </w:tblPrEx>
        <w:trPr>
          <w:gridAfter w:val="2"/>
          <w:wAfter w:w="46" w:type="dxa"/>
        </w:trPr>
        <w:tc>
          <w:tcPr>
            <w:tcW w:w="8471" w:type="dxa"/>
            <w:gridSpan w:val="6"/>
            <w:tcBorders>
              <w:top w:val="nil"/>
              <w:left w:val="nil"/>
              <w:bottom w:val="single" w:sz="6" w:space="0" w:color="auto"/>
              <w:right w:val="nil"/>
            </w:tcBorders>
            <w:tcMar>
              <w:top w:w="0" w:type="dxa"/>
              <w:left w:w="62" w:type="dxa"/>
              <w:bottom w:w="0" w:type="dxa"/>
              <w:right w:w="62" w:type="dxa"/>
            </w:tcMar>
          </w:tcPr>
          <w:p w:rsidR="00000000" w:rsidP="00CA1D62">
            <w:pPr>
              <w:pStyle w:val="BodyText"/>
              <w:rPr>
                <w:lang w:val="en-NZ"/>
              </w:rPr>
            </w:pPr>
            <w:r w:rsidRPr="00CA1D62">
              <w:rPr>
                <w:rStyle w:val="SpecialBold"/>
              </w:rPr>
              <w:t>2</w:t>
            </w:r>
            <w:r w:rsidRPr="00CA1D62">
              <w:t>.</w:t>
            </w:r>
            <w:r w:rsidRPr="00CA1D62">
              <w:tab/>
            </w:r>
            <w:r w:rsidRPr="00CA1D62">
              <w:rPr>
                <w:rStyle w:val="SpecialBold"/>
              </w:rPr>
              <w:t>WORKSITE ENVIRONMENT</w:t>
            </w:r>
          </w:p>
        </w:tc>
      </w:tr>
      <w:tr w:rsidTr="00927FEE">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CA1D62">
            <w:pPr>
              <w:pStyle w:val="BodyText"/>
              <w:rPr>
                <w:lang w:val="en-NZ"/>
              </w:rPr>
            </w:pPr>
          </w:p>
        </w:tc>
      </w:tr>
      <w:tr w:rsidTr="00927FEE">
        <w:tblPrEx>
          <w:tblW w:w="0" w:type="auto"/>
          <w:tblLayout w:type="fixed"/>
          <w:tblCellMar>
            <w:left w:w="62" w:type="dxa"/>
            <w:right w:w="62" w:type="dxa"/>
          </w:tblCellMar>
          <w:tblLook w:val="0000"/>
        </w:tblPrEx>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CA1D62" w:rsidP="00CA1D62">
            <w:pPr>
              <w:pStyle w:val="BodyText"/>
            </w:pPr>
            <w:r w:rsidRPr="00CA1D62">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Vessel may include</w:t>
            </w:r>
            <w:r w:rsidRPr="00CA1D62">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CA1D62">
            <w:pPr>
              <w:pStyle w:val="BodyText"/>
              <w:rPr>
                <w:lang w:val="en-NZ"/>
              </w:rPr>
            </w:pPr>
            <w:r w:rsidRPr="00CA1D62">
              <w:t>1</w:t>
            </w:r>
          </w:p>
        </w:tc>
        <w:tc>
          <w:tcPr>
            <w:tcW w:w="6071" w:type="dxa"/>
            <w:gridSpan w:val="4"/>
            <w:tcBorders>
              <w:top w:val="nil"/>
              <w:left w:val="nil"/>
              <w:bottom w:val="single" w:sz="6" w:space="0" w:color="auto"/>
              <w:right w:val="nil"/>
            </w:tcBorders>
            <w:tcMar>
              <w:top w:w="0" w:type="dxa"/>
              <w:left w:w="62" w:type="dxa"/>
              <w:bottom w:w="0" w:type="dxa"/>
              <w:right w:w="62" w:type="dxa"/>
            </w:tcMar>
          </w:tcPr>
          <w:p w:rsidR="00000000" w:rsidP="00CA1D62">
            <w:pPr>
              <w:pStyle w:val="BodyText"/>
              <w:rPr>
                <w:lang w:val="en-NZ"/>
              </w:rPr>
            </w:pPr>
            <w:r w:rsidRPr="00CA1D62">
              <w:t>any small commercial vessel within limits of responsibility of a Marine Engine Driver Grade 3</w:t>
            </w:r>
          </w:p>
        </w:tc>
      </w:tr>
      <w:tr w:rsidTr="00927FEE">
        <w:tblPrEx>
          <w:tblW w:w="0" w:type="auto"/>
          <w:tblLayout w:type="fixed"/>
          <w:tblCellMar>
            <w:left w:w="62" w:type="dxa"/>
            <w:right w:w="62" w:type="dxa"/>
          </w:tblCellMar>
          <w:tblLook w:val="0000"/>
        </w:tblPrEx>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CA1D62">
            <w:pPr>
              <w:pStyle w:val="BodyText"/>
              <w:rPr>
                <w:lang w:val="en-NZ"/>
              </w:rPr>
            </w:pPr>
          </w:p>
        </w:tc>
      </w:tr>
      <w:tr w:rsidTr="00927FEE">
        <w:tblPrEx>
          <w:tblW w:w="0" w:type="auto"/>
          <w:tblLayout w:type="fixed"/>
          <w:tblCellMar>
            <w:left w:w="62" w:type="dxa"/>
            <w:right w:w="62" w:type="dxa"/>
          </w:tblCellMar>
          <w:tblLook w:val="0000"/>
        </w:tblPrEx>
        <w:tc>
          <w:tcPr>
            <w:tcW w:w="346" w:type="dxa"/>
            <w:gridSpan w:val="2"/>
            <w:vMerge w:val="restart"/>
            <w:tcBorders>
              <w:top w:val="nil"/>
              <w:left w:val="nil"/>
              <w:bottom w:val="nil"/>
              <w:right w:val="nil"/>
            </w:tcBorders>
            <w:tcMar>
              <w:top w:w="0" w:type="dxa"/>
              <w:left w:w="62" w:type="dxa"/>
              <w:bottom w:w="0" w:type="dxa"/>
              <w:right w:w="62" w:type="dxa"/>
            </w:tcMar>
          </w:tcPr>
          <w:p w:rsidR="00000000" w:rsidRPr="00CA1D62" w:rsidP="00CA1D62">
            <w:pPr>
              <w:pStyle w:val="BodyText"/>
            </w:pPr>
            <w:r w:rsidRPr="00CA1D62">
              <w:rPr>
                <w:rStyle w:val="SpecialBold"/>
              </w:rPr>
              <w:t>b</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The vessel's machinery maybe prepared</w:t>
            </w:r>
            <w:r w:rsidRPr="00CA1D6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1</w:t>
            </w:r>
          </w:p>
        </w:tc>
        <w:tc>
          <w:tcPr>
            <w:tcW w:w="6071" w:type="dxa"/>
            <w:gridSpan w:val="4"/>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by day or night</w:t>
            </w:r>
          </w:p>
        </w:tc>
      </w:tr>
      <w:tr w:rsidTr="00927FEE">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2</w:t>
            </w:r>
          </w:p>
        </w:tc>
        <w:tc>
          <w:tcPr>
            <w:tcW w:w="6071" w:type="dxa"/>
            <w:gridSpan w:val="4"/>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 xml:space="preserve">under any permissible conditions of weather </w:t>
            </w:r>
          </w:p>
        </w:tc>
      </w:tr>
      <w:tr w:rsidTr="00927FEE">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3</w:t>
            </w:r>
          </w:p>
        </w:tc>
        <w:tc>
          <w:tcPr>
            <w:tcW w:w="6071" w:type="dxa"/>
            <w:gridSpan w:val="4"/>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while alongside a berth or on a mooring</w:t>
            </w:r>
          </w:p>
        </w:tc>
      </w:tr>
      <w:tr w:rsidTr="00927FEE">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A1D62">
            <w:pPr>
              <w:pStyle w:val="BodyText"/>
              <w:rPr>
                <w:lang w:val="en-NZ"/>
              </w:rPr>
            </w:pPr>
          </w:p>
        </w:tc>
      </w:tr>
      <w:tr w:rsidTr="00927FEE">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CA1D62" w:rsidP="00CA1D62">
            <w:pPr>
              <w:pStyle w:val="BodyText"/>
            </w:pPr>
            <w:r w:rsidRPr="00CA1D62">
              <w:rPr>
                <w:rStyle w:val="SpecialBold"/>
              </w:rPr>
              <w:t>c</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Propulsion plant configurations may include</w:t>
            </w:r>
            <w:r w:rsidRPr="00CA1D6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1</w:t>
            </w:r>
          </w:p>
        </w:tc>
        <w:tc>
          <w:tcPr>
            <w:tcW w:w="6043"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medium and high speed diesel propulsion</w:t>
            </w:r>
          </w:p>
        </w:tc>
      </w:tr>
      <w:tr w:rsidTr="00927FE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2</w:t>
            </w:r>
          </w:p>
        </w:tc>
        <w:tc>
          <w:tcPr>
            <w:tcW w:w="6043"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petrol driven outboard engine</w:t>
            </w:r>
          </w:p>
        </w:tc>
      </w:tr>
      <w:tr w:rsidTr="00927FE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3</w:t>
            </w:r>
          </w:p>
        </w:tc>
        <w:tc>
          <w:tcPr>
            <w:tcW w:w="6043"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reduction gears</w:t>
            </w:r>
          </w:p>
        </w:tc>
      </w:tr>
      <w:tr w:rsidTr="00927FE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4</w:t>
            </w:r>
          </w:p>
        </w:tc>
        <w:tc>
          <w:tcPr>
            <w:tcW w:w="6043"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thrust blocks and shaft bearings</w:t>
            </w:r>
          </w:p>
        </w:tc>
      </w:tr>
      <w:tr w:rsidTr="00927FE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5</w:t>
            </w:r>
          </w:p>
        </w:tc>
        <w:tc>
          <w:tcPr>
            <w:tcW w:w="6043"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governors</w:t>
            </w:r>
          </w:p>
        </w:tc>
      </w:tr>
      <w:tr w:rsidTr="00927FEE">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CA1D62">
            <w:pPr>
              <w:pStyle w:val="BodyText"/>
              <w:rPr>
                <w:lang w:val="en-NZ"/>
              </w:rPr>
            </w:pPr>
          </w:p>
        </w:tc>
      </w:tr>
      <w:tr w:rsidTr="00927FEE">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CA1D62" w:rsidP="00CA1D62">
            <w:pPr>
              <w:pStyle w:val="BodyText"/>
            </w:pPr>
            <w:r w:rsidRPr="00CA1D62">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Auxiliary machinery and associated systems may include</w:t>
            </w:r>
            <w:r w:rsidRPr="00CA1D6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1</w:t>
            </w:r>
          </w:p>
        </w:tc>
        <w:tc>
          <w:tcPr>
            <w:tcW w:w="6043"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fresh and salt water cooling systems</w:t>
            </w:r>
          </w:p>
        </w:tc>
      </w:tr>
      <w:tr w:rsidTr="00927FE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2</w:t>
            </w:r>
          </w:p>
        </w:tc>
        <w:tc>
          <w:tcPr>
            <w:tcW w:w="6043"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fuel system</w:t>
            </w:r>
          </w:p>
        </w:tc>
      </w:tr>
      <w:tr w:rsidTr="00927FEE">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3</w:t>
            </w:r>
          </w:p>
        </w:tc>
        <w:tc>
          <w:tcPr>
            <w:tcW w:w="6043" w:type="dxa"/>
            <w:gridSpan w:val="3"/>
            <w:tcBorders>
              <w:top w:val="nil"/>
              <w:left w:val="nil"/>
              <w:bottom w:val="nil"/>
              <w:right w:val="nil"/>
            </w:tcBorders>
            <w:tcMar>
              <w:top w:w="0" w:type="dxa"/>
              <w:left w:w="62" w:type="dxa"/>
              <w:bottom w:w="0" w:type="dxa"/>
              <w:right w:w="62" w:type="dxa"/>
            </w:tcMar>
          </w:tcPr>
          <w:p w:rsidR="00000000" w:rsidRPr="00CA1D62" w:rsidP="00CA1D62">
            <w:pPr>
              <w:pStyle w:val="BodyText"/>
            </w:pPr>
            <w:r w:rsidRPr="00CA1D62">
              <w:t>lubricating oil cooling systems</w:t>
            </w:r>
          </w:p>
        </w:tc>
      </w:tr>
    </w:tbl>
    <w:p w:rsidR="00000000" w:rsidRPr="00CA1D62" w:rsidP="00CA1D62">
      <w:pPr>
        <w:pStyle w:val="BodyText"/>
      </w:pPr>
    </w:p>
    <w:p w:rsidR="00000000" w:rsidRPr="00CA1D62" w:rsidP="00CA1D62">
      <w:pPr>
        <w:pStyle w:val="BodyText"/>
      </w:pPr>
      <w:r w:rsidRPr="00CA1D62">
        <w:rPr>
          <w:rStyle w:val="SpecialBold"/>
        </w:rPr>
        <w:t>Range Statement</w:t>
      </w:r>
      <w:r w:rsidRPr="00CA1D62">
        <w:t xml:space="preserve"> (</w:t>
      </w:r>
      <w:r w:rsidRPr="00CA1D62">
        <w:rPr>
          <w:rStyle w:val="SpecialBold"/>
        </w:rPr>
        <w:t>continued</w:t>
      </w:r>
      <w:r w:rsidRPr="00CA1D62">
        <w:t xml:space="preserve">) </w:t>
      </w:r>
    </w:p>
    <w:tbl>
      <w:tblPr>
        <w:tblW w:w="0" w:type="auto"/>
        <w:tblLayout w:type="fixed"/>
        <w:tblCellMar>
          <w:left w:w="62" w:type="dxa"/>
          <w:right w:w="62" w:type="dxa"/>
        </w:tblCellMar>
        <w:tblLook w:val="0000"/>
      </w:tblPr>
      <w:tblGrid>
        <w:gridCol w:w="8208"/>
      </w:tblGrid>
      <w:tr w:rsidTr="00927FEE">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D62" w:rsidP="00CA1D62">
            <w:pPr>
              <w:pStyle w:val="BodyText"/>
            </w:pPr>
            <w:r w:rsidRPr="00CA1D62">
              <w:rPr>
                <w:rStyle w:val="SpecialBold"/>
              </w:rPr>
              <w:t>TDMMB3607B PREPARE A SMALL VESSEL'S MACHINERY FOR SEA WITHIN THE LIMITS OF RESPONSIBILITY OF A MARINE ENGINE DRIVER GRADE 3</w:t>
            </w:r>
          </w:p>
        </w:tc>
      </w:tr>
    </w:tbl>
    <w:p w:rsidR="00000000" w:rsidRPr="00CA1D62" w:rsidP="00CA1D62">
      <w:pPr>
        <w:pStyle w:val="BodyText"/>
      </w:pPr>
    </w:p>
    <w:tbl>
      <w:tblPr>
        <w:tblW w:w="0" w:type="auto"/>
        <w:tblLayout w:type="fixed"/>
        <w:tblCellMar>
          <w:left w:w="62" w:type="dxa"/>
          <w:right w:w="62" w:type="dxa"/>
        </w:tblCellMar>
        <w:tblLook w:val="0000"/>
      </w:tblPr>
      <w:tblGrid>
        <w:gridCol w:w="346"/>
        <w:gridCol w:w="1743"/>
        <w:gridCol w:w="357"/>
        <w:gridCol w:w="6043"/>
        <w:gridCol w:w="28"/>
        <w:gridCol w:w="14"/>
        <w:gridCol w:w="18"/>
      </w:tblGrid>
      <w:tr w:rsidTr="00927FEE">
        <w:tblPrEx>
          <w:tblW w:w="0" w:type="auto"/>
          <w:tblLayout w:type="fixed"/>
          <w:tblCellMar>
            <w:left w:w="62" w:type="dxa"/>
            <w:right w:w="62" w:type="dxa"/>
          </w:tblCellMar>
          <w:tblLook w:val="0000"/>
        </w:tblPrEx>
        <w:trPr>
          <w:gridAfter w:val="2"/>
          <w:wAfter w:w="32" w:type="dxa"/>
          <w:tblHeader/>
        </w:trPr>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CA1D62" w:rsidP="00CA1D62">
            <w:pPr>
              <w:pStyle w:val="BodyText"/>
            </w:pPr>
            <w:r w:rsidRPr="00CA1D62">
              <w:rPr>
                <w:rStyle w:val="SpecialBold"/>
              </w:rPr>
              <w:t>VARIABLE</w:t>
            </w:r>
          </w:p>
        </w:tc>
        <w:tc>
          <w:tcPr>
            <w:tcW w:w="6428"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CA1D62">
            <w:pPr>
              <w:pStyle w:val="BodyText"/>
              <w:rPr>
                <w:lang w:val="en-NZ"/>
              </w:rPr>
            </w:pPr>
            <w:r w:rsidRPr="00CA1D62">
              <w:rPr>
                <w:rStyle w:val="SpecialBold"/>
              </w:rPr>
              <w:t>SCOPE</w:t>
            </w:r>
          </w:p>
        </w:tc>
      </w:tr>
      <w:tr w:rsidTr="00927FEE">
        <w:tblPrEx>
          <w:tblW w:w="0" w:type="auto"/>
          <w:tblLayout w:type="fixed"/>
          <w:tblCellMar>
            <w:left w:w="62" w:type="dxa"/>
            <w:right w:w="62" w:type="dxa"/>
          </w:tblCellMar>
          <w:tblLook w:val="0000"/>
        </w:tblPrEx>
        <w:trPr>
          <w:gridAfter w:val="3"/>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CA1D62" w:rsidP="00CA1D62">
            <w:pPr>
              <w:pStyle w:val="BodyText"/>
            </w:pPr>
          </w:p>
          <w:p w:rsidR="00000000" w:rsidP="00CA1D62">
            <w:pPr>
              <w:pStyle w:val="BodyText"/>
              <w:rPr>
                <w:lang w:val="en-NZ"/>
              </w:rPr>
            </w:pPr>
            <w:r w:rsidRPr="00CA1D62">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RPr="00CA1D62" w:rsidP="00CA1D62">
            <w:pPr>
              <w:pStyle w:val="BodyText"/>
            </w:pPr>
          </w:p>
          <w:p w:rsidR="00000000" w:rsidRPr="00CA1D62" w:rsidP="00CA1D62">
            <w:pPr>
              <w:pStyle w:val="BodyText"/>
            </w:pPr>
            <w:r w:rsidRPr="00CA1D62">
              <w:rPr>
                <w:rStyle w:val="SpecialBold"/>
              </w:rPr>
              <w:t>Auxiliary machinery and associated systems may include</w:t>
            </w:r>
            <w:r w:rsidRPr="00CA1D62">
              <w:t>:</w:t>
            </w:r>
          </w:p>
          <w:p w:rsidR="00000000" w:rsidP="00CA1D62">
            <w:pPr>
              <w:pStyle w:val="BodyText"/>
              <w:rPr>
                <w:lang w:val="en-NZ"/>
              </w:rPr>
            </w:pPr>
            <w:r w:rsidRPr="00CA1D62">
              <w:t>(</w:t>
            </w:r>
            <w:r w:rsidRPr="00CA1D62">
              <w:rPr>
                <w:rStyle w:val="SpecialBold"/>
              </w:rPr>
              <w:t>continued</w:t>
            </w:r>
            <w:r w:rsidRPr="00CA1D62">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CA1D62" w:rsidP="00CA1D62">
            <w:pPr>
              <w:pStyle w:val="BodyText"/>
            </w:pPr>
          </w:p>
          <w:p w:rsidR="00000000" w:rsidP="00CA1D62">
            <w:pPr>
              <w:pStyle w:val="BodyText"/>
              <w:rPr>
                <w:lang w:val="en-NZ"/>
              </w:rPr>
            </w:pPr>
            <w:r w:rsidRPr="00CA1D62">
              <w:t>4</w:t>
            </w:r>
          </w:p>
        </w:tc>
        <w:tc>
          <w:tcPr>
            <w:tcW w:w="6043" w:type="dxa"/>
            <w:tcBorders>
              <w:top w:val="nil"/>
              <w:left w:val="nil"/>
              <w:bottom w:val="nil"/>
              <w:right w:val="nil"/>
            </w:tcBorders>
            <w:tcMar>
              <w:top w:w="0" w:type="dxa"/>
              <w:left w:w="62" w:type="dxa"/>
              <w:bottom w:w="0" w:type="dxa"/>
              <w:right w:w="62" w:type="dxa"/>
            </w:tcMar>
          </w:tcPr>
          <w:p w:rsidR="00000000" w:rsidRPr="00CA1D62" w:rsidP="00CA1D62">
            <w:pPr>
              <w:pStyle w:val="BodyText"/>
            </w:pPr>
          </w:p>
          <w:p w:rsidR="00000000" w:rsidP="00CA1D62">
            <w:pPr>
              <w:pStyle w:val="BodyText"/>
              <w:rPr>
                <w:lang w:val="en-NZ"/>
              </w:rPr>
            </w:pPr>
            <w:r w:rsidRPr="00CA1D62">
              <w:t xml:space="preserve">lubrication systems </w:t>
            </w:r>
          </w:p>
        </w:tc>
      </w:tr>
      <w:tr w:rsidTr="00927FEE">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5</w:t>
            </w:r>
          </w:p>
        </w:tc>
        <w:tc>
          <w:tcPr>
            <w:tcW w:w="604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waste management and pollution control systems</w:t>
            </w:r>
          </w:p>
        </w:tc>
      </w:tr>
      <w:tr w:rsidTr="00927FEE">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6</w:t>
            </w:r>
          </w:p>
        </w:tc>
        <w:tc>
          <w:tcPr>
            <w:tcW w:w="604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pumps and associated systems</w:t>
            </w:r>
          </w:p>
        </w:tc>
      </w:tr>
      <w:tr w:rsidTr="00927FEE">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7</w:t>
            </w:r>
          </w:p>
        </w:tc>
        <w:tc>
          <w:tcPr>
            <w:tcW w:w="604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small diesel generators</w:t>
            </w:r>
          </w:p>
        </w:tc>
      </w:tr>
      <w:tr w:rsidTr="00927FEE">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8</w:t>
            </w:r>
          </w:p>
        </w:tc>
        <w:tc>
          <w:tcPr>
            <w:tcW w:w="6043" w:type="dxa"/>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fixed firefighting installations and fire control systems</w:t>
            </w:r>
          </w:p>
        </w:tc>
      </w:tr>
      <w:tr w:rsidTr="00927FEE">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CA1D62">
            <w:pPr>
              <w:pStyle w:val="BodyText"/>
              <w:rPr>
                <w:lang w:val="en-NZ"/>
              </w:rPr>
            </w:pPr>
          </w:p>
        </w:tc>
      </w:tr>
      <w:tr w:rsidTr="00927FEE">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CA1D62" w:rsidP="00CA1D62">
            <w:pPr>
              <w:pStyle w:val="BodyText"/>
            </w:pPr>
            <w:r w:rsidRPr="00CA1D62">
              <w:rPr>
                <w:rStyle w:val="SpecialBold"/>
              </w:rPr>
              <w:t>e</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Sources of information and documentation may include</w:t>
            </w:r>
            <w:r w:rsidRPr="00CA1D6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1</w:t>
            </w:r>
          </w:p>
        </w:tc>
        <w:tc>
          <w:tcPr>
            <w:tcW w:w="6085"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relevant sections of the State and Territory marine regulations, NSCV and USL Code dealing with the operation of small vessels</w:t>
            </w:r>
          </w:p>
        </w:tc>
      </w:tr>
      <w:tr w:rsidTr="00927FEE">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2</w:t>
            </w:r>
          </w:p>
        </w:tc>
        <w:tc>
          <w:tcPr>
            <w:tcW w:w="6085"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equipment manufacturer's instructions, specifications and procedures</w:t>
            </w:r>
          </w:p>
        </w:tc>
      </w:tr>
      <w:tr w:rsidTr="00927FEE">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3</w:t>
            </w:r>
          </w:p>
        </w:tc>
        <w:tc>
          <w:tcPr>
            <w:tcW w:w="6085"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 xml:space="preserve">running and maintenance logs </w:t>
            </w:r>
          </w:p>
        </w:tc>
      </w:tr>
      <w:tr w:rsidTr="00927FEE">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CA1D62">
            <w:pPr>
              <w:pStyle w:val="BodyText"/>
              <w:rPr>
                <w:lang w:val="en-NZ"/>
              </w:rPr>
            </w:pPr>
          </w:p>
        </w:tc>
      </w:tr>
      <w:tr w:rsidTr="00927FEE">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CA1D62" w:rsidP="00CA1D62">
            <w:pPr>
              <w:pStyle w:val="BodyText"/>
            </w:pPr>
            <w:r w:rsidRPr="00CA1D62">
              <w:rPr>
                <w:rStyle w:val="SpecialBold"/>
              </w:rPr>
              <w:t>f</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Applicable regulations and legislation may include</w:t>
            </w:r>
            <w:r w:rsidRPr="00CA1D6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1</w:t>
            </w:r>
          </w:p>
        </w:tc>
        <w:tc>
          <w:tcPr>
            <w:tcW w:w="6085"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 xml:space="preserve">State and Territory marine regulations related to the operation of small vessels </w:t>
            </w:r>
          </w:p>
        </w:tc>
      </w:tr>
      <w:tr w:rsidTr="00927FEE">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2</w:t>
            </w:r>
          </w:p>
        </w:tc>
        <w:tc>
          <w:tcPr>
            <w:tcW w:w="6085" w:type="dxa"/>
            <w:gridSpan w:val="3"/>
            <w:tcBorders>
              <w:top w:val="nil"/>
              <w:left w:val="nil"/>
              <w:bottom w:val="nil"/>
              <w:right w:val="nil"/>
            </w:tcBorders>
            <w:tcMar>
              <w:top w:w="0" w:type="dxa"/>
              <w:left w:w="62" w:type="dxa"/>
              <w:bottom w:w="0" w:type="dxa"/>
              <w:right w:w="62" w:type="dxa"/>
            </w:tcMar>
          </w:tcPr>
          <w:p w:rsidR="00000000" w:rsidP="00CA1D62">
            <w:pPr>
              <w:pStyle w:val="BodyText"/>
              <w:rPr>
                <w:lang w:val="en-NZ"/>
              </w:rPr>
            </w:pPr>
            <w:r w:rsidRPr="00CA1D62">
              <w:t xml:space="preserve">National Standard for Commercial Vessels </w:t>
            </w:r>
          </w:p>
        </w:tc>
      </w:tr>
      <w:tr w:rsidTr="00927FEE">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CA1D62">
            <w:pPr>
              <w:pStyle w:val="BodyText"/>
              <w:rPr>
                <w:lang w:val="en-NZ"/>
              </w:rPr>
            </w:pPr>
            <w:r w:rsidRPr="00CA1D62">
              <w:t>3</w:t>
            </w:r>
          </w:p>
        </w:tc>
        <w:tc>
          <w:tcPr>
            <w:tcW w:w="6085" w:type="dxa"/>
            <w:gridSpan w:val="3"/>
            <w:tcBorders>
              <w:top w:val="nil"/>
              <w:left w:val="nil"/>
              <w:bottom w:val="nil"/>
              <w:right w:val="nil"/>
            </w:tcBorders>
            <w:tcMar>
              <w:top w:w="0" w:type="dxa"/>
              <w:left w:w="62" w:type="dxa"/>
              <w:bottom w:w="0" w:type="dxa"/>
              <w:right w:w="62" w:type="dxa"/>
            </w:tcMar>
          </w:tcPr>
          <w:p w:rsidR="00000000" w:rsidRPr="00CA1D62" w:rsidP="00CA1D62">
            <w:pPr>
              <w:pStyle w:val="BodyText"/>
            </w:pPr>
            <w:r w:rsidRPr="00CA1D62">
              <w:t>relevant international, Commonwealth, State and Territory OH&amp;S and pollution control legislation</w:t>
            </w:r>
          </w:p>
        </w:tc>
      </w:tr>
    </w:tbl>
    <w:p w:rsidR="00927FEE" w:rsidP="00CA1D62">
      <w:pPr>
        <w:pStyle w:val="BodyText"/>
      </w:pPr>
    </w:p>
    <w:p w:rsidR="00927FEE" w:rsidP="00CA1D62">
      <w:pPr>
        <w:pStyle w:val="BodyText"/>
      </w:pPr>
    </w:p>
    <w:p w:rsidR="00000000" w:rsidRPr="00CA1D62" w:rsidP="00CA1D62">
      <w:pPr>
        <w:pStyle w:val="Heading1"/>
      </w:pPr>
      <w:bookmarkStart w:id="12" w:name="O_150590"/>
      <w:bookmarkEnd w:id="12"/>
      <w:r w:rsidRPr="00CA1D62">
        <w:t>Unit Sector(s)</w:t>
      </w:r>
    </w:p>
    <w:p w:rsidR="00000000" w:rsidRPr="00CA1D62" w:rsidP="00CA1D62">
      <w:pPr>
        <w:pStyle w:val="BodyText"/>
      </w:pPr>
      <w:r w:rsidRPr="00CA1D62">
        <w:t>Not applicable.</w:t>
      </w:r>
    </w:p>
    <w:p w:rsidR="00000000" w:rsidRPr="00CA1D62" w:rsidP="00CA1D62">
      <w:pPr>
        <w:pStyle w:val="AllowPageBreak"/>
      </w:pPr>
    </w:p>
    <w:p w:rsidR="00000000" w:rsidRPr="00CA1D62" w:rsidP="00CA1D62">
      <w:pPr>
        <w:pStyle w:val="Heading1"/>
      </w:pPr>
      <w:bookmarkStart w:id="13" w:name="O_163662"/>
      <w:bookmarkEnd w:id="13"/>
      <w:r w:rsidRPr="00CA1D62">
        <w:t>Field</w:t>
      </w:r>
    </w:p>
    <w:p w:rsidR="00927FEE" w:rsidP="00CA1D62">
      <w:pPr>
        <w:pStyle w:val="BodyText"/>
      </w:pPr>
      <w:r w:rsidRPr="00CA1D62">
        <w:t>Field</w:t>
      </w:r>
      <w:r w:rsidRPr="00CA1D62">
        <w:tab/>
        <w:t>B</w:t>
      </w:r>
      <w:r w:rsidRPr="00CA1D62">
        <w:tab/>
        <w:t>Equipment Checking and Maintenance</w:t>
      </w:r>
    </w:p>
    <w:p w:rsidR="00927FEE" w:rsidP="00CA1D62">
      <w:pPr>
        <w:pStyle w:val="BodyText"/>
      </w:pPr>
    </w:p>
    <w:p w:rsidR="00000000" w:rsidRPr="00CA1D62" w:rsidP="00CA1D62">
      <w:pPr>
        <w:pStyle w:val="Heading1"/>
      </w:pPr>
      <w:bookmarkStart w:id="14" w:name="O_163663"/>
      <w:bookmarkEnd w:id="14"/>
      <w:r w:rsidRPr="00CA1D62">
        <w:t>Relationship to other units</w:t>
      </w:r>
    </w:p>
    <w:tbl>
      <w:tblPr>
        <w:tblW w:w="0" w:type="auto"/>
        <w:tblLayout w:type="fixed"/>
        <w:tblCellMar>
          <w:left w:w="62" w:type="dxa"/>
          <w:right w:w="62" w:type="dxa"/>
        </w:tblCellMar>
        <w:tblLook w:val="0000"/>
      </w:tblPr>
      <w:tblGrid>
        <w:gridCol w:w="1974"/>
        <w:gridCol w:w="6481"/>
      </w:tblGrid>
      <w:tr w:rsidTr="00927FEE">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D62">
            <w:pPr>
              <w:pStyle w:val="BodyText"/>
              <w:rPr>
                <w:lang w:val="en-NZ"/>
              </w:rPr>
            </w:pPr>
            <w:r w:rsidRPr="00CA1D62">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D62" w:rsidP="00CA1D62">
            <w:pPr>
              <w:pStyle w:val="BodyText"/>
            </w:pPr>
            <w:r w:rsidRPr="00CA1D62">
              <w:t>The unit may be assessed in conjunction with other units that relate to the functions of the occupation(s) concerned.</w:t>
            </w:r>
          </w:p>
        </w:tc>
      </w:tr>
    </w:tbl>
    <w:p w:rsidR="00000000" w:rsidRPr="00CA1D62" w:rsidP="00CA1D62">
      <w:pPr>
        <w:pStyle w:val="BodyText"/>
      </w:pPr>
    </w:p>
    <w:p w:rsidR="00000000" w:rsidRPr="00CA1D62" w:rsidP="00CA1D62"/>
    <w:sectPr w:rsidSect="00CA1D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D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D62" w:rsidRPr="00927FEE" w:rsidP="00927F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D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EE" w:rsidP="00CA1D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27FEE" w:rsidP="00CA1D6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27FEE" w:rsidP="00CA1D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D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D62" w:rsidRPr="00927FEE" w:rsidP="00927F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D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FEE" w:rsidRPr="002D2AF8" w:rsidP="00CA1D62">
    <w:pPr>
      <w:pStyle w:val="Header"/>
      <w:framePr w:wrap="around"/>
    </w:pPr>
    <w:r>
      <w:fldChar w:fldCharType="begin"/>
    </w:r>
    <w:r>
      <w:instrText xml:space="preserve"> TITLE   \* MERGEFORMAT </w:instrText>
    </w:r>
    <w:r>
      <w:fldChar w:fldCharType="separate"/>
    </w:r>
    <w:r>
      <w:t>TDMMB3607B PREPARE A SMALL VESSEL'S MACHINERY FOR SEA WITHIN THE LIMITS OF RESPONSIBILITY OF A MARINE ENGINE DRIVER GRADE 3</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2014</w:t>
    </w:r>
    <w:r>
      <w:fldChar w:fldCharType="end"/>
    </w:r>
  </w:p>
  <w:p w:rsidR="00927FEE" w:rsidP="00CA1D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D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D62"/>
    <w:pPr>
      <w:spacing w:before="360" w:after="60"/>
      <w:outlineLvl w:val="0"/>
    </w:pPr>
    <w:rPr>
      <w:sz w:val="32"/>
    </w:rPr>
  </w:style>
  <w:style w:type="paragraph" w:styleId="Heading2">
    <w:name w:val="heading 2"/>
    <w:basedOn w:val="HeadingBase"/>
    <w:next w:val="BodyText"/>
    <w:link w:val="Heading2Char"/>
    <w:qFormat/>
    <w:rsid w:val="00CA1D62"/>
    <w:pPr>
      <w:keepLines/>
      <w:spacing w:before="240" w:after="120"/>
      <w:outlineLvl w:val="1"/>
    </w:pPr>
    <w:rPr>
      <w:sz w:val="28"/>
      <w:szCs w:val="40"/>
    </w:rPr>
  </w:style>
  <w:style w:type="paragraph" w:styleId="Heading3">
    <w:name w:val="heading 3"/>
    <w:basedOn w:val="HeadingBase"/>
    <w:next w:val="BodyText"/>
    <w:link w:val="Heading3Char"/>
    <w:qFormat/>
    <w:rsid w:val="00CA1D62"/>
    <w:pPr>
      <w:spacing w:before="180" w:after="120"/>
      <w:outlineLvl w:val="2"/>
    </w:pPr>
    <w:rPr>
      <w:spacing w:val="-10"/>
      <w:kern w:val="32"/>
    </w:rPr>
  </w:style>
  <w:style w:type="paragraph" w:styleId="Heading4">
    <w:name w:val="heading 4"/>
    <w:basedOn w:val="HeadingBase"/>
    <w:next w:val="BodyText"/>
    <w:link w:val="Heading4Char"/>
    <w:qFormat/>
    <w:rsid w:val="00CA1D62"/>
    <w:pPr>
      <w:spacing w:before="160" w:after="120"/>
      <w:outlineLvl w:val="3"/>
    </w:pPr>
    <w:rPr>
      <w:sz w:val="22"/>
    </w:rPr>
  </w:style>
  <w:style w:type="paragraph" w:styleId="Heading5">
    <w:name w:val="heading 5"/>
    <w:basedOn w:val="HeadingBase"/>
    <w:next w:val="Normal"/>
    <w:link w:val="Heading5Char"/>
    <w:qFormat/>
    <w:rsid w:val="00CA1D62"/>
    <w:pPr>
      <w:spacing w:before="80"/>
      <w:outlineLvl w:val="4"/>
    </w:pPr>
    <w:rPr>
      <w:color w:val="918585"/>
      <w:sz w:val="20"/>
    </w:rPr>
  </w:style>
  <w:style w:type="paragraph" w:styleId="Heading6">
    <w:name w:val="heading 6"/>
    <w:basedOn w:val="HeadingBase"/>
    <w:next w:val="Normal"/>
    <w:link w:val="Heading6Char"/>
    <w:qFormat/>
    <w:rsid w:val="00CA1D62"/>
    <w:pPr>
      <w:spacing w:before="60"/>
      <w:outlineLvl w:val="5"/>
    </w:pPr>
    <w:rPr>
      <w:color w:val="918585"/>
      <w:sz w:val="20"/>
    </w:rPr>
  </w:style>
  <w:style w:type="paragraph" w:styleId="Heading7">
    <w:name w:val="heading 7"/>
    <w:basedOn w:val="Normal"/>
    <w:next w:val="Normal"/>
    <w:link w:val="Heading7Char"/>
    <w:qFormat/>
    <w:rsid w:val="00CA1D62"/>
    <w:pPr>
      <w:ind w:left="720"/>
      <w:outlineLvl w:val="6"/>
    </w:pPr>
    <w:rPr>
      <w:i/>
    </w:rPr>
  </w:style>
  <w:style w:type="paragraph" w:styleId="Heading8">
    <w:name w:val="heading 8"/>
    <w:basedOn w:val="Normal"/>
    <w:next w:val="Normal"/>
    <w:link w:val="Heading8Char"/>
    <w:qFormat/>
    <w:rsid w:val="00CA1D62"/>
    <w:pPr>
      <w:ind w:left="720"/>
      <w:outlineLvl w:val="7"/>
    </w:pPr>
    <w:rPr>
      <w:i/>
    </w:rPr>
  </w:style>
  <w:style w:type="paragraph" w:styleId="Heading9">
    <w:name w:val="heading 9"/>
    <w:basedOn w:val="Normal"/>
    <w:next w:val="Normal"/>
    <w:link w:val="Heading9Char"/>
    <w:qFormat/>
    <w:rsid w:val="00CA1D62"/>
    <w:pPr>
      <w:ind w:left="720"/>
      <w:outlineLvl w:val="8"/>
    </w:pPr>
    <w:rPr>
      <w:i/>
    </w:rPr>
  </w:style>
  <w:style w:type="character" w:default="1" w:styleId="DefaultParagraphFont">
    <w:name w:val="Default Paragraph Font"/>
    <w:uiPriority w:val="1"/>
    <w:unhideWhenUsed/>
    <w:rsid w:val="00CA1D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D62"/>
  </w:style>
  <w:style w:type="character" w:customStyle="1" w:styleId="Heading1Char">
    <w:name w:val="Heading 1 Char"/>
    <w:basedOn w:val="DefaultParagraphFont"/>
    <w:link w:val="Heading1"/>
    <w:rsid w:val="00CA1D62"/>
    <w:rPr>
      <w:rFonts w:ascii="Times New Roman" w:eastAsia="Times New Roman" w:hAnsi="Times New Roman" w:cs="Times New Roman"/>
      <w:b/>
      <w:sz w:val="32"/>
      <w:szCs w:val="20"/>
      <w:lang w:eastAsia="en-US"/>
    </w:rPr>
  </w:style>
  <w:style w:type="paragraph" w:styleId="BodyText">
    <w:name w:val="Body Text"/>
    <w:basedOn w:val="Normal"/>
    <w:link w:val="BodyTextChar"/>
    <w:rsid w:val="00CA1D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1D62"/>
    <w:rPr>
      <w:rFonts w:ascii="Times New Roman" w:eastAsia="Times New Roman" w:hAnsi="Times New Roman" w:cs="Times New Roman"/>
      <w:sz w:val="24"/>
      <w:lang w:eastAsia="en-US"/>
    </w:rPr>
  </w:style>
  <w:style w:type="character" w:customStyle="1" w:styleId="SpecialBold">
    <w:name w:val="Special Bold"/>
    <w:basedOn w:val="DefaultParagraphFont"/>
    <w:rsid w:val="00CA1D62"/>
    <w:rPr>
      <w:b/>
      <w:spacing w:val="0"/>
    </w:rPr>
  </w:style>
  <w:style w:type="character" w:styleId="Emphasis">
    <w:name w:val="Emphasis"/>
    <w:basedOn w:val="DefaultParagraphFont"/>
    <w:qFormat/>
    <w:rsid w:val="00CA1D62"/>
    <w:rPr>
      <w:i/>
    </w:rPr>
  </w:style>
  <w:style w:type="paragraph" w:customStyle="1" w:styleId="SuperHeading">
    <w:name w:val="SuperHeading"/>
    <w:basedOn w:val="Normal"/>
    <w:rsid w:val="00CA1D62"/>
    <w:pPr>
      <w:spacing w:before="240" w:after="120"/>
      <w:outlineLvl w:val="0"/>
    </w:pPr>
    <w:rPr>
      <w:rFonts w:ascii="Times New Roman" w:hAnsi="Times New Roman"/>
      <w:b/>
      <w:sz w:val="32"/>
    </w:rPr>
  </w:style>
  <w:style w:type="paragraph" w:customStyle="1" w:styleId="AllowPageBreak">
    <w:name w:val="AllowPageBreak"/>
    <w:rsid w:val="00CA1D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1D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D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D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D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D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D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D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D62"/>
    <w:rPr>
      <w:rFonts w:ascii="Courier New" w:eastAsia="Times New Roman" w:hAnsi="Courier New" w:cs="Times New Roman"/>
      <w:i/>
      <w:szCs w:val="20"/>
      <w:lang w:eastAsia="en-US"/>
    </w:rPr>
  </w:style>
  <w:style w:type="paragraph" w:customStyle="1" w:styleId="HeadingBase">
    <w:name w:val="Heading Base"/>
    <w:rsid w:val="00CA1D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D62"/>
    <w:pPr>
      <w:tabs>
        <w:tab w:val="right" w:leader="dot" w:pos="9072"/>
      </w:tabs>
      <w:ind w:left="567"/>
    </w:pPr>
    <w:rPr>
      <w:szCs w:val="22"/>
    </w:rPr>
  </w:style>
  <w:style w:type="paragraph" w:customStyle="1" w:styleId="TOCBase">
    <w:name w:val="TOC Base"/>
    <w:rsid w:val="00CA1D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D62"/>
    <w:pPr>
      <w:tabs>
        <w:tab w:val="right" w:leader="dot" w:pos="9072"/>
      </w:tabs>
      <w:spacing w:before="40" w:after="40"/>
      <w:ind w:left="284"/>
    </w:pPr>
    <w:rPr>
      <w:rFonts w:ascii="Times New Roman" w:hAnsi="Times New Roman"/>
    </w:rPr>
  </w:style>
  <w:style w:type="paragraph" w:styleId="TOC1">
    <w:name w:val="toc 1"/>
    <w:basedOn w:val="TOCBase"/>
    <w:next w:val="Normal"/>
    <w:rsid w:val="00CA1D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1D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D62"/>
    <w:rPr>
      <w:rFonts w:ascii="Times New Roman" w:eastAsia="Times New Roman" w:hAnsi="Times New Roman" w:cs="Times New Roman"/>
      <w:sz w:val="16"/>
      <w:lang w:eastAsia="en-US"/>
    </w:rPr>
  </w:style>
  <w:style w:type="paragraph" w:styleId="Title">
    <w:name w:val="Title"/>
    <w:basedOn w:val="HeadingBase"/>
    <w:link w:val="TitleChar"/>
    <w:qFormat/>
    <w:rsid w:val="00CA1D62"/>
    <w:pPr>
      <w:spacing w:before="5040"/>
      <w:jc w:val="center"/>
    </w:pPr>
    <w:rPr>
      <w:sz w:val="48"/>
      <w:szCs w:val="72"/>
      <w:lang w:val="en-US"/>
    </w:rPr>
  </w:style>
  <w:style w:type="character" w:customStyle="1" w:styleId="TitleChar">
    <w:name w:val="Title Char"/>
    <w:basedOn w:val="DefaultParagraphFont"/>
    <w:link w:val="Title"/>
    <w:rsid w:val="00CA1D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D62"/>
    <w:pPr>
      <w:tabs>
        <w:tab w:val="left" w:pos="3600"/>
        <w:tab w:val="left" w:pos="3958"/>
      </w:tabs>
    </w:pPr>
  </w:style>
  <w:style w:type="paragraph" w:styleId="List">
    <w:name w:val="List"/>
    <w:basedOn w:val="BodyText"/>
    <w:next w:val="BodyText"/>
    <w:rsid w:val="00CA1D62"/>
    <w:pPr>
      <w:tabs>
        <w:tab w:val="left" w:pos="340"/>
      </w:tabs>
      <w:spacing w:before="60" w:after="60"/>
      <w:ind w:left="340" w:hanging="340"/>
    </w:pPr>
  </w:style>
  <w:style w:type="paragraph" w:styleId="ListBullet">
    <w:name w:val="List Bullet"/>
    <w:basedOn w:val="List"/>
    <w:rsid w:val="00CA1D62"/>
    <w:pPr>
      <w:numPr>
        <w:numId w:val="11"/>
      </w:numPr>
      <w:tabs>
        <w:tab w:val="clear" w:pos="340"/>
      </w:tabs>
      <w:spacing w:before="40" w:after="40"/>
    </w:pPr>
  </w:style>
  <w:style w:type="paragraph" w:customStyle="1" w:styleId="Note">
    <w:name w:val="Note"/>
    <w:basedOn w:val="BodyText"/>
    <w:rsid w:val="00CA1D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D62"/>
    <w:pPr>
      <w:framePr w:wrap="auto" w:hAnchor="text" w:y="6049"/>
    </w:pPr>
    <w:rPr>
      <w:color w:val="000000"/>
      <w:sz w:val="40"/>
    </w:rPr>
  </w:style>
  <w:style w:type="paragraph" w:customStyle="1" w:styleId="TOCTitle">
    <w:name w:val="TOCTitle"/>
    <w:basedOn w:val="Heading1"/>
    <w:rsid w:val="00CA1D62"/>
    <w:pPr>
      <w:spacing w:after="240"/>
      <w:jc w:val="center"/>
      <w:outlineLvl w:val="9"/>
    </w:pPr>
    <w:rPr>
      <w:caps/>
    </w:rPr>
  </w:style>
  <w:style w:type="paragraph" w:customStyle="1" w:styleId="Version">
    <w:name w:val="Version"/>
    <w:rsid w:val="00CA1D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1D62"/>
    <w:pPr>
      <w:numPr>
        <w:numId w:val="12"/>
      </w:numPr>
      <w:tabs>
        <w:tab w:val="clear" w:pos="680"/>
      </w:tabs>
    </w:pPr>
  </w:style>
  <w:style w:type="paragraph" w:styleId="Index1">
    <w:name w:val="index 1"/>
    <w:basedOn w:val="Normal"/>
    <w:next w:val="Normal"/>
    <w:semiHidden/>
    <w:rsid w:val="00CA1D62"/>
    <w:pPr>
      <w:keepNext w:val="0"/>
      <w:tabs>
        <w:tab w:val="right" w:pos="4176"/>
      </w:tabs>
      <w:ind w:left="198" w:hanging="198"/>
    </w:pPr>
    <w:rPr>
      <w:rFonts w:ascii="Garamond" w:hAnsi="Garamond"/>
    </w:rPr>
  </w:style>
  <w:style w:type="paragraph" w:styleId="IndexHeading">
    <w:name w:val="index heading"/>
    <w:basedOn w:val="Normal"/>
    <w:next w:val="Index1"/>
    <w:semiHidden/>
    <w:rsid w:val="00CA1D62"/>
    <w:pPr>
      <w:spacing w:before="120" w:after="120"/>
    </w:pPr>
    <w:rPr>
      <w:rFonts w:ascii="Arial" w:hAnsi="Arial"/>
      <w:b/>
      <w:color w:val="918585"/>
      <w:sz w:val="24"/>
    </w:rPr>
  </w:style>
  <w:style w:type="paragraph" w:styleId="Header">
    <w:name w:val="header"/>
    <w:basedOn w:val="Normal"/>
    <w:link w:val="HeaderChar"/>
    <w:rsid w:val="00CA1D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D62"/>
    <w:rPr>
      <w:rFonts w:ascii="Times New Roman" w:eastAsia="Times New Roman" w:hAnsi="Times New Roman" w:cs="Times New Roman"/>
      <w:sz w:val="16"/>
      <w:szCs w:val="20"/>
      <w:lang w:val="en-GB" w:eastAsia="en-US"/>
    </w:rPr>
  </w:style>
  <w:style w:type="paragraph" w:customStyle="1" w:styleId="Chapter">
    <w:name w:val="Chapter"/>
    <w:basedOn w:val="Normal"/>
    <w:rsid w:val="00CA1D62"/>
    <w:pPr>
      <w:spacing w:before="240"/>
    </w:pPr>
    <w:rPr>
      <w:rFonts w:ascii="Times New Roman" w:hAnsi="Times New Roman"/>
      <w:smallCaps/>
      <w:spacing w:val="80"/>
      <w:sz w:val="28"/>
    </w:rPr>
  </w:style>
  <w:style w:type="paragraph" w:customStyle="1" w:styleId="InChapter">
    <w:name w:val="InChapter"/>
    <w:basedOn w:val="Heading3"/>
    <w:rsid w:val="00CA1D62"/>
    <w:pPr>
      <w:spacing w:after="240"/>
      <w:outlineLvl w:val="9"/>
    </w:pPr>
    <w:rPr>
      <w:noProof/>
    </w:rPr>
  </w:style>
  <w:style w:type="paragraph" w:styleId="Index2">
    <w:name w:val="index 2"/>
    <w:basedOn w:val="Normal"/>
    <w:next w:val="Normal"/>
    <w:semiHidden/>
    <w:rsid w:val="00CA1D62"/>
    <w:pPr>
      <w:tabs>
        <w:tab w:val="right" w:pos="4176"/>
      </w:tabs>
      <w:ind w:left="568" w:hanging="284"/>
    </w:pPr>
    <w:rPr>
      <w:rFonts w:ascii="Garamond" w:hAnsi="Garamond"/>
    </w:rPr>
  </w:style>
  <w:style w:type="paragraph" w:customStyle="1" w:styleId="Byline">
    <w:name w:val="Byline"/>
    <w:rsid w:val="00CA1D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D62"/>
    <w:pPr>
      <w:tabs>
        <w:tab w:val="clear" w:pos="3600"/>
        <w:tab w:val="clear" w:pos="3958"/>
      </w:tabs>
      <w:jc w:val="right"/>
    </w:pPr>
  </w:style>
  <w:style w:type="paragraph" w:styleId="Caption">
    <w:name w:val="caption"/>
    <w:basedOn w:val="BodyText"/>
    <w:next w:val="Normal"/>
    <w:qFormat/>
    <w:rsid w:val="00CA1D62"/>
    <w:pPr>
      <w:framePr w:w="2268" w:hSpace="181" w:vSpace="181" w:wrap="around" w:vAnchor="text" w:hAnchor="page" w:x="1135" w:y="285" w:anchorLock="1"/>
    </w:pPr>
    <w:rPr>
      <w:i/>
    </w:rPr>
  </w:style>
  <w:style w:type="paragraph" w:customStyle="1" w:styleId="MiniTOCTitle">
    <w:name w:val="MiniTOCTitle"/>
    <w:basedOn w:val="Heading4"/>
    <w:rsid w:val="00CA1D62"/>
    <w:pPr>
      <w:spacing w:before="240"/>
      <w:outlineLvl w:val="9"/>
    </w:pPr>
    <w:rPr>
      <w:noProof/>
      <w:sz w:val="24"/>
    </w:rPr>
  </w:style>
  <w:style w:type="paragraph" w:customStyle="1" w:styleId="MiniTOCItem">
    <w:name w:val="MiniTOCItem"/>
    <w:basedOn w:val="ListBullet"/>
    <w:rsid w:val="00CA1D62"/>
    <w:pPr>
      <w:numPr>
        <w:numId w:val="0"/>
      </w:numPr>
      <w:tabs>
        <w:tab w:val="right" w:leader="dot" w:pos="6521"/>
      </w:tabs>
      <w:spacing w:before="0" w:after="0"/>
    </w:pPr>
  </w:style>
  <w:style w:type="paragraph" w:customStyle="1" w:styleId="TOFTitle">
    <w:name w:val="TOFTitle"/>
    <w:basedOn w:val="TOCTitle"/>
    <w:rsid w:val="00CA1D62"/>
  </w:style>
  <w:style w:type="paragraph" w:styleId="TableofFigures">
    <w:name w:val="table of figures"/>
    <w:basedOn w:val="Normal"/>
    <w:next w:val="Normal"/>
    <w:semiHidden/>
    <w:rsid w:val="00CA1D62"/>
    <w:pPr>
      <w:tabs>
        <w:tab w:val="right" w:leader="dot" w:pos="9072"/>
      </w:tabs>
      <w:ind w:left="970" w:hanging="403"/>
    </w:pPr>
    <w:rPr>
      <w:rFonts w:ascii="Times New Roman" w:hAnsi="Times New Roman"/>
      <w:b/>
    </w:rPr>
  </w:style>
  <w:style w:type="paragraph" w:styleId="ListNumber">
    <w:name w:val="List Number"/>
    <w:basedOn w:val="List"/>
    <w:rsid w:val="00CA1D62"/>
    <w:pPr>
      <w:numPr>
        <w:numId w:val="9"/>
      </w:numPr>
    </w:pPr>
  </w:style>
  <w:style w:type="character" w:customStyle="1" w:styleId="WingdingSymbols">
    <w:name w:val="Wingding Symbols"/>
    <w:rsid w:val="00CA1D62"/>
    <w:rPr>
      <w:rFonts w:ascii="Wingdings" w:hAnsi="Wingdings"/>
    </w:rPr>
  </w:style>
  <w:style w:type="paragraph" w:customStyle="1" w:styleId="TableHeading">
    <w:name w:val="Table Heading"/>
    <w:basedOn w:val="HeadingBase"/>
    <w:rsid w:val="00CA1D62"/>
    <w:pPr>
      <w:keepLines/>
      <w:pBdr>
        <w:bottom w:val="single" w:sz="6" w:space="1" w:color="918585"/>
      </w:pBdr>
      <w:spacing w:before="240"/>
    </w:pPr>
  </w:style>
  <w:style w:type="character" w:customStyle="1" w:styleId="HotSpot">
    <w:name w:val="HotSpot"/>
    <w:rsid w:val="00CA1D62"/>
    <w:rPr>
      <w:color w:val="0033CC"/>
      <w:u w:val="none"/>
    </w:rPr>
  </w:style>
  <w:style w:type="paragraph" w:customStyle="1" w:styleId="BodyTextRight">
    <w:name w:val="Body Text Right"/>
    <w:basedOn w:val="BodyText"/>
    <w:rsid w:val="00CA1D62"/>
    <w:pPr>
      <w:spacing w:before="0" w:after="0"/>
      <w:jc w:val="right"/>
    </w:pPr>
  </w:style>
  <w:style w:type="paragraph" w:styleId="Index3">
    <w:name w:val="index 3"/>
    <w:basedOn w:val="ListNumber2"/>
    <w:next w:val="Normal"/>
    <w:semiHidden/>
    <w:rsid w:val="00CA1D62"/>
    <w:pPr>
      <w:numPr>
        <w:numId w:val="0"/>
      </w:numPr>
      <w:tabs>
        <w:tab w:val="right" w:leader="dot" w:pos="4176"/>
      </w:tabs>
    </w:pPr>
  </w:style>
  <w:style w:type="paragraph" w:styleId="ListNumber2">
    <w:name w:val="List Number 2"/>
    <w:basedOn w:val="List2"/>
    <w:rsid w:val="00CA1D62"/>
    <w:pPr>
      <w:numPr>
        <w:numId w:val="8"/>
      </w:numPr>
      <w:tabs>
        <w:tab w:val="clear" w:pos="1060"/>
      </w:tabs>
    </w:pPr>
  </w:style>
  <w:style w:type="paragraph" w:customStyle="1" w:styleId="MarginNote">
    <w:name w:val="Margin Note"/>
    <w:basedOn w:val="BodyText"/>
    <w:rsid w:val="00CA1D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D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D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D62"/>
    <w:rPr>
      <w:sz w:val="32"/>
    </w:rPr>
  </w:style>
  <w:style w:type="paragraph" w:customStyle="1" w:styleId="HeadingProcedure">
    <w:name w:val="Heading Procedure"/>
    <w:basedOn w:val="HeadingBase"/>
    <w:next w:val="Normal"/>
    <w:rsid w:val="00CA1D62"/>
    <w:pPr>
      <w:tabs>
        <w:tab w:val="left" w:pos="0"/>
      </w:tabs>
      <w:spacing w:before="120" w:after="60"/>
    </w:pPr>
    <w:rPr>
      <w:i/>
      <w:color w:val="918585"/>
      <w:sz w:val="22"/>
    </w:rPr>
  </w:style>
  <w:style w:type="paragraph" w:customStyle="1" w:styleId="TableBodyText">
    <w:name w:val="Table Body Text"/>
    <w:basedOn w:val="BodyText"/>
    <w:rsid w:val="00CA1D62"/>
    <w:pPr>
      <w:spacing w:before="60" w:after="60"/>
    </w:pPr>
  </w:style>
  <w:style w:type="paragraph" w:styleId="ListContinue">
    <w:name w:val="List Continue"/>
    <w:basedOn w:val="List"/>
    <w:rsid w:val="00CA1D62"/>
    <w:pPr>
      <w:ind w:firstLine="0"/>
    </w:pPr>
  </w:style>
  <w:style w:type="paragraph" w:customStyle="1" w:styleId="ListNote">
    <w:name w:val="List Note"/>
    <w:basedOn w:val="List"/>
    <w:rsid w:val="00CA1D62"/>
    <w:pPr>
      <w:pBdr>
        <w:top w:val="single" w:sz="6" w:space="2" w:color="918585"/>
        <w:bottom w:val="single" w:sz="6" w:space="2" w:color="918585"/>
      </w:pBdr>
      <w:tabs>
        <w:tab w:val="left" w:pos="1021"/>
      </w:tabs>
      <w:ind w:firstLine="0"/>
    </w:pPr>
  </w:style>
  <w:style w:type="paragraph" w:customStyle="1" w:styleId="Warning">
    <w:name w:val="Warning"/>
    <w:basedOn w:val="BodyText"/>
    <w:rsid w:val="00CA1D62"/>
    <w:pPr>
      <w:shd w:val="clear" w:color="auto" w:fill="D9D9D9"/>
      <w:tabs>
        <w:tab w:val="left" w:pos="992"/>
      </w:tabs>
      <w:ind w:left="119" w:right="119"/>
    </w:pPr>
    <w:rPr>
      <w:sz w:val="20"/>
    </w:rPr>
  </w:style>
  <w:style w:type="paragraph" w:customStyle="1" w:styleId="MarginIcons">
    <w:name w:val="Margin Icons"/>
    <w:basedOn w:val="BodyText"/>
    <w:rsid w:val="00CA1D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D62"/>
    <w:rPr>
      <w:rFonts w:ascii="Courier New" w:hAnsi="Courier New"/>
    </w:rPr>
  </w:style>
  <w:style w:type="paragraph" w:customStyle="1" w:styleId="NoteBullet">
    <w:name w:val="Note Bullet"/>
    <w:basedOn w:val="Note"/>
    <w:rsid w:val="00CA1D62"/>
    <w:pPr>
      <w:tabs>
        <w:tab w:val="clear" w:pos="680"/>
      </w:tabs>
      <w:spacing w:before="60" w:after="60"/>
    </w:pPr>
  </w:style>
  <w:style w:type="paragraph" w:customStyle="1" w:styleId="SubHeading2">
    <w:name w:val="SubHeading2"/>
    <w:basedOn w:val="HeadingBase"/>
    <w:rsid w:val="00CA1D62"/>
    <w:pPr>
      <w:spacing w:before="240" w:after="60"/>
    </w:pPr>
    <w:rPr>
      <w:sz w:val="20"/>
    </w:rPr>
  </w:style>
  <w:style w:type="paragraph" w:customStyle="1" w:styleId="SubHeading1">
    <w:name w:val="SubHeading1"/>
    <w:basedOn w:val="HeadingBase"/>
    <w:rsid w:val="00CA1D62"/>
    <w:pPr>
      <w:spacing w:before="240" w:after="60"/>
    </w:pPr>
    <w:rPr>
      <w:color w:val="918585"/>
      <w:sz w:val="22"/>
    </w:rPr>
  </w:style>
  <w:style w:type="paragraph" w:customStyle="1" w:styleId="SideHeading">
    <w:name w:val="Side Heading"/>
    <w:basedOn w:val="HeadingBase"/>
    <w:rsid w:val="00CA1D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D62"/>
    <w:pPr>
      <w:numPr>
        <w:numId w:val="10"/>
      </w:numPr>
    </w:pPr>
  </w:style>
  <w:style w:type="paragraph" w:styleId="PlainText">
    <w:name w:val="Plain Text"/>
    <w:basedOn w:val="Normal"/>
    <w:link w:val="PlainTextChar"/>
    <w:rsid w:val="00CA1D62"/>
    <w:rPr>
      <w:sz w:val="20"/>
    </w:rPr>
  </w:style>
  <w:style w:type="character" w:customStyle="1" w:styleId="PlainTextChar">
    <w:name w:val="Plain Text Char"/>
    <w:basedOn w:val="DefaultParagraphFont"/>
    <w:link w:val="PlainText"/>
    <w:rsid w:val="00CA1D62"/>
    <w:rPr>
      <w:rFonts w:ascii="Courier New" w:eastAsia="Times New Roman" w:hAnsi="Courier New" w:cs="Times New Roman"/>
      <w:sz w:val="20"/>
      <w:szCs w:val="20"/>
      <w:lang w:eastAsia="en-US"/>
    </w:rPr>
  </w:style>
  <w:style w:type="character" w:customStyle="1" w:styleId="MenuOption">
    <w:name w:val="Menu Option"/>
    <w:basedOn w:val="DefaultParagraphFont"/>
    <w:rsid w:val="00CA1D62"/>
    <w:rPr>
      <w:b/>
      <w:smallCaps/>
    </w:rPr>
  </w:style>
  <w:style w:type="paragraph" w:customStyle="1" w:styleId="TableListNumber">
    <w:name w:val="Table List Number"/>
    <w:basedOn w:val="ListNumber"/>
    <w:rsid w:val="00CA1D62"/>
    <w:pPr>
      <w:numPr>
        <w:numId w:val="0"/>
      </w:numPr>
    </w:pPr>
  </w:style>
  <w:style w:type="paragraph" w:styleId="TOC4">
    <w:name w:val="toc 4"/>
    <w:basedOn w:val="TOCBase"/>
    <w:next w:val="Normal"/>
    <w:semiHidden/>
    <w:rsid w:val="00CA1D62"/>
    <w:pPr>
      <w:tabs>
        <w:tab w:val="right" w:leader="dot" w:pos="9071"/>
      </w:tabs>
      <w:ind w:left="1701"/>
    </w:pPr>
  </w:style>
  <w:style w:type="paragraph" w:customStyle="1" w:styleId="ListAlpha">
    <w:name w:val="List Alpha"/>
    <w:basedOn w:val="List"/>
    <w:rsid w:val="00CA1D62"/>
    <w:pPr>
      <w:numPr>
        <w:numId w:val="7"/>
      </w:numPr>
    </w:pPr>
  </w:style>
  <w:style w:type="paragraph" w:customStyle="1" w:styleId="ListAlpha2">
    <w:name w:val="List Alpha 2"/>
    <w:basedOn w:val="List2"/>
    <w:rsid w:val="00CA1D62"/>
    <w:pPr>
      <w:numPr>
        <w:numId w:val="6"/>
      </w:numPr>
    </w:pPr>
  </w:style>
  <w:style w:type="paragraph" w:styleId="List2">
    <w:name w:val="List 2"/>
    <w:basedOn w:val="BodyText"/>
    <w:rsid w:val="00CA1D62"/>
    <w:pPr>
      <w:tabs>
        <w:tab w:val="left" w:pos="680"/>
      </w:tabs>
      <w:spacing w:before="60" w:after="60"/>
      <w:ind w:left="680" w:hanging="340"/>
    </w:pPr>
  </w:style>
  <w:style w:type="paragraph" w:styleId="List3">
    <w:name w:val="List 3"/>
    <w:basedOn w:val="BodyText"/>
    <w:rsid w:val="00CA1D62"/>
    <w:pPr>
      <w:tabs>
        <w:tab w:val="left" w:pos="1021"/>
      </w:tabs>
      <w:spacing w:before="60" w:after="60"/>
      <w:ind w:left="1020" w:hanging="340"/>
    </w:pPr>
  </w:style>
  <w:style w:type="paragraph" w:styleId="List4">
    <w:name w:val="List 4"/>
    <w:basedOn w:val="BodyText"/>
    <w:rsid w:val="00CA1D62"/>
    <w:pPr>
      <w:tabs>
        <w:tab w:val="left" w:pos="1361"/>
      </w:tabs>
      <w:spacing w:before="60" w:after="60"/>
      <w:ind w:left="1361" w:hanging="340"/>
    </w:pPr>
  </w:style>
  <w:style w:type="paragraph" w:styleId="List5">
    <w:name w:val="List 5"/>
    <w:basedOn w:val="BodyText"/>
    <w:rsid w:val="00CA1D62"/>
    <w:pPr>
      <w:tabs>
        <w:tab w:val="left" w:pos="1701"/>
      </w:tabs>
      <w:spacing w:before="60" w:after="60"/>
      <w:ind w:left="1701" w:hanging="340"/>
    </w:pPr>
  </w:style>
  <w:style w:type="paragraph" w:styleId="ListBullet3">
    <w:name w:val="List Bullet 3"/>
    <w:basedOn w:val="List3"/>
    <w:rsid w:val="00CA1D62"/>
    <w:pPr>
      <w:numPr>
        <w:numId w:val="13"/>
      </w:numPr>
      <w:tabs>
        <w:tab w:val="clear" w:pos="1021"/>
      </w:tabs>
      <w:ind w:left="1037" w:hanging="357"/>
    </w:pPr>
  </w:style>
  <w:style w:type="paragraph" w:styleId="ListBullet4">
    <w:name w:val="List Bullet 4"/>
    <w:basedOn w:val="List4"/>
    <w:rsid w:val="00CA1D62"/>
    <w:pPr>
      <w:numPr>
        <w:numId w:val="1"/>
      </w:numPr>
    </w:pPr>
  </w:style>
  <w:style w:type="paragraph" w:styleId="ListBullet5">
    <w:name w:val="List Bullet 5"/>
    <w:basedOn w:val="List5"/>
    <w:rsid w:val="00CA1D62"/>
    <w:pPr>
      <w:numPr>
        <w:numId w:val="2"/>
      </w:numPr>
    </w:pPr>
  </w:style>
  <w:style w:type="paragraph" w:styleId="ListContinue2">
    <w:name w:val="List Continue 2"/>
    <w:basedOn w:val="List2"/>
    <w:rsid w:val="00CA1D62"/>
    <w:pPr>
      <w:ind w:firstLine="0"/>
    </w:pPr>
  </w:style>
  <w:style w:type="paragraph" w:styleId="ListContinue3">
    <w:name w:val="List Continue 3"/>
    <w:basedOn w:val="List3"/>
    <w:rsid w:val="00CA1D62"/>
    <w:pPr>
      <w:ind w:left="1021" w:firstLine="0"/>
    </w:pPr>
  </w:style>
  <w:style w:type="paragraph" w:styleId="ListContinue4">
    <w:name w:val="List Continue 4"/>
    <w:basedOn w:val="List4"/>
    <w:rsid w:val="00CA1D62"/>
    <w:pPr>
      <w:ind w:firstLine="0"/>
    </w:pPr>
  </w:style>
  <w:style w:type="paragraph" w:styleId="ListContinue5">
    <w:name w:val="List Continue 5"/>
    <w:basedOn w:val="List5"/>
    <w:rsid w:val="00CA1D62"/>
    <w:pPr>
      <w:ind w:firstLine="0"/>
    </w:pPr>
  </w:style>
  <w:style w:type="paragraph" w:styleId="ListNumber3">
    <w:name w:val="List Number 3"/>
    <w:basedOn w:val="List3"/>
    <w:rsid w:val="00CA1D62"/>
    <w:pPr>
      <w:numPr>
        <w:numId w:val="3"/>
      </w:numPr>
    </w:pPr>
  </w:style>
  <w:style w:type="paragraph" w:styleId="ListNumber4">
    <w:name w:val="List Number 4"/>
    <w:basedOn w:val="List4"/>
    <w:rsid w:val="00CA1D62"/>
    <w:pPr>
      <w:numPr>
        <w:numId w:val="4"/>
      </w:numPr>
    </w:pPr>
  </w:style>
  <w:style w:type="paragraph" w:styleId="ListNumber5">
    <w:name w:val="List Number 5"/>
    <w:basedOn w:val="List5"/>
    <w:rsid w:val="00CA1D62"/>
    <w:pPr>
      <w:numPr>
        <w:numId w:val="5"/>
      </w:numPr>
    </w:pPr>
  </w:style>
  <w:style w:type="paragraph" w:styleId="BlockText">
    <w:name w:val="Block Text"/>
    <w:basedOn w:val="Normal"/>
    <w:rsid w:val="00CA1D62"/>
    <w:pPr>
      <w:spacing w:after="120"/>
      <w:ind w:left="1440" w:right="1440"/>
    </w:pPr>
  </w:style>
  <w:style w:type="character" w:customStyle="1" w:styleId="Subscript">
    <w:name w:val="Subscript"/>
    <w:basedOn w:val="DefaultParagraphFont"/>
    <w:rsid w:val="00CA1D62"/>
    <w:rPr>
      <w:sz w:val="16"/>
      <w:vertAlign w:val="subscript"/>
    </w:rPr>
  </w:style>
  <w:style w:type="character" w:customStyle="1" w:styleId="Superscript">
    <w:name w:val="Superscript"/>
    <w:basedOn w:val="DefaultParagraphFont"/>
    <w:rsid w:val="00CA1D62"/>
    <w:rPr>
      <w:sz w:val="16"/>
      <w:vertAlign w:val="superscript"/>
    </w:rPr>
  </w:style>
  <w:style w:type="character" w:customStyle="1" w:styleId="Symbols">
    <w:name w:val="Symbols"/>
    <w:basedOn w:val="DefaultParagraphFont"/>
    <w:rsid w:val="00CA1D62"/>
    <w:rPr>
      <w:rFonts w:ascii="Symbol" w:hAnsi="Symbol"/>
    </w:rPr>
  </w:style>
  <w:style w:type="character" w:customStyle="1" w:styleId="MenuOptions">
    <w:name w:val="Menu Options"/>
    <w:basedOn w:val="DefaultParagraphFont"/>
    <w:rsid w:val="00CA1D62"/>
    <w:rPr>
      <w:rFonts w:ascii="Arial Narrow" w:hAnsi="Arial Narrow"/>
      <w:smallCaps/>
    </w:rPr>
  </w:style>
  <w:style w:type="character" w:customStyle="1" w:styleId="Buttons">
    <w:name w:val="Buttons"/>
    <w:basedOn w:val="DefaultParagraphFont"/>
    <w:rsid w:val="00CA1D62"/>
    <w:rPr>
      <w:b/>
    </w:rPr>
  </w:style>
  <w:style w:type="character" w:customStyle="1" w:styleId="Underlined">
    <w:name w:val="Underlined"/>
    <w:basedOn w:val="DefaultParagraphFont"/>
    <w:rsid w:val="00CA1D62"/>
    <w:rPr>
      <w:u w:val="single"/>
    </w:rPr>
  </w:style>
  <w:style w:type="paragraph" w:customStyle="1" w:styleId="TableBodyTextRight">
    <w:name w:val="Table Body Text Right"/>
    <w:basedOn w:val="TableBodyText"/>
    <w:rsid w:val="00CA1D62"/>
    <w:pPr>
      <w:widowControl w:val="0"/>
      <w:autoSpaceDE w:val="0"/>
      <w:autoSpaceDN w:val="0"/>
      <w:adjustRightInd w:val="0"/>
      <w:jc w:val="right"/>
    </w:pPr>
    <w:rPr>
      <w:rFonts w:cs="Arial"/>
      <w:szCs w:val="18"/>
    </w:rPr>
  </w:style>
  <w:style w:type="paragraph" w:customStyle="1" w:styleId="CopyrightText">
    <w:name w:val="Copyright Text"/>
    <w:basedOn w:val="BodyText"/>
    <w:rsid w:val="00CA1D62"/>
    <w:rPr>
      <w:sz w:val="18"/>
    </w:rPr>
  </w:style>
  <w:style w:type="paragraph" w:customStyle="1" w:styleId="BodySmallRight">
    <w:name w:val="Body Small Right"/>
    <w:basedOn w:val="BodyTextRight"/>
    <w:rsid w:val="00CA1D62"/>
    <w:rPr>
      <w:sz w:val="18"/>
      <w:szCs w:val="18"/>
    </w:rPr>
  </w:style>
  <w:style w:type="paragraph" w:customStyle="1" w:styleId="MarginEdition">
    <w:name w:val="Margin Edition"/>
    <w:basedOn w:val="MarginNote"/>
    <w:rsid w:val="00CA1D62"/>
    <w:pPr>
      <w:spacing w:before="0" w:after="0"/>
    </w:pPr>
    <w:rPr>
      <w:rFonts w:ascii="Times New Roman" w:hAnsi="Times New Roman"/>
      <w:color w:val="999999"/>
    </w:rPr>
  </w:style>
  <w:style w:type="paragraph" w:customStyle="1" w:styleId="Spacer">
    <w:name w:val="Spacer"/>
    <w:basedOn w:val="Normal"/>
    <w:rsid w:val="00CA1D62"/>
    <w:rPr>
      <w:sz w:val="2"/>
      <w:szCs w:val="2"/>
    </w:rPr>
  </w:style>
  <w:style w:type="character" w:customStyle="1" w:styleId="Small">
    <w:name w:val="Small"/>
    <w:basedOn w:val="DefaultParagraphFont"/>
    <w:rsid w:val="00CA1D62"/>
    <w:rPr>
      <w:sz w:val="16"/>
    </w:rPr>
  </w:style>
  <w:style w:type="paragraph" w:customStyle="1" w:styleId="WideTable">
    <w:name w:val="Wide Table"/>
    <w:basedOn w:val="Normal"/>
    <w:rsid w:val="00CA1D62"/>
    <w:pPr>
      <w:ind w:left="-1418"/>
    </w:pPr>
    <w:rPr>
      <w:sz w:val="2"/>
      <w:szCs w:val="2"/>
    </w:rPr>
  </w:style>
  <w:style w:type="character" w:styleId="PageNumber">
    <w:name w:val="page number"/>
    <w:basedOn w:val="DefaultParagraphFont"/>
    <w:rsid w:val="00CA1D62"/>
  </w:style>
  <w:style w:type="paragraph" w:styleId="Quote">
    <w:name w:val="Quote"/>
    <w:basedOn w:val="Heading1"/>
    <w:link w:val="QuoteChar"/>
    <w:qFormat/>
    <w:rsid w:val="00CA1D62"/>
    <w:rPr>
      <w:b w:val="0"/>
      <w:sz w:val="72"/>
      <w:szCs w:val="72"/>
      <w:lang w:val="en-NZ"/>
    </w:rPr>
  </w:style>
  <w:style w:type="character" w:customStyle="1" w:styleId="QuoteChar">
    <w:name w:val="Quote Char"/>
    <w:basedOn w:val="DefaultParagraphFont"/>
    <w:link w:val="Quote"/>
    <w:rsid w:val="00CA1D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D62"/>
    <w:pPr>
      <w:pageBreakBefore/>
    </w:pPr>
  </w:style>
  <w:style w:type="paragraph" w:customStyle="1" w:styleId="Border">
    <w:name w:val="Border"/>
    <w:basedOn w:val="Normal"/>
    <w:qFormat/>
    <w:rsid w:val="00CA1D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D62"/>
    <w:rPr>
      <w:b/>
      <w:bCs/>
      <w:i/>
      <w:iCs/>
      <w:color w:val="auto"/>
    </w:rPr>
  </w:style>
  <w:style w:type="paragraph" w:styleId="IntenseQuote">
    <w:name w:val="Intense Quote"/>
    <w:basedOn w:val="Normal"/>
    <w:next w:val="Normal"/>
    <w:link w:val="IntenseQuoteChar"/>
    <w:uiPriority w:val="30"/>
    <w:qFormat/>
    <w:rsid w:val="00CA1D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D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D62"/>
    <w:rPr>
      <w:smallCaps/>
      <w:color w:val="auto"/>
      <w:u w:val="single"/>
    </w:rPr>
  </w:style>
  <w:style w:type="character" w:styleId="IntenseReference">
    <w:name w:val="Intense Reference"/>
    <w:basedOn w:val="DefaultParagraphFont"/>
    <w:uiPriority w:val="32"/>
    <w:qFormat/>
    <w:rsid w:val="00CA1D62"/>
    <w:rPr>
      <w:b/>
      <w:bCs/>
      <w:smallCaps/>
      <w:color w:val="auto"/>
      <w:spacing w:val="5"/>
      <w:u w:val="single"/>
    </w:rPr>
  </w:style>
  <w:style w:type="paragraph" w:customStyle="1" w:styleId="2ColumnHeading">
    <w:name w:val="2Column Heading"/>
    <w:basedOn w:val="BodyText"/>
    <w:qFormat/>
    <w:rsid w:val="00CA1D62"/>
    <w:pPr>
      <w:spacing w:after="60"/>
      <w:ind w:left="-2268"/>
    </w:pPr>
    <w:rPr>
      <w:b/>
    </w:rPr>
  </w:style>
  <w:style w:type="paragraph" w:customStyle="1" w:styleId="Heading1TOC">
    <w:name w:val="Heading1 TOC"/>
    <w:basedOn w:val="Normal"/>
    <w:qFormat/>
    <w:rsid w:val="00CA1D62"/>
    <w:pPr>
      <w:spacing w:before="240" w:after="120"/>
    </w:pPr>
    <w:rPr>
      <w:rFonts w:ascii="Times New Roman" w:hAnsi="Times New Roman"/>
      <w:b/>
      <w:sz w:val="32"/>
    </w:rPr>
  </w:style>
  <w:style w:type="paragraph" w:customStyle="1" w:styleId="Heading2TOC">
    <w:name w:val="Heading2 TOC"/>
    <w:basedOn w:val="Normal"/>
    <w:qFormat/>
    <w:rsid w:val="00CA1D62"/>
    <w:pPr>
      <w:spacing w:before="240" w:after="60"/>
    </w:pPr>
    <w:rPr>
      <w:rFonts w:ascii="Times New Roman" w:hAnsi="Times New Roman"/>
      <w:b/>
      <w:sz w:val="28"/>
    </w:rPr>
  </w:style>
  <w:style w:type="character" w:customStyle="1" w:styleId="Underline">
    <w:name w:val="Underline"/>
    <w:basedOn w:val="DefaultParagraphFont"/>
    <w:qFormat/>
    <w:rsid w:val="00CA1D62"/>
    <w:rPr>
      <w:u w:val="single"/>
    </w:rPr>
  </w:style>
  <w:style w:type="character" w:customStyle="1" w:styleId="BoldandItalics">
    <w:name w:val="Bold and Italics"/>
    <w:qFormat/>
    <w:rsid w:val="00CA1D62"/>
    <w:rPr>
      <w:b/>
      <w:i/>
      <w:u w:val="none"/>
    </w:rPr>
  </w:style>
  <w:style w:type="paragraph" w:styleId="BalloonText">
    <w:name w:val="Balloon Text"/>
    <w:basedOn w:val="Normal"/>
    <w:link w:val="BalloonTextChar"/>
    <w:rsid w:val="00CA1D62"/>
    <w:rPr>
      <w:rFonts w:ascii="Tahoma" w:hAnsi="Tahoma" w:cs="Tahoma"/>
      <w:sz w:val="16"/>
      <w:szCs w:val="16"/>
    </w:rPr>
  </w:style>
  <w:style w:type="character" w:customStyle="1" w:styleId="BalloonTextChar">
    <w:name w:val="Balloon Text Char"/>
    <w:basedOn w:val="DefaultParagraphFont"/>
    <w:link w:val="BalloonText"/>
    <w:rsid w:val="00CA1D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D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1D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D62"/>
    <w:rPr>
      <w:b/>
      <w:color w:val="660033"/>
      <w:spacing w:val="0"/>
    </w:rPr>
  </w:style>
  <w:style w:type="paragraph" w:customStyle="1" w:styleId="Nameditemlist">
    <w:name w:val="Named item list"/>
    <w:basedOn w:val="BodyText"/>
    <w:qFormat/>
    <w:rsid w:val="00CA1D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1953</Words>
  <Characters>11240</Characters>
  <Application>Microsoft Office Word</Application>
  <DocSecurity>0</DocSecurity>
  <Lines>660</Lines>
  <Paragraphs>278</Paragraphs>
  <ScaleCrop>false</ScaleCrop>
  <Company>Author-it Software Corporation Ltd.</Company>
  <LinksUpToDate>false</LinksUpToDate>
  <CharactersWithSpaces>12934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TDMMB3607B PREPARE A SMALL VESSEL'S MACHINERY FOR SEA WITHIN THE LIMITS OF RESPONSIBILITY OF A MARINE ENGINE DRIVER GRADE 3</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2014-05-06T23:55:00Z</dcterms:created>
  <dcterms:modified xsi:type="dcterms:W3CDTF">2014-05-06T23:55:00Z</dcterms:modified>
</cp:coreProperties>
</file>