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A1A" w:rsidP="00ED7A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TDMMA707B MONITOR THE LOADING, STOWAGE, SECURITY AND UNLOADING OF CARGO</w:t>
      </w:r>
      <w:r>
        <w:fldChar w:fldCharType="end"/>
      </w:r>
    </w:p>
    <w:p w:rsidR="00ED7A1A" w:rsidP="00ED7A1A">
      <w:pPr>
        <w:pStyle w:val="Version"/>
        <w:sectPr w:rsidSect="00BD2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D2CE7" w:rsidP="00BD2CE7">
      <w:pPr>
        <w:pStyle w:val="SuperHeading"/>
      </w:pPr>
      <w:r w:rsidRPr="00BD2CE7">
        <w:t>TDMMA707B MONITOR THE LOADING, STOWAGE, SECURITY AND UNLOADING OF CARGO</w:t>
      </w:r>
    </w:p>
    <w:p w:rsidR="00000000" w:rsidRPr="00BD2CE7" w:rsidP="00BD2CE7">
      <w:pPr>
        <w:pStyle w:val="SuperHeading"/>
      </w:pPr>
    </w:p>
    <w:p w:rsidR="00000000" w:rsidRPr="00BD2CE7" w:rsidP="00BD2CE7">
      <w:pPr>
        <w:pStyle w:val="Heading1"/>
      </w:pPr>
      <w:bookmarkStart w:id="1" w:name="O_150423"/>
      <w:bookmarkEnd w:id="1"/>
      <w:r w:rsidRPr="00BD2CE7">
        <w:t>Modification History</w:t>
      </w:r>
    </w:p>
    <w:p w:rsidR="00000000" w:rsidRPr="00BD2CE7" w:rsidP="00BD2CE7">
      <w:pPr>
        <w:pStyle w:val="BodyText"/>
      </w:pPr>
      <w:r w:rsidRPr="00BD2CE7">
        <w:t>Not applicable.</w:t>
      </w: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2" w:name="O_150424"/>
      <w:bookmarkEnd w:id="2"/>
      <w:r w:rsidRPr="00BD2CE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UNIT DE</w:t>
            </w:r>
            <w:r w:rsidRPr="00BD2CE7">
              <w:t>SCRIPTOR: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This unit involves the skills and knowledge required to monitor and maintain the safe and efficient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 on a commercial vessel</w:t>
            </w:r>
            <w:r w:rsidRPr="00BD2CE7">
              <w:t>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3" w:name="O_150425"/>
      <w:bookmarkEnd w:id="3"/>
      <w:r w:rsidRPr="00BD2CE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The unit has application in qualifications for Master (Unlimited), Watchkeeper (Deck), Master (Less than 500 GT) and Master Class 3, i.e. Advanced Diploma of Transport&amp;Distribution(Maritime Operations - Master Unlimited), Diploma of Transport&amp;Distribution(</w:t>
            </w:r>
            <w:r w:rsidRPr="00BD2CE7">
              <w:t>Maritime Operations - Deck Watchkeeper).and Diploma of Transport&amp;Distribution(Coastal Maritime Operations - Master Class 3).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4" w:name="O_150426"/>
      <w:bookmarkEnd w:id="4"/>
      <w:r w:rsidRPr="00BD2CE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Licensing</w:t>
            </w:r>
            <w:r w:rsidRPr="00BD2CE7">
              <w:t>/</w:t>
            </w:r>
            <w:r w:rsidRPr="00BD2CE7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The unit is consistent with the relevant sections of STCW 95, Marine Orders, the International Ship and Port Facility Security (ISPS) Code and NSCV/USL Code.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5" w:name="O_150428"/>
      <w:bookmarkEnd w:id="5"/>
      <w:r w:rsidRPr="00BD2CE7">
        <w:t>Pre-Requisites</w:t>
      </w:r>
    </w:p>
    <w:p w:rsidR="00000000" w:rsidRPr="00BD2CE7" w:rsidP="00BD2CE7">
      <w:pPr>
        <w:pStyle w:val="BodyText"/>
      </w:pPr>
      <w:r w:rsidRPr="00BD2CE7">
        <w:t>Not applicable.</w:t>
      </w: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6" w:name="O_150427"/>
      <w:bookmarkEnd w:id="6"/>
      <w:r w:rsidRPr="00BD2CE7">
        <w:t>Employability Skills Informatio</w:t>
      </w:r>
      <w:r w:rsidRPr="00BD2CE7">
        <w:t>n</w:t>
      </w:r>
    </w:p>
    <w:p w:rsidR="00000000" w:rsidRPr="00BD2CE7" w:rsidP="00BD2CE7">
      <w:pPr>
        <w:pStyle w:val="BodyText"/>
      </w:pPr>
      <w:r w:rsidRPr="00BD2CE7">
        <w:t>Not applicable.</w:t>
      </w: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7" w:name="O_150429"/>
      <w:bookmarkEnd w:id="7"/>
      <w:r w:rsidRPr="00BD2CE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Emphasis"/>
              </w:rPr>
              <w:t>Elements describe the essential outcomes of a unit of competency</w:t>
            </w:r>
            <w:r w:rsidRPr="00BD2CE7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Emphasis"/>
              </w:rPr>
              <w:t>Performance Criteria describe the required performance needed to demonstrate achievement of the element</w:t>
            </w:r>
            <w:r w:rsidRPr="00BD2CE7">
              <w:t xml:space="preserve">. </w:t>
            </w:r>
            <w:r w:rsidRPr="00BD2CE7">
              <w:rPr>
                <w:rStyle w:val="Emphasis"/>
              </w:rPr>
              <w:t>Assessment of performance is to be consistent with the Evidence Guide</w:t>
            </w:r>
            <w:r w:rsidRPr="00BD2CE7">
              <w:t>.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8" w:name="O_150430"/>
      <w:bookmarkEnd w:id="8"/>
      <w:r w:rsidRPr="00BD2C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2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PERFORMANCE CRITERIA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Supervise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 and unloading of general cargo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Instructions are given to crew and others involved in the cargo operations in accordance with the plan for loading, unloading or stowage of the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Preparations for loading, stowage and unloading are monitored in accordance with procedures and stowage plan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 xml:space="preserve">Compliance with relevant regulations, procedures and instructions pertaining to the type of cargo to be handled is checked prior </w:t>
            </w:r>
            <w:r w:rsidRPr="00BD2CE7">
              <w:t>to and during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d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Techniques used for cargo calculations and handling are monitored to ensure their appropriateness according to the type of cargo to be loaded, stowed or unloaded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e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Checks are made to ensure that cargo is correctly identifie</w:t>
            </w:r>
            <w:r w:rsidRPr="00BD2CE7">
              <w:t>d, inspected and confirmed against documentation prior to commencement of loading, unloading and stowage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f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Loading, stowage and unloading operations are monitored against procedures and stowage plan for the type of cargo involved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g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t>Communication is clear, concise and acknowledged at all times according to good cargo handling practice and regulations</w:t>
            </w:r>
          </w:p>
        </w:tc>
      </w:tr>
    </w:tbl>
    <w:p w:rsidR="00000000" w:rsidRPr="00BD2CE7" w:rsidP="00BD2C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PERFORMANCE CRITERIA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Ensure compliance with safety and hazard control procedures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Safety and hazard control management plan for cargo operations is implemented as per company procedures and regulatory requirements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Checks are made to ensure tests and inspections on cargo handling equipment are correctly conducted as per regulations and company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Cargo handling hazards are identified and action is taken to minimise or eliminate risk to personnel, cargo, vessel and the environment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Safety and hazard minimisation procedures and regulations are maintained at all times during cargo handling operati</w:t>
            </w:r>
            <w:r w:rsidRPr="00BD2CE7">
              <w:t>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Where relevant, precautions and procedures necessary for gas freeing a tank and for the entry of personnel into a tank are supervised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f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Where relevant, procedures and precautions necessary for entry into a pump room or other confined spaces on a vessel are supervised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g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 xml:space="preserve">Action is taken in the event of a cargo handling incident or emergency to secure the cargo and the vessel and maintain </w:t>
            </w:r>
            <w:r w:rsidRPr="00BD2CE7">
              <w:t>the safety of the vessel and persons involved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h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In the event of a safety incident or emergency, a safety incident report and other required documentation on a safety incident is prepared and processed in accordance with company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Supervise ballast management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Checks are made to ensure ballast requirements of port authority are identified and interpreted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Ballast management procedures are supervised in accordance with company procedures and port authority requirements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t>Ballast management problems are identified and necessary action taken to minimise risk to the environment</w:t>
            </w:r>
          </w:p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rPr>
                <w:rStyle w:val="SpecialBold"/>
              </w:rPr>
              <w:t>Complete cargo handling documentation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Independent cargo surveyors are used in the loading, stowage and unloading of cargo in accordance with company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Correct log book entries are made relating to cargo handling operations and incidents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A letter of protest is used in any untoward incident relating to cargo operations and care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List"/>
              <w:rPr>
                <w:lang w:val="en-NZ"/>
              </w:rPr>
            </w:pPr>
            <w:r w:rsidRPr="00BD2CE7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List"/>
            </w:pPr>
            <w:r w:rsidRPr="00BD2CE7">
              <w:t>All cargo handling documentation is completed as per regulations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9" w:name="O_150431"/>
      <w:bookmarkEnd w:id="9"/>
      <w:r w:rsidRPr="00BD2CE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"/>
        <w:gridCol w:w="7"/>
        <w:gridCol w:w="7906"/>
        <w:gridCol w:w="49"/>
        <w:gridCol w:w="9"/>
        <w:gridCol w:w="51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  <w:tblHeader/>
        </w:trPr>
        <w:tc>
          <w:tcPr>
            <w:tcW w:w="839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REQUIRED KNOWLEDGE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839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Emphasis"/>
              </w:rPr>
              <w:t>This describes the knowledge required for this unit</w:t>
            </w:r>
            <w:r w:rsidRPr="00BD2CE7">
              <w:t>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sections of applicable maritime regulations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OH&amp;S and cargo handling legislation, codes of practice, policies and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Procedures and documentation required in the event of an incident during cargo handling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Methods for handling various types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Operational characteristics of different types of shipboard and terminal-based cargo handling equipment a</w:t>
            </w:r>
            <w:r w:rsidRPr="00BD2CE7">
              <w:t>nd facilities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Ways of restricting vessel's stress levels within permitted limits during loading/discharging of dry bulk cargoes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7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Typical cargo handling hazards and problems and appropriate preventative and remedial action and solutions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1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8</w:t>
            </w:r>
          </w:p>
        </w:tc>
        <w:tc>
          <w:tcPr>
            <w:tcW w:w="7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Effects of different types of cargo operations on vessel's trim and stability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9</w:t>
            </w:r>
          </w:p>
        </w:tc>
        <w:tc>
          <w:tcPr>
            <w:tcW w:w="801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Procedures for carrying out calculations involving weights, capacities, stowage factors, load densities, etc., including: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2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10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Effects on cargo handling of wind and weather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11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Ballast management issues and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12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Typical types and sizes of shipping containers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13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Standard stowage position numbering systems used on container vessels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14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Factors that affect the reading of a vessel's draught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15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IMDG Code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16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Cargo handling communication techniques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17</w:t>
            </w:r>
          </w:p>
        </w:tc>
        <w:tc>
          <w:tcPr>
            <w:tcW w:w="7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Cargo handling documentation requirements, including documentation to limit claims on cargo carried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83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83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83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REQUIRED SKILLS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83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Emphasis"/>
              </w:rPr>
              <w:t>This describes the basic skills required for this unit</w:t>
            </w:r>
            <w:r w:rsidRPr="00BD2CE7">
              <w:t>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Read and interpret and apply instructions, regulations, procedures and information relevant to the loading, stowage, security and unloading</w:t>
            </w:r>
            <w:r w:rsidRPr="00BD2CE7">
              <w:t xml:space="preserve">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Communicate effectively with others during the loading, stowage, 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Provide leadership to others on matters related the loading, stowage, 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Take appropriat</w:t>
            </w:r>
            <w:r w:rsidRPr="00BD2CE7">
              <w:t>e initiatives related to the loading, stowage, 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Interpret and apply security and safety practices and regulations when monitoring the loading, stowage, 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Modify activities dependent on diff</w:t>
            </w:r>
            <w:r w:rsidRPr="00BD2CE7">
              <w:t>ering workplace contingencies, risk situations and environments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Identify and solve problems associated with the loading, stowage, security and unloading of cargo and take appropriate action based on available information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Monitor and anticipate proble</w:t>
            </w:r>
            <w:r w:rsidRPr="00BD2CE7">
              <w:t>ms and risks related to the loading, stowage, security and unloading of cargo, and take appropriate action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Adapt to differing types of vessels, port facilities, cargo and equipment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9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Monitor the use of equipment involved in the loading, stowage, security and unloading of cargo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10" w:name="O_150432"/>
      <w:bookmarkEnd w:id="10"/>
      <w:r w:rsidRPr="00BD2CE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60"/>
        <w:gridCol w:w="5398"/>
        <w:gridCol w:w="270"/>
        <w:gridCol w:w="15"/>
        <w:gridCol w:w="28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Evidence Guide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Emphasis"/>
              </w:rPr>
              <w:t>The Evidence Guide provides advice on assessment and must be read in conjunction with the Performance Criteria</w:t>
            </w:r>
            <w:r w:rsidRPr="00BD2CE7">
              <w:t xml:space="preserve">, </w:t>
            </w:r>
            <w:r w:rsidRPr="00BD2CE7">
              <w:rPr>
                <w:rStyle w:val="Emphasis"/>
              </w:rPr>
              <w:t>Required Skills and Knowledge</w:t>
            </w:r>
            <w:r w:rsidRPr="00BD2CE7">
              <w:t xml:space="preserve">, </w:t>
            </w:r>
            <w:r w:rsidRPr="00BD2CE7">
              <w:rPr>
                <w:rStyle w:val="Emphasis"/>
              </w:rPr>
              <w:t>the Range Statement and the Assessment Guidelines for this Training Package</w:t>
            </w:r>
            <w:r w:rsidRPr="00BD2CE7">
              <w:t>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Assessment must confirm appropriate knowledge and skills to: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Monitor and supervise cargo handling operations: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 normal and emergency situations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 normal and adverse weather conditions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across a representative range of typical cargo handling contexts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Ensure compliance with all required safety, environmental and hazard control precautions and procedures when</w:t>
            </w:r>
            <w:r w:rsidRPr="00BD2CE7">
              <w:t xml:space="preserve"> overseeing the handling of cargo during loading/unloading and stowage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Identify typical cargo handling problems and hazards and take appropriate action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Communicate effectively with others during cargo handling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Performance is demonstrated consistently over a period of time and in a suitable range of contexts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Consistently applies underpinning knowledge and skills when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monitoring and supervising cargo handling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identifying and evaluating cargo handling problems and determining appropriate courses of action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identifying and implementing improvements to cargo handling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applying safety precautions relevant to cargo handling operations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assessing operational capability of cargo handling equipment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Shows evidence of application of relevant workplace procedures, including: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maritime regulations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ISM Code and associated vessel's safety management system and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OH&amp;S regulations and hazard prevention policies and procedures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standard operating procedures and work instructions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relevant manufacturer's guidelines relating to the use of machinery, including instructions on equipment capability and limitations</w:t>
            </w:r>
          </w:p>
        </w:tc>
      </w:tr>
    </w:tbl>
    <w:p w:rsidR="00000000" w:rsidRPr="00BD2CE7" w:rsidP="00BD2C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60"/>
        <w:gridCol w:w="357"/>
        <w:gridCol w:w="5041"/>
        <w:gridCol w:w="270"/>
        <w:gridCol w:w="15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Evidence Guide</w:t>
            </w:r>
            <w:r w:rsidRPr="00BD2CE7">
              <w:t xml:space="preserve"> 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Evidence required for demonstration of consistent performance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security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7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following on-board housekeeping processes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d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Action is taken promptly to report and/or rectify accidents and safety incidents in accordance with statutory requirements and company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e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Work is completed systematically with required attention to detail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f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Recognises and adapts appropriately to cultural differences in the workplace, including modes of behaviour and interactions between crew and others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28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Assessment of competency must comply with the assessment requirements of the relevant maritime regulations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Assessment of this unit must be undertaken within relevant marine authority approved and audited arrangements by a registered </w:t>
            </w:r>
            <w:r w:rsidRPr="00BD2CE7">
              <w:t>training organisation: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As a minimum, assessment of knowledge must be conducted through appropriate written/oral examinations, and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Appropriate practical assessment must occur: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at the registered training organisation; and/or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on an appropriate working or training vessel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4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Specific</w:t>
            </w:r>
            <w:r w:rsidRPr="00BD2CE7">
              <w:t xml:space="preserve"> </w:t>
            </w:r>
            <w:r w:rsidRPr="00BD2CE7">
              <w:rPr>
                <w:rStyle w:val="SpecialBold"/>
              </w:rPr>
              <w:t>resources</w:t>
            </w:r>
            <w:r w:rsidRPr="00BD2CE7">
              <w:t xml:space="preserve"> </w:t>
            </w:r>
            <w:r w:rsidRPr="00BD2CE7">
              <w:rPr>
                <w:rStyle w:val="SpecialBold"/>
              </w:rPr>
              <w:t>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Access is required to opportunities to: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monitor and supervise suitably simulated cargo loading/unloading operations over an appropriate range of carg</w:t>
            </w:r>
            <w:r w:rsidRPr="00BD2CE7">
              <w:t>o handling situations, weather and operational conditions; and/or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monitor and supervise the actual cargo loading/unloading operations of a vessel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11" w:name="O_150433"/>
      <w:bookmarkEnd w:id="11"/>
      <w:r w:rsidRPr="00BD2CE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0"/>
        <w:gridCol w:w="1741"/>
        <w:gridCol w:w="368"/>
        <w:gridCol w:w="5749"/>
        <w:gridCol w:w="256"/>
        <w:gridCol w:w="29"/>
        <w:gridCol w:w="18"/>
        <w:gridCol w:w="57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60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Range Statement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7" w:type="dxa"/>
        </w:trPr>
        <w:tc>
          <w:tcPr>
            <w:tcW w:w="851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Emphasis"/>
              </w:rPr>
              <w:t>The Range Statement relates to the unit of competency as a whole</w:t>
            </w:r>
            <w:r w:rsidRPr="00BD2CE7">
              <w:t xml:space="preserve">. </w:t>
            </w:r>
            <w:r w:rsidRPr="00BD2CE7">
              <w:rPr>
                <w:rStyle w:val="Emphasis"/>
              </w:rPr>
              <w:t>It allows for different work environments and situations that may affect performance</w:t>
            </w:r>
            <w:r w:rsidRPr="00BD2CE7">
              <w:t>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7" w:type="dxa"/>
        </w:trPr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VARIABLE</w:t>
            </w:r>
          </w:p>
        </w:tc>
        <w:tc>
          <w:tcPr>
            <w:tcW w:w="642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SCOPE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7" w:type="dxa"/>
        </w:trPr>
        <w:tc>
          <w:tcPr>
            <w:tcW w:w="851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1</w:t>
            </w:r>
            <w:r w:rsidRPr="00BD2CE7">
              <w:t>.</w:t>
            </w:r>
            <w:r w:rsidRPr="00BD2CE7">
              <w:tab/>
            </w:r>
            <w:r w:rsidRPr="00BD2CE7">
              <w:rPr>
                <w:rStyle w:val="SpecialBold"/>
              </w:rPr>
              <w:t>GENERAL CONTEXT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4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4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a</w:t>
            </w:r>
            <w:r w:rsidRPr="00BD2CE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Work must be carried out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 compliance with relevant maritime regulations.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b</w:t>
            </w:r>
            <w:r w:rsidRPr="00BD2CE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Work is performed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relatively independently within broad operational requirements, with limited accountability and responsibility for self and others in achieving </w:t>
            </w:r>
            <w:r w:rsidRPr="00BD2CE7">
              <w:t>the prescribed outcomes.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c</w:t>
            </w:r>
            <w:r w:rsidRPr="00BD2CE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Work involves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the monitoring and supervision of a significant range of cargo handling operations across a wide and often unpredictable variety of cargo types </w:t>
            </w:r>
            <w:r w:rsidRPr="00BD2CE7">
              <w:t>and operational contexts. Monitoring and overseeing the implementation of a broad plan or strategy for cargo handling operations and stowage is required. Defined accountability and responsibility for self and others in achieving the outcomes is involved.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d</w:t>
            </w:r>
            <w:r w:rsidRPr="00BD2CE7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Work requires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limited responsibility in the management of functions related to cargo handling operations and procedures.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4" w:type="dxa"/>
        </w:trPr>
        <w:tc>
          <w:tcPr>
            <w:tcW w:w="8464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2</w:t>
            </w:r>
            <w:r w:rsidRPr="00BD2CE7">
              <w:t>.</w:t>
            </w:r>
            <w:r w:rsidRPr="00BD2CE7">
              <w:tab/>
            </w:r>
            <w:r w:rsidRPr="00BD2CE7">
              <w:rPr>
                <w:rStyle w:val="SpecialBold"/>
              </w:rPr>
              <w:t>WORKSITE ENVIRONMENT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4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a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Cargo may be loaded or unloaded from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any </w:t>
            </w:r>
            <w:r w:rsidRPr="00BD2CE7">
              <w:t>Australian or international commercial vessel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b</w:t>
            </w:r>
          </w:p>
        </w:tc>
        <w:tc>
          <w:tcPr>
            <w:tcW w:w="1741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Cargo handling operations may be carried out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by day or night in both normal and emergency situations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 xml:space="preserve">under any permissible conditions of weather 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at various shoreside loading and discharge terminals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c</w:t>
            </w:r>
          </w:p>
        </w:tc>
        <w:tc>
          <w:tcPr>
            <w:tcW w:w="1741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Types of cargo may include</w:t>
            </w:r>
            <w:r w:rsidRPr="00BD2CE7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general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1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containers</w:t>
            </w:r>
          </w:p>
        </w:tc>
      </w:tr>
    </w:tbl>
    <w:p w:rsidR="00000000" w:rsidRPr="00BD2CE7" w:rsidP="00BD2C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"/>
        <w:gridCol w:w="1738"/>
        <w:gridCol w:w="371"/>
        <w:gridCol w:w="13"/>
        <w:gridCol w:w="49"/>
        <w:gridCol w:w="5687"/>
        <w:gridCol w:w="285"/>
        <w:gridCol w:w="75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0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Range Statement</w:t>
            </w:r>
            <w:r w:rsidRPr="00BD2CE7">
              <w:t xml:space="preserve"> 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VARIABLE</w:t>
            </w:r>
          </w:p>
        </w:tc>
        <w:tc>
          <w:tcPr>
            <w:tcW w:w="648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SCOPE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</w:t>
            </w:r>
          </w:p>
        </w:tc>
        <w:tc>
          <w:tcPr>
            <w:tcW w:w="173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Types of cargo may include</w:t>
            </w:r>
            <w:r w:rsidRPr="00BD2CE7">
              <w:t>: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various types of solid bulk materials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various types of bulk liquids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special and abnormal cargo such as: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</w:t>
            </w:r>
            <w:r w:rsidRPr="00BD2CE7">
              <w:tab/>
              <w:t>refrigerated cargo and containers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ii</w:t>
            </w:r>
            <w:r w:rsidRPr="00BD2CE7">
              <w:tab/>
              <w:t>pig iron, ingots and steel billets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iii</w:t>
            </w:r>
            <w:r w:rsidRPr="00BD2CE7">
              <w:tab/>
            </w:r>
            <w:r w:rsidRPr="00BD2CE7">
              <w:t>mineral concentrates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iv</w:t>
            </w:r>
            <w:r w:rsidRPr="00BD2CE7">
              <w:tab/>
              <w:t>extra heavy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d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Cargo handling equipment may include</w:t>
            </w:r>
            <w:r w:rsidRPr="00BD2CE7">
              <w:t>:</w:t>
            </w: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single swinging derricks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union purchase derricks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shipboard cranes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terminal-based cranes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pumps, valves and hoses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e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Cargo handling hazards may include</w:t>
            </w:r>
            <w:r w:rsidRPr="00BD2CE7">
              <w:t>:</w:t>
            </w: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faulty cargo handling equipment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damaged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cargo handling operations in poor weather or sea conditions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incorrectly stowed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incorrectly lashed or secured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using equipment beyond safe working limits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7</w:t>
            </w:r>
          </w:p>
        </w:tc>
        <w:tc>
          <w:tcPr>
            <w:tcW w:w="610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non-compliance with safe working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f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Documentation and records</w:t>
            </w:r>
            <w:r w:rsidRPr="00BD2CE7">
              <w:t xml:space="preserve"> </w:t>
            </w:r>
            <w:r w:rsidRPr="00BD2CE7">
              <w:rPr>
                <w:rStyle w:val="SpecialBold"/>
              </w:rPr>
              <w:t>may include</w:t>
            </w:r>
            <w:r w:rsidRPr="00BD2CE7">
              <w:t>:</w:t>
            </w: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ISM Code safety management system plans, procedures, checklists and instructions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cargo handling operational orders and instructions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maritime regulations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vessel's log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vessel's 'Cargo Securing Manual'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vessel's Register of Materials Handling Equipment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7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vessel/shore safety checklist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8</w:t>
            </w:r>
          </w:p>
        </w:tc>
        <w:tc>
          <w:tcPr>
            <w:tcW w:w="60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 xml:space="preserve">company cargo handling procedures </w:t>
            </w:r>
          </w:p>
        </w:tc>
      </w:tr>
    </w:tbl>
    <w:p w:rsidR="00000000" w:rsidRPr="00BD2CE7" w:rsidP="00BD2C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"/>
        <w:gridCol w:w="1738"/>
        <w:gridCol w:w="371"/>
        <w:gridCol w:w="62"/>
        <w:gridCol w:w="5687"/>
        <w:gridCol w:w="360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0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Range Statement</w:t>
            </w:r>
            <w:r w:rsidRPr="00BD2CE7">
              <w:t xml:space="preserve"> 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TDMMA707B MONITOR THE LOADING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STOWAGE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SECURITY AND UNLOADING OF CARGO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VARIABLE</w:t>
            </w:r>
          </w:p>
        </w:tc>
        <w:tc>
          <w:tcPr>
            <w:tcW w:w="648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SCOPE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f</w:t>
            </w:r>
          </w:p>
        </w:tc>
        <w:tc>
          <w:tcPr>
            <w:tcW w:w="173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Documentation and records</w:t>
            </w:r>
            <w:r w:rsidRPr="00BD2CE7">
              <w:t xml:space="preserve"> </w:t>
            </w:r>
            <w:r w:rsidRPr="00BD2CE7">
              <w:rPr>
                <w:rStyle w:val="SpecialBold"/>
              </w:rPr>
              <w:t>may include</w:t>
            </w:r>
            <w:r w:rsidRPr="00BD2CE7">
              <w:t>:(</w:t>
            </w:r>
            <w:r w:rsidRPr="00BD2CE7">
              <w:rPr>
                <w:rStyle w:val="SpecialBold"/>
              </w:rPr>
              <w:t>continued</w:t>
            </w:r>
            <w:r w:rsidRPr="00BD2CE7">
              <w:t xml:space="preserve">) </w:t>
            </w:r>
          </w:p>
        </w:tc>
        <w:tc>
          <w:tcPr>
            <w:tcW w:w="43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9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</w:p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cargo handling equipment manufacturer's instructions and recommended procedures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10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instructions of relevant maritime authorities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11</w:t>
            </w:r>
          </w:p>
        </w:tc>
        <w:tc>
          <w:tcPr>
            <w:tcW w:w="6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Australian and international standards and regulatory requirements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rPr>
                <w:rStyle w:val="SpecialBold"/>
              </w:rPr>
              <w:t>g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Applicable legislation</w:t>
            </w:r>
            <w:r w:rsidRPr="00BD2CE7">
              <w:t xml:space="preserve">, </w:t>
            </w:r>
            <w:r w:rsidRPr="00BD2CE7">
              <w:rPr>
                <w:rStyle w:val="SpecialBold"/>
              </w:rPr>
              <w:t>regulations and codes may include</w:t>
            </w:r>
            <w:r w:rsidRPr="00BD2CE7">
              <w:t>:</w:t>
            </w: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1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sections of IMO STCW 95 Convention and Code related to cargo handling, including the International Ship and Port Facility Security (ISPS) Code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2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sections of AMSA Marine Orders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3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sections of State and Territory maritime regulations, NSCV and USL Code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4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relevant international, Commonwealth, State and Territory OH&amp;S legislation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5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International Grain Code</w:t>
            </w:r>
          </w:p>
        </w:tc>
      </w:tr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t>6</w:t>
            </w:r>
          </w:p>
        </w:tc>
        <w:tc>
          <w:tcPr>
            <w:tcW w:w="6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Lumber load-line requirements and the Code of Safe Practice for Ships carrying Timber Deck Cargo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12" w:name="O_150434"/>
      <w:bookmarkEnd w:id="12"/>
      <w:r w:rsidRPr="00BD2CE7">
        <w:t>Unit Sector(s)</w:t>
      </w:r>
    </w:p>
    <w:p w:rsidR="00000000" w:rsidRPr="00BD2CE7" w:rsidP="00BD2CE7">
      <w:pPr>
        <w:pStyle w:val="BodyText"/>
      </w:pPr>
      <w:r w:rsidRPr="00BD2CE7">
        <w:t>Not applicable.</w:t>
      </w:r>
    </w:p>
    <w:p w:rsidR="00000000" w:rsidRPr="00BD2CE7" w:rsidP="00BD2CE7">
      <w:pPr>
        <w:pStyle w:val="AllowPageBreak"/>
      </w:pPr>
    </w:p>
    <w:p w:rsidR="00000000" w:rsidRPr="00BD2CE7" w:rsidP="00BD2CE7">
      <w:pPr>
        <w:pStyle w:val="Heading1"/>
      </w:pPr>
      <w:bookmarkStart w:id="13" w:name="O_163636"/>
      <w:bookmarkEnd w:id="13"/>
      <w:r w:rsidRPr="00BD2CE7">
        <w:t>Field</w:t>
      </w:r>
    </w:p>
    <w:p w:rsidR="00ED7A1A" w:rsidP="00BD2CE7">
      <w:pPr>
        <w:pStyle w:val="BodyText"/>
      </w:pPr>
      <w:r w:rsidRPr="00BD2CE7">
        <w:t>Field</w:t>
      </w:r>
      <w:r w:rsidRPr="00BD2CE7">
        <w:tab/>
        <w:t>MA</w:t>
      </w:r>
      <w:r w:rsidRPr="00BD2CE7">
        <w:tab/>
        <w:t>Handling Cargo and Vessel Stability</w:t>
      </w:r>
    </w:p>
    <w:p w:rsidR="00ED7A1A" w:rsidP="00BD2CE7">
      <w:pPr>
        <w:pStyle w:val="BodyText"/>
      </w:pPr>
    </w:p>
    <w:p w:rsidR="00000000" w:rsidRPr="00BD2CE7" w:rsidP="00BD2CE7">
      <w:pPr>
        <w:pStyle w:val="Heading1"/>
      </w:pPr>
      <w:bookmarkStart w:id="14" w:name="O_163637"/>
      <w:bookmarkEnd w:id="14"/>
      <w:r w:rsidRPr="00BD2CE7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E7">
            <w:pPr>
              <w:pStyle w:val="BodyText"/>
              <w:rPr>
                <w:lang w:val="en-NZ"/>
              </w:rPr>
            </w:pPr>
            <w:r w:rsidRPr="00BD2CE7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E7" w:rsidP="00BD2CE7">
            <w:pPr>
              <w:pStyle w:val="BodyText"/>
            </w:pPr>
            <w:r w:rsidRPr="00BD2CE7">
              <w:t>The unit may be assessed in conjunction with other units that form part of a maritime job function.</w:t>
            </w:r>
          </w:p>
        </w:tc>
      </w:tr>
    </w:tbl>
    <w:p w:rsidR="00000000" w:rsidRPr="00BD2CE7" w:rsidP="00BD2CE7">
      <w:pPr>
        <w:pStyle w:val="BodyText"/>
      </w:pPr>
    </w:p>
    <w:p w:rsidR="00000000" w:rsidRPr="00BD2CE7" w:rsidP="00BD2CE7"/>
    <w:sectPr w:rsidSect="00BD2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7A1A" w:rsidP="00ED7A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1A" w:rsidP="00BD2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ED7A1A" w:rsidP="00BD2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D7A1A" w:rsidP="00BD2C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E7" w:rsidRPr="00ED7A1A" w:rsidP="00ED7A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1A" w:rsidRPr="002D2AF8" w:rsidP="00BD2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TDMMA707B MONITOR THE LOADING, STOWAGE, SECURITY AND UNLOADING OF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ED7A1A" w:rsidP="00BD2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CE7"/>
  </w:style>
  <w:style w:type="character" w:customStyle="1" w:styleId="Heading1Char">
    <w:name w:val="Heading 1 Char"/>
    <w:basedOn w:val="DefaultParagraphFont"/>
    <w:link w:val="Heading1"/>
    <w:rsid w:val="00BD2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C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CE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D2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CE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D2CE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D2CE7"/>
    <w:rPr>
      <w:b/>
      <w:spacing w:val="0"/>
    </w:rPr>
  </w:style>
  <w:style w:type="character" w:styleId="Emphasis">
    <w:name w:val="Emphasis"/>
    <w:basedOn w:val="DefaultParagraphFont"/>
    <w:qFormat/>
    <w:rsid w:val="00BD2CE7"/>
    <w:rPr>
      <w:i/>
    </w:rPr>
  </w:style>
  <w:style w:type="paragraph" w:customStyle="1" w:styleId="SuperHeading">
    <w:name w:val="SuperHeading"/>
    <w:basedOn w:val="Normal"/>
    <w:rsid w:val="00BD2C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2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2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CE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D2C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2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C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C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CE7"/>
  </w:style>
  <w:style w:type="paragraph" w:styleId="TableofFigures">
    <w:name w:val="table of figures"/>
    <w:basedOn w:val="Normal"/>
    <w:next w:val="Normal"/>
    <w:semiHidden/>
    <w:rsid w:val="00BD2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CE7"/>
    <w:pPr>
      <w:numPr>
        <w:numId w:val="9"/>
      </w:numPr>
    </w:pPr>
  </w:style>
  <w:style w:type="character" w:customStyle="1" w:styleId="WingdingSymbols">
    <w:name w:val="Wingding Symbols"/>
    <w:rsid w:val="00BD2CE7"/>
    <w:rPr>
      <w:rFonts w:ascii="Wingdings" w:hAnsi="Wingdings"/>
    </w:rPr>
  </w:style>
  <w:style w:type="paragraph" w:customStyle="1" w:styleId="TableHeading">
    <w:name w:val="Table Heading"/>
    <w:basedOn w:val="HeadingBase"/>
    <w:rsid w:val="00BD2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CE7"/>
    <w:rPr>
      <w:color w:val="0033CC"/>
      <w:u w:val="none"/>
    </w:rPr>
  </w:style>
  <w:style w:type="paragraph" w:customStyle="1" w:styleId="BodyTextRight">
    <w:name w:val="Body Text Right"/>
    <w:basedOn w:val="BodyText"/>
    <w:rsid w:val="00BD2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C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CE7"/>
    <w:rPr>
      <w:sz w:val="32"/>
    </w:rPr>
  </w:style>
  <w:style w:type="paragraph" w:customStyle="1" w:styleId="HeadingProcedure">
    <w:name w:val="Heading Procedure"/>
    <w:basedOn w:val="HeadingBase"/>
    <w:next w:val="Normal"/>
    <w:rsid w:val="00BD2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CE7"/>
    <w:pPr>
      <w:spacing w:before="60" w:after="60"/>
    </w:pPr>
  </w:style>
  <w:style w:type="paragraph" w:styleId="ListContinue">
    <w:name w:val="List Continue"/>
    <w:basedOn w:val="List"/>
    <w:rsid w:val="00BD2CE7"/>
    <w:pPr>
      <w:ind w:firstLine="0"/>
    </w:pPr>
  </w:style>
  <w:style w:type="paragraph" w:customStyle="1" w:styleId="ListNote">
    <w:name w:val="List Note"/>
    <w:basedOn w:val="List"/>
    <w:rsid w:val="00BD2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CE7"/>
    <w:rPr>
      <w:rFonts w:ascii="Courier New" w:hAnsi="Courier New"/>
    </w:rPr>
  </w:style>
  <w:style w:type="paragraph" w:customStyle="1" w:styleId="NoteBullet">
    <w:name w:val="Note Bullet"/>
    <w:basedOn w:val="Note"/>
    <w:rsid w:val="00BD2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C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CE7"/>
    <w:rPr>
      <w:b/>
      <w:smallCaps/>
    </w:rPr>
  </w:style>
  <w:style w:type="paragraph" w:customStyle="1" w:styleId="TableListNumber">
    <w:name w:val="Table List Number"/>
    <w:basedOn w:val="ListNumber"/>
    <w:rsid w:val="00BD2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CE7"/>
    <w:pPr>
      <w:numPr>
        <w:numId w:val="7"/>
      </w:numPr>
    </w:pPr>
  </w:style>
  <w:style w:type="paragraph" w:customStyle="1" w:styleId="ListAlpha2">
    <w:name w:val="List Alpha 2"/>
    <w:basedOn w:val="List2"/>
    <w:rsid w:val="00BD2CE7"/>
    <w:pPr>
      <w:numPr>
        <w:numId w:val="6"/>
      </w:numPr>
    </w:pPr>
  </w:style>
  <w:style w:type="paragraph" w:styleId="List2">
    <w:name w:val="List 2"/>
    <w:basedOn w:val="BodyText"/>
    <w:rsid w:val="00BD2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C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CE7"/>
    <w:pPr>
      <w:numPr>
        <w:numId w:val="1"/>
      </w:numPr>
    </w:pPr>
  </w:style>
  <w:style w:type="paragraph" w:styleId="ListBullet5">
    <w:name w:val="List Bullet 5"/>
    <w:basedOn w:val="List5"/>
    <w:rsid w:val="00BD2CE7"/>
    <w:pPr>
      <w:numPr>
        <w:numId w:val="2"/>
      </w:numPr>
    </w:pPr>
  </w:style>
  <w:style w:type="paragraph" w:styleId="ListContinue2">
    <w:name w:val="List Continue 2"/>
    <w:basedOn w:val="List2"/>
    <w:rsid w:val="00BD2CE7"/>
    <w:pPr>
      <w:ind w:firstLine="0"/>
    </w:pPr>
  </w:style>
  <w:style w:type="paragraph" w:styleId="ListContinue3">
    <w:name w:val="List Continue 3"/>
    <w:basedOn w:val="List3"/>
    <w:rsid w:val="00BD2CE7"/>
    <w:pPr>
      <w:ind w:left="1021" w:firstLine="0"/>
    </w:pPr>
  </w:style>
  <w:style w:type="paragraph" w:styleId="ListContinue4">
    <w:name w:val="List Continue 4"/>
    <w:basedOn w:val="List4"/>
    <w:rsid w:val="00BD2CE7"/>
    <w:pPr>
      <w:ind w:firstLine="0"/>
    </w:pPr>
  </w:style>
  <w:style w:type="paragraph" w:styleId="ListContinue5">
    <w:name w:val="List Continue 5"/>
    <w:basedOn w:val="List5"/>
    <w:rsid w:val="00BD2CE7"/>
    <w:pPr>
      <w:ind w:firstLine="0"/>
    </w:pPr>
  </w:style>
  <w:style w:type="paragraph" w:styleId="ListNumber3">
    <w:name w:val="List Number 3"/>
    <w:basedOn w:val="List3"/>
    <w:rsid w:val="00BD2CE7"/>
    <w:pPr>
      <w:numPr>
        <w:numId w:val="3"/>
      </w:numPr>
    </w:pPr>
  </w:style>
  <w:style w:type="paragraph" w:styleId="ListNumber4">
    <w:name w:val="List Number 4"/>
    <w:basedOn w:val="List4"/>
    <w:rsid w:val="00BD2CE7"/>
    <w:pPr>
      <w:numPr>
        <w:numId w:val="4"/>
      </w:numPr>
    </w:pPr>
  </w:style>
  <w:style w:type="paragraph" w:styleId="ListNumber5">
    <w:name w:val="List Number 5"/>
    <w:basedOn w:val="List5"/>
    <w:rsid w:val="00BD2CE7"/>
    <w:pPr>
      <w:numPr>
        <w:numId w:val="5"/>
      </w:numPr>
    </w:pPr>
  </w:style>
  <w:style w:type="paragraph" w:styleId="BlockText">
    <w:name w:val="Block Text"/>
    <w:basedOn w:val="Normal"/>
    <w:rsid w:val="00BD2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CE7"/>
    <w:rPr>
      <w:sz w:val="16"/>
      <w:vertAlign w:val="superscript"/>
    </w:rPr>
  </w:style>
  <w:style w:type="character" w:customStyle="1" w:styleId="Symbols">
    <w:name w:val="Symbols"/>
    <w:basedOn w:val="DefaultParagraphFont"/>
    <w:rsid w:val="00BD2CE7"/>
    <w:rPr>
      <w:rFonts w:ascii="Symbol" w:hAnsi="Symbol"/>
    </w:rPr>
  </w:style>
  <w:style w:type="character" w:customStyle="1" w:styleId="MenuOptions">
    <w:name w:val="Menu Options"/>
    <w:basedOn w:val="DefaultParagraphFont"/>
    <w:rsid w:val="00BD2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CE7"/>
    <w:rPr>
      <w:b/>
    </w:rPr>
  </w:style>
  <w:style w:type="character" w:customStyle="1" w:styleId="Underlined">
    <w:name w:val="Underlined"/>
    <w:basedOn w:val="DefaultParagraphFont"/>
    <w:rsid w:val="00BD2CE7"/>
    <w:rPr>
      <w:u w:val="single"/>
    </w:rPr>
  </w:style>
  <w:style w:type="paragraph" w:customStyle="1" w:styleId="TableBodyTextRight">
    <w:name w:val="Table Body Text Right"/>
    <w:basedOn w:val="TableBodyText"/>
    <w:rsid w:val="00BD2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CE7"/>
    <w:rPr>
      <w:sz w:val="18"/>
    </w:rPr>
  </w:style>
  <w:style w:type="paragraph" w:customStyle="1" w:styleId="BodySmallRight">
    <w:name w:val="Body Small Right"/>
    <w:basedOn w:val="BodyTextRight"/>
    <w:rsid w:val="00BD2CE7"/>
    <w:rPr>
      <w:sz w:val="18"/>
      <w:szCs w:val="18"/>
    </w:rPr>
  </w:style>
  <w:style w:type="paragraph" w:customStyle="1" w:styleId="MarginEdition">
    <w:name w:val="Margin Edition"/>
    <w:basedOn w:val="MarginNote"/>
    <w:rsid w:val="00BD2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CE7"/>
    <w:rPr>
      <w:sz w:val="2"/>
      <w:szCs w:val="2"/>
    </w:rPr>
  </w:style>
  <w:style w:type="character" w:customStyle="1" w:styleId="Small">
    <w:name w:val="Small"/>
    <w:basedOn w:val="DefaultParagraphFont"/>
    <w:rsid w:val="00BD2CE7"/>
    <w:rPr>
      <w:sz w:val="16"/>
    </w:rPr>
  </w:style>
  <w:style w:type="paragraph" w:customStyle="1" w:styleId="WideTable">
    <w:name w:val="Wide Table"/>
    <w:basedOn w:val="Normal"/>
    <w:rsid w:val="00BD2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CE7"/>
  </w:style>
  <w:style w:type="paragraph" w:styleId="Quote">
    <w:name w:val="Quote"/>
    <w:basedOn w:val="Heading1"/>
    <w:link w:val="QuoteChar"/>
    <w:qFormat/>
    <w:rsid w:val="00BD2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CE7"/>
    <w:pPr>
      <w:pageBreakBefore/>
    </w:pPr>
  </w:style>
  <w:style w:type="paragraph" w:customStyle="1" w:styleId="Border">
    <w:name w:val="Border"/>
    <w:basedOn w:val="Normal"/>
    <w:qFormat/>
    <w:rsid w:val="00BD2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CE7"/>
    <w:rPr>
      <w:u w:val="single"/>
    </w:rPr>
  </w:style>
  <w:style w:type="character" w:customStyle="1" w:styleId="BoldandItalics">
    <w:name w:val="Bold and Italics"/>
    <w:qFormat/>
    <w:rsid w:val="00BD2CE7"/>
    <w:rPr>
      <w:b/>
      <w:i/>
      <w:u w:val="none"/>
    </w:rPr>
  </w:style>
  <w:style w:type="paragraph" w:styleId="BalloonText">
    <w:name w:val="Balloon Text"/>
    <w:basedOn w:val="Normal"/>
    <w:link w:val="BalloonTextChar"/>
    <w:rsid w:val="00BD2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C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C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2118</Words>
  <Characters>13105</Characters>
  <Application>Microsoft Office Word</Application>
  <DocSecurity>0</DocSecurity>
  <Lines>936</Lines>
  <Paragraphs>434</Paragraphs>
  <ScaleCrop>false</ScaleCrop>
  <Company>Author-it Software Corporation Ltd.</Company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TDMMA707B MONITOR THE LOADING, STOWAGE, SECURITY AND UNLOADING OF CARGO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2012-10-10T05:30:00Z</dcterms:created>
  <dcterms:modified xsi:type="dcterms:W3CDTF">2012-10-10T05:31:00Z</dcterms:modified>
</cp:coreProperties>
</file>