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F7F" w:rsidP="00F15F7F">
      <w:pPr>
        <w:pStyle w:val="Title"/>
      </w:pPr>
      <w:bookmarkStart w:id="0" w:name="_GoBack"/>
      <w:bookmarkEnd w:id="0"/>
      <w:r>
        <w:fldChar w:fldCharType="begin"/>
      </w:r>
      <w:r>
        <w:instrText xml:space="preserve"> TITLE   \* MERGEFORMAT </w:instrText>
      </w:r>
      <w:r>
        <w:fldChar w:fldCharType="separate"/>
      </w:r>
      <w:r>
        <w:t>TDMMA1207B MANAGE STRESS AND DYNAMIC FACTORS AFFECTING A SMALL VESSEL'S STABILITY</w:t>
      </w:r>
      <w:r>
        <w:fldChar w:fldCharType="end"/>
      </w:r>
    </w:p>
    <w:p w:rsidR="00F15F7F" w:rsidP="00F15F7F">
      <w:pPr>
        <w:pStyle w:val="Version"/>
        <w:sectPr w:rsidSect="00DF6A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AD8" w:rsidP="00DF6AD8">
      <w:pPr>
        <w:pStyle w:val="SuperHeading"/>
      </w:pPr>
      <w:r w:rsidRPr="00DF6AD8">
        <w:t>TDMMA1207B MANAGE STRESS AND DYNAMIC FACTORS AFFECTING A SMALL VESSEL'S STABILITY</w:t>
      </w:r>
    </w:p>
    <w:p w:rsidR="00000000" w:rsidRPr="00DF6AD8" w:rsidP="00DF6AD8">
      <w:pPr>
        <w:pStyle w:val="Heading1"/>
      </w:pPr>
      <w:bookmarkStart w:id="1" w:name="O_150327"/>
      <w:bookmarkEnd w:id="1"/>
      <w:r w:rsidRPr="00DF6AD8">
        <w:t>Modification History</w:t>
      </w:r>
    </w:p>
    <w:p w:rsidR="00000000" w:rsidRPr="00DF6AD8" w:rsidP="00DF6AD8">
      <w:pPr>
        <w:pStyle w:val="BodyText"/>
      </w:pPr>
      <w:r w:rsidRPr="00DF6AD8">
        <w:t>Not applicable.</w:t>
      </w:r>
    </w:p>
    <w:p w:rsidR="00000000" w:rsidRPr="00DF6AD8" w:rsidP="00DF6AD8">
      <w:pPr>
        <w:pStyle w:val="AllowPageBreak"/>
      </w:pPr>
    </w:p>
    <w:p w:rsidR="00000000" w:rsidRPr="00DF6AD8" w:rsidP="00DF6AD8">
      <w:pPr>
        <w:pStyle w:val="Heading1"/>
      </w:pPr>
      <w:bookmarkStart w:id="2" w:name="O_150328"/>
      <w:bookmarkEnd w:id="2"/>
      <w:r w:rsidRPr="00DF6AD8">
        <w:t>Unit Descripto</w:t>
      </w:r>
      <w:r w:rsidRPr="00DF6AD8">
        <w:t>r</w:t>
      </w:r>
    </w:p>
    <w:tbl>
      <w:tblPr>
        <w:tblW w:w="0" w:type="auto"/>
        <w:tblLayout w:type="fixed"/>
        <w:tblCellMar>
          <w:left w:w="62" w:type="dxa"/>
          <w:right w:w="62" w:type="dxa"/>
        </w:tblCellMar>
        <w:tblLook w:val="0000"/>
      </w:tblPr>
      <w:tblGrid>
        <w:gridCol w:w="1974"/>
        <w:gridCol w:w="6481"/>
      </w:tblGrid>
      <w:tr w:rsidTr="00F15F7F">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r w:rsidRPr="00DF6AD8">
              <w:t>UNIT DESCRIPTOR:</w:t>
            </w:r>
          </w:p>
          <w:p w:rsidR="00000000" w:rsidP="00DF6AD8">
            <w:pPr>
              <w:pStyle w:val="BodyText"/>
              <w:rPr>
                <w:lang w:val="en-NZ"/>
              </w:rPr>
            </w:pPr>
            <w:r w:rsidRPr="00DF6AD8">
              <w:rPr>
                <w:rStyle w:val="SpecialBold"/>
              </w:rPr>
              <w:t>This unit involves the skills and knowledge required to manage the stress and dynamic factors affecting the stability of a small commercial vessel using basic stability criteria</w:t>
            </w:r>
            <w:r w:rsidRPr="00DF6AD8">
              <w:t xml:space="preserve">. </w:t>
            </w:r>
            <w:r w:rsidRPr="00DF6AD8">
              <w:rPr>
                <w:rStyle w:val="SpecialBold"/>
              </w:rPr>
              <w:t>This includes interpreting basic stability criteria</w:t>
            </w:r>
            <w:r w:rsidRPr="00DF6AD8">
              <w:t xml:space="preserve">, </w:t>
            </w:r>
            <w:r w:rsidRPr="00DF6AD8">
              <w:rPr>
                <w:rStyle w:val="SpecialBold"/>
              </w:rPr>
              <w:t>carry</w:t>
            </w:r>
            <w:r w:rsidRPr="00DF6AD8">
              <w:rPr>
                <w:rStyle w:val="SpecialBold"/>
              </w:rPr>
              <w:t>ing out required stability calculations</w:t>
            </w:r>
            <w:r w:rsidRPr="00DF6AD8">
              <w:t xml:space="preserve">, </w:t>
            </w:r>
            <w:r w:rsidRPr="00DF6AD8">
              <w:rPr>
                <w:rStyle w:val="SpecialBold"/>
              </w:rPr>
              <w:t>correlating and interpreting calculated stability data</w:t>
            </w:r>
            <w:r w:rsidRPr="00DF6AD8">
              <w:t xml:space="preserve">, </w:t>
            </w:r>
            <w:r w:rsidRPr="00DF6AD8">
              <w:rPr>
                <w:rStyle w:val="SpecialBold"/>
              </w:rPr>
              <w:t>managing stability and stress conditions within safety parameters and communicating the stability information t others as required</w:t>
            </w:r>
            <w:r w:rsidRPr="00DF6AD8">
              <w:t>.</w:t>
            </w:r>
          </w:p>
        </w:tc>
      </w:tr>
      <w:tr w:rsidTr="00F15F7F">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DF6AD8" w:rsidP="00DF6AD8">
            <w:pPr>
              <w:pStyle w:val="BodyText"/>
            </w:pPr>
          </w:p>
        </w:tc>
      </w:tr>
    </w:tbl>
    <w:p w:rsidR="00000000" w:rsidRPr="00DF6AD8" w:rsidP="00DF6AD8">
      <w:pPr>
        <w:pStyle w:val="BodyText"/>
      </w:pPr>
    </w:p>
    <w:p w:rsidR="00000000" w:rsidRPr="00DF6AD8" w:rsidP="00DF6AD8">
      <w:pPr>
        <w:pStyle w:val="AllowPageBreak"/>
      </w:pPr>
    </w:p>
    <w:p w:rsidR="00000000" w:rsidRPr="00DF6AD8" w:rsidP="00DF6AD8">
      <w:pPr>
        <w:pStyle w:val="Heading1"/>
      </w:pPr>
      <w:bookmarkStart w:id="3" w:name="O_150329"/>
      <w:bookmarkEnd w:id="3"/>
      <w:r w:rsidRPr="00DF6AD8">
        <w:t>Application of the Unit</w:t>
      </w:r>
    </w:p>
    <w:tbl>
      <w:tblPr>
        <w:tblW w:w="0" w:type="auto"/>
        <w:tblLayout w:type="fixed"/>
        <w:tblCellMar>
          <w:left w:w="62" w:type="dxa"/>
          <w:right w:w="62" w:type="dxa"/>
        </w:tblCellMar>
        <w:tblLook w:val="0000"/>
      </w:tblPr>
      <w:tblGrid>
        <w:gridCol w:w="1974"/>
        <w:gridCol w:w="6481"/>
      </w:tblGrid>
      <w:tr w:rsidTr="00F15F7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r w:rsidRPr="00DF6AD8">
              <w:t>The unit has applications in qualifications for a Master 4 and Skipper 2 operating a vessel of less than 80 metres in length within inshore limits (15 nm) and less than 35 metres within ACMW (600 nm), i.e. Ce</w:t>
            </w:r>
            <w:r w:rsidRPr="00DF6AD8">
              <w:t>rtificate IV in Transport&amp;Distribution (Coastal Maritime Operations - Master Class 4). This includes but is not limited to the manoeuvring of passenger vessels, ferries, charter vessels, tourist craft, fishing vessels, harbour service vessels, salvage vess</w:t>
            </w:r>
            <w:r w:rsidRPr="00DF6AD8">
              <w:t>els, tugs, etc.</w:t>
            </w:r>
          </w:p>
        </w:tc>
      </w:tr>
    </w:tbl>
    <w:p w:rsidR="00000000" w:rsidRPr="00DF6AD8" w:rsidP="00DF6AD8">
      <w:pPr>
        <w:pStyle w:val="BodyText"/>
      </w:pPr>
    </w:p>
    <w:p w:rsidR="00000000" w:rsidRPr="00DF6AD8" w:rsidP="00DF6AD8">
      <w:pPr>
        <w:pStyle w:val="AllowPageBreak"/>
      </w:pPr>
    </w:p>
    <w:p w:rsidR="00000000" w:rsidRPr="00DF6AD8" w:rsidP="00DF6AD8">
      <w:pPr>
        <w:pStyle w:val="Heading1"/>
      </w:pPr>
      <w:bookmarkStart w:id="4" w:name="O_150330"/>
      <w:bookmarkEnd w:id="4"/>
      <w:r w:rsidRPr="00DF6AD8">
        <w:t>Licensing/Regulatory Information</w:t>
      </w:r>
    </w:p>
    <w:tbl>
      <w:tblPr>
        <w:tblW w:w="0" w:type="auto"/>
        <w:tblLayout w:type="fixed"/>
        <w:tblCellMar>
          <w:left w:w="62" w:type="dxa"/>
          <w:right w:w="62" w:type="dxa"/>
        </w:tblCellMar>
        <w:tblLook w:val="0000"/>
      </w:tblPr>
      <w:tblGrid>
        <w:gridCol w:w="1974"/>
        <w:gridCol w:w="6481"/>
      </w:tblGrid>
      <w:tr w:rsidTr="00F15F7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Licensing</w:t>
            </w:r>
            <w:r w:rsidRPr="00DF6AD8">
              <w:t>/</w:t>
            </w:r>
            <w:r w:rsidRPr="00DF6AD8">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r w:rsidRPr="00DF6AD8">
              <w:t xml:space="preserve">The unit is consistent with the relevant maritime regulations describing mandatory minimum requirements for a Master 4/Skipper 2. This includes </w:t>
            </w:r>
            <w:r w:rsidRPr="00DF6AD8">
              <w:t>applicable sections of State/Territory maritime licensing and regulatory requirements and the National Standard for Commercial Vessels (NSCV).and the USL Code.</w:t>
            </w:r>
          </w:p>
        </w:tc>
      </w:tr>
    </w:tbl>
    <w:p w:rsidR="00000000" w:rsidRPr="00DF6AD8" w:rsidP="00DF6AD8">
      <w:pPr>
        <w:pStyle w:val="BodyText"/>
      </w:pPr>
    </w:p>
    <w:p w:rsidR="00000000" w:rsidRPr="00DF6AD8" w:rsidP="00DF6AD8">
      <w:pPr>
        <w:pStyle w:val="AllowPageBreak"/>
      </w:pPr>
    </w:p>
    <w:p w:rsidR="00000000" w:rsidRPr="00DF6AD8" w:rsidP="00DF6AD8">
      <w:pPr>
        <w:pStyle w:val="Heading1"/>
      </w:pPr>
      <w:bookmarkStart w:id="5" w:name="O_150332"/>
      <w:bookmarkEnd w:id="5"/>
      <w:r w:rsidRPr="00DF6AD8">
        <w:t>Pre-Requisites</w:t>
      </w:r>
    </w:p>
    <w:p w:rsidR="00000000" w:rsidRPr="00DF6AD8" w:rsidP="00DF6AD8">
      <w:pPr>
        <w:pStyle w:val="BodyText"/>
      </w:pPr>
      <w:r w:rsidRPr="00DF6AD8">
        <w:t>Not applicable.</w:t>
      </w:r>
    </w:p>
    <w:p w:rsidR="00000000" w:rsidRPr="00DF6AD8" w:rsidP="00DF6AD8">
      <w:pPr>
        <w:pStyle w:val="AllowPageBreak"/>
      </w:pPr>
    </w:p>
    <w:p w:rsidR="00000000" w:rsidRPr="00DF6AD8" w:rsidP="00DF6AD8">
      <w:pPr>
        <w:pStyle w:val="Heading1"/>
      </w:pPr>
      <w:bookmarkStart w:id="6" w:name="O_150331"/>
      <w:bookmarkEnd w:id="6"/>
      <w:r w:rsidRPr="00DF6AD8">
        <w:t>Employability Skills Information</w:t>
      </w:r>
    </w:p>
    <w:p w:rsidR="00000000" w:rsidRPr="00DF6AD8" w:rsidP="00DF6AD8">
      <w:pPr>
        <w:pStyle w:val="BodyText"/>
      </w:pPr>
      <w:r w:rsidRPr="00DF6AD8">
        <w:t>Not applicable.</w:t>
      </w:r>
    </w:p>
    <w:p w:rsidR="00000000" w:rsidRPr="00DF6AD8" w:rsidP="00DF6AD8">
      <w:pPr>
        <w:pStyle w:val="AllowPageBreak"/>
      </w:pPr>
    </w:p>
    <w:p w:rsidR="00000000" w:rsidRPr="00DF6AD8" w:rsidP="00DF6AD8">
      <w:pPr>
        <w:pStyle w:val="Heading1"/>
      </w:pPr>
      <w:bookmarkStart w:id="7" w:name="O_150333"/>
      <w:bookmarkEnd w:id="7"/>
      <w:r w:rsidRPr="00DF6AD8">
        <w:t>Elements and Performance Criteria Pre-Content</w:t>
      </w:r>
    </w:p>
    <w:tbl>
      <w:tblPr>
        <w:tblW w:w="0" w:type="auto"/>
        <w:tblLayout w:type="fixed"/>
        <w:tblCellMar>
          <w:left w:w="62" w:type="dxa"/>
          <w:right w:w="62" w:type="dxa"/>
        </w:tblCellMar>
        <w:tblLook w:val="0000"/>
      </w:tblPr>
      <w:tblGrid>
        <w:gridCol w:w="1946"/>
        <w:gridCol w:w="6485"/>
      </w:tblGrid>
      <w:tr w:rsidTr="00F15F7F">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DF6AD8" w:rsidP="00DF6AD8">
            <w:pPr>
              <w:pStyle w:val="BodyText"/>
            </w:pPr>
            <w:r w:rsidRPr="00DF6AD8">
              <w:rPr>
                <w:rStyle w:val="Emphasis"/>
              </w:rPr>
              <w:t>Elements describe the essential outcomes of a unit of competency</w:t>
            </w:r>
            <w:r w:rsidRPr="00DF6AD8">
              <w:t>.</w:t>
            </w:r>
          </w:p>
        </w:tc>
        <w:tc>
          <w:tcPr>
            <w:tcW w:w="6485" w:type="dxa"/>
            <w:tcBorders>
              <w:top w:val="single" w:sz="6" w:space="0" w:color="auto"/>
              <w:left w:val="single" w:sz="6" w:space="0" w:color="auto"/>
              <w:bottom w:val="nil"/>
              <w:right w:val="nil"/>
            </w:tcBorders>
            <w:tcMar>
              <w:top w:w="0" w:type="dxa"/>
              <w:left w:w="62" w:type="dxa"/>
              <w:bottom w:w="0" w:type="dxa"/>
              <w:right w:w="62" w:type="dxa"/>
            </w:tcMar>
          </w:tcPr>
          <w:p w:rsidR="00000000" w:rsidRPr="00DF6AD8" w:rsidP="00DF6AD8">
            <w:pPr>
              <w:pStyle w:val="BodyText"/>
            </w:pPr>
            <w:r w:rsidRPr="00DF6AD8">
              <w:rPr>
                <w:rStyle w:val="Emphasis"/>
              </w:rPr>
              <w:t>Performance Criteria describe the required performance needed to demonstrate a</w:t>
            </w:r>
            <w:r w:rsidRPr="00DF6AD8">
              <w:rPr>
                <w:rStyle w:val="Emphasis"/>
              </w:rPr>
              <w:t>chievement of the element</w:t>
            </w:r>
            <w:r w:rsidRPr="00DF6AD8">
              <w:t xml:space="preserve">. </w:t>
            </w:r>
            <w:r w:rsidRPr="00DF6AD8">
              <w:rPr>
                <w:rStyle w:val="Emphasis"/>
              </w:rPr>
              <w:t>Assessment of performance is to be consistent with the Evidence Guide</w:t>
            </w:r>
            <w:r w:rsidRPr="00DF6AD8">
              <w:t>.</w:t>
            </w:r>
          </w:p>
        </w:tc>
      </w:tr>
    </w:tbl>
    <w:p w:rsidR="00000000" w:rsidRPr="00DF6AD8" w:rsidP="00DF6AD8">
      <w:pPr>
        <w:pStyle w:val="BodyText"/>
      </w:pPr>
    </w:p>
    <w:p w:rsidR="00000000" w:rsidRPr="00DF6AD8" w:rsidP="00DF6AD8">
      <w:pPr>
        <w:pStyle w:val="AllowPageBreak"/>
      </w:pPr>
    </w:p>
    <w:p w:rsidR="00000000" w:rsidRPr="00DF6AD8" w:rsidP="00DF6AD8">
      <w:pPr>
        <w:pStyle w:val="Heading1"/>
      </w:pPr>
      <w:bookmarkStart w:id="8" w:name="O_150334"/>
      <w:bookmarkEnd w:id="8"/>
      <w:r w:rsidRPr="00DF6AD8">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31"/>
        <w:gridCol w:w="90"/>
      </w:tblGrid>
      <w:tr w:rsidTr="00F15F7F">
        <w:tblPrEx>
          <w:tblW w:w="0" w:type="auto"/>
          <w:tblLayout w:type="fixed"/>
          <w:tblCellMar>
            <w:left w:w="62" w:type="dxa"/>
            <w:right w:w="62" w:type="dxa"/>
          </w:tblCellMar>
          <w:tblLook w:val="0000"/>
        </w:tblPrEx>
        <w:trPr>
          <w:gridAfter w:val="1"/>
          <w:wAfter w:w="9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F6AD8" w:rsidP="00DF6AD8">
            <w:pPr>
              <w:pStyle w:val="BodyText"/>
            </w:pPr>
            <w:r w:rsidRPr="00DF6AD8">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rPr>
                <w:rStyle w:val="SpecialBold"/>
              </w:rPr>
              <w:t>PERFORMANCE CRITERIA</w:t>
            </w:r>
          </w:p>
        </w:tc>
      </w:tr>
      <w:tr w:rsidTr="00F15F7F">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DF6AD8">
            <w:pPr>
              <w:pStyle w:val="BodyText"/>
              <w:rPr>
                <w:lang w:val="en-NZ"/>
              </w:rPr>
            </w:pPr>
            <w:r w:rsidRPr="00DF6AD8">
              <w:t>.</w:t>
            </w:r>
          </w:p>
        </w:tc>
        <w:tc>
          <w:tcPr>
            <w:tcW w:w="648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w:t>
            </w:r>
          </w:p>
        </w:tc>
      </w:tr>
      <w:tr w:rsidTr="00F15F7F">
        <w:tblPrEx>
          <w:tblW w:w="0" w:type="auto"/>
          <w:tblLayout w:type="fixed"/>
          <w:tblCellMar>
            <w:left w:w="62" w:type="dxa"/>
            <w:right w:w="62" w:type="dxa"/>
          </w:tblCellMar>
          <w:tblLook w:val="0000"/>
        </w:tblPrEx>
        <w:trPr>
          <w:gridAfter w:val="1"/>
          <w:wAfter w:w="90" w:type="dxa"/>
        </w:trPr>
        <w:tc>
          <w:tcPr>
            <w:tcW w:w="340" w:type="dxa"/>
            <w:vMerge w:val="restart"/>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Interpret basic stability criteria</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a</w:t>
            </w:r>
          </w:p>
        </w:tc>
        <w:tc>
          <w:tcPr>
            <w:tcW w:w="6035"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Vessel stability data book is located, accessed and interpreted in accordance with established procedures</w:t>
            </w:r>
          </w:p>
        </w:tc>
      </w:tr>
      <w:tr w:rsidTr="00F15F7F">
        <w:tblPrEx>
          <w:tblW w:w="0" w:type="auto"/>
          <w:tblLayout w:type="fixed"/>
          <w:tblCellMar>
            <w:left w:w="62" w:type="dxa"/>
            <w:right w:w="62" w:type="dxa"/>
          </w:tblCellMar>
          <w:tblLook w:val="0000"/>
        </w:tblPrEx>
        <w:trPr>
          <w:gridAfter w:val="1"/>
          <w:wAfter w:w="9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b</w:t>
            </w:r>
          </w:p>
        </w:tc>
        <w:tc>
          <w:tcPr>
            <w:tcW w:w="6035"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Stability data for the vessel is interpreted and applied in the management of vessel to ensure it is operated within the safety parameters set by</w:t>
            </w:r>
            <w:r w:rsidRPr="00DF6AD8">
              <w:t xml:space="preserve"> marine regulations</w:t>
            </w:r>
          </w:p>
        </w:tc>
      </w:tr>
      <w:tr w:rsidTr="00F15F7F">
        <w:tblPrEx>
          <w:tblW w:w="0" w:type="auto"/>
          <w:tblLayout w:type="fixed"/>
          <w:tblCellMar>
            <w:left w:w="62" w:type="dxa"/>
            <w:right w:w="62" w:type="dxa"/>
          </w:tblCellMar>
          <w:tblLook w:val="0000"/>
        </w:tblPrEx>
        <w:trPr>
          <w:gridAfter w:val="2"/>
          <w:wAfter w:w="12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1"/>
          <w:wAfter w:w="90" w:type="dxa"/>
        </w:trPr>
        <w:tc>
          <w:tcPr>
            <w:tcW w:w="340" w:type="dxa"/>
            <w:vMerge w:val="restart"/>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Calculate</w:t>
            </w:r>
            <w:r w:rsidRPr="00DF6AD8">
              <w:t xml:space="preserve">, </w:t>
            </w:r>
            <w:r w:rsidRPr="00DF6AD8">
              <w:rPr>
                <w:rStyle w:val="SpecialBold"/>
              </w:rPr>
              <w:t>correlate and interpret basic stability data</w:t>
            </w:r>
          </w:p>
        </w:tc>
        <w:tc>
          <w:tcPr>
            <w:tcW w:w="34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a</w:t>
            </w:r>
          </w:p>
        </w:tc>
        <w:tc>
          <w:tcPr>
            <w:tcW w:w="6055"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Basic stability calculations are accurately carried out in accordance with procedures and regulations</w:t>
            </w:r>
          </w:p>
        </w:tc>
      </w:tr>
      <w:tr w:rsidTr="00F15F7F">
        <w:tblPrEx>
          <w:tblW w:w="0" w:type="auto"/>
          <w:tblLayout w:type="fixed"/>
          <w:tblCellMar>
            <w:left w:w="62" w:type="dxa"/>
            <w:right w:w="62" w:type="dxa"/>
          </w:tblCellMar>
          <w:tblLook w:val="0000"/>
        </w:tblPrEx>
        <w:trPr>
          <w:gridAfter w:val="1"/>
          <w:wAfter w:w="9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b</w:t>
            </w:r>
          </w:p>
        </w:tc>
        <w:tc>
          <w:tcPr>
            <w:tcW w:w="6055" w:type="dxa"/>
            <w:gridSpan w:val="3"/>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t>Calculated stability data is correlated with the basic stability criteria set out in the vessel's approved stability book</w:t>
            </w:r>
          </w:p>
        </w:tc>
      </w:tr>
    </w:tbl>
    <w:p w:rsidR="00000000" w:rsidRPr="00DF6AD8" w:rsidP="00DF6AD8">
      <w:pPr>
        <w:pStyle w:val="BodyText"/>
      </w:pPr>
    </w:p>
    <w:tbl>
      <w:tblPr>
        <w:tblW w:w="0" w:type="auto"/>
        <w:tblLayout w:type="fixed"/>
        <w:tblCellMar>
          <w:left w:w="62" w:type="dxa"/>
          <w:right w:w="62" w:type="dxa"/>
        </w:tblCellMar>
        <w:tblLook w:val="0000"/>
      </w:tblPr>
      <w:tblGrid>
        <w:gridCol w:w="8388"/>
      </w:tblGrid>
      <w:tr w:rsidTr="00F15F7F">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p>
        </w:tc>
      </w:tr>
    </w:tbl>
    <w:p w:rsidR="00000000" w:rsidRPr="00DF6AD8" w:rsidP="00DF6AD8">
      <w:pPr>
        <w:pStyle w:val="BodyText"/>
      </w:pPr>
    </w:p>
    <w:tbl>
      <w:tblPr>
        <w:tblW w:w="0" w:type="auto"/>
        <w:tblLayout w:type="fixed"/>
        <w:tblCellMar>
          <w:left w:w="62" w:type="dxa"/>
          <w:right w:w="62" w:type="dxa"/>
        </w:tblCellMar>
        <w:tblLook w:val="0000"/>
      </w:tblPr>
      <w:tblGrid>
        <w:gridCol w:w="340"/>
        <w:gridCol w:w="1606"/>
        <w:gridCol w:w="340"/>
        <w:gridCol w:w="20"/>
        <w:gridCol w:w="6004"/>
        <w:gridCol w:w="31"/>
        <w:gridCol w:w="178"/>
      </w:tblGrid>
      <w:tr w:rsidTr="00F15F7F">
        <w:tblPrEx>
          <w:tblW w:w="0" w:type="auto"/>
          <w:tblLayout w:type="fixed"/>
          <w:tblCellMar>
            <w:left w:w="62" w:type="dxa"/>
            <w:right w:w="62" w:type="dxa"/>
          </w:tblCellMar>
          <w:tblLook w:val="0000"/>
        </w:tblPrEx>
        <w:trPr>
          <w:gridAfter w:val="1"/>
          <w:wAfter w:w="178"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F6AD8" w:rsidP="00DF6AD8">
            <w:pPr>
              <w:pStyle w:val="BodyText"/>
            </w:pPr>
            <w:r w:rsidRPr="00DF6AD8">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rPr>
                <w:rStyle w:val="SpecialBold"/>
              </w:rPr>
              <w:t>PERFORMANCE CRITERIA</w:t>
            </w:r>
          </w:p>
        </w:tc>
      </w:tr>
      <w:tr w:rsidTr="00F15F7F">
        <w:tblPrEx>
          <w:tblW w:w="0" w:type="auto"/>
          <w:tblLayout w:type="fixed"/>
          <w:tblCellMar>
            <w:left w:w="62" w:type="dxa"/>
            <w:right w:w="62" w:type="dxa"/>
          </w:tblCellMar>
          <w:tblLook w:val="0000"/>
        </w:tblPrEx>
        <w:trPr>
          <w:gridAfter w:val="1"/>
          <w:wAfter w:w="178" w:type="dxa"/>
        </w:trPr>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DF6AD8" w:rsidP="00DF6AD8">
            <w:pPr>
              <w:pStyle w:val="BodyText"/>
            </w:pPr>
          </w:p>
          <w:p w:rsidR="00000000" w:rsidP="00DF6AD8">
            <w:pPr>
              <w:pStyle w:val="BodyText"/>
              <w:rPr>
                <w:lang w:val="en-NZ"/>
              </w:rPr>
            </w:pPr>
            <w:r w:rsidRPr="00DF6AD8">
              <w:rPr>
                <w:rStyle w:val="SpecialBold"/>
              </w:rPr>
              <w:t>2</w:t>
            </w:r>
          </w:p>
        </w:tc>
        <w:tc>
          <w:tcPr>
            <w:tcW w:w="1606"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DF6AD8" w:rsidP="00DF6AD8">
            <w:pPr>
              <w:pStyle w:val="BodyText"/>
            </w:pPr>
          </w:p>
          <w:p w:rsidR="00000000" w:rsidRPr="00DF6AD8" w:rsidP="00DF6AD8">
            <w:pPr>
              <w:pStyle w:val="BodyText"/>
            </w:pPr>
            <w:r w:rsidRPr="00DF6AD8">
              <w:rPr>
                <w:rStyle w:val="SpecialBold"/>
              </w:rPr>
              <w:t>Calculate</w:t>
            </w:r>
            <w:r w:rsidRPr="00DF6AD8">
              <w:t xml:space="preserve">, </w:t>
            </w:r>
            <w:r w:rsidRPr="00DF6AD8">
              <w:rPr>
                <w:rStyle w:val="SpecialBold"/>
              </w:rPr>
              <w:t>correlate and interpret basic stability data</w:t>
            </w:r>
          </w:p>
          <w:p w:rsidR="00000000" w:rsidP="00DF6AD8">
            <w:pPr>
              <w:pStyle w:val="BodyText"/>
              <w:rPr>
                <w:lang w:val="en-NZ"/>
              </w:rPr>
            </w:pPr>
            <w:r w:rsidRPr="00DF6AD8">
              <w:t>(</w:t>
            </w:r>
            <w:r w:rsidRPr="00DF6AD8">
              <w:rPr>
                <w:rStyle w:val="SpecialBold"/>
              </w:rPr>
              <w:t>continued</w:t>
            </w:r>
            <w:r w:rsidRPr="00DF6AD8">
              <w:t>)</w:t>
            </w:r>
          </w:p>
        </w:tc>
        <w:tc>
          <w:tcPr>
            <w:tcW w:w="340" w:type="dxa"/>
            <w:tcBorders>
              <w:top w:val="nil"/>
              <w:left w:val="single" w:sz="6" w:space="0" w:color="auto"/>
              <w:bottom w:val="nil"/>
              <w:right w:val="nil"/>
            </w:tcBorders>
            <w:tcMar>
              <w:top w:w="0" w:type="dxa"/>
              <w:left w:w="62" w:type="dxa"/>
              <w:bottom w:w="0" w:type="dxa"/>
              <w:right w:w="62" w:type="dxa"/>
            </w:tcMar>
          </w:tcPr>
          <w:p w:rsidR="00000000" w:rsidRPr="00DF6AD8" w:rsidP="00DF6AD8">
            <w:pPr>
              <w:pStyle w:val="BodyText"/>
            </w:pPr>
          </w:p>
          <w:p w:rsidR="00000000" w:rsidP="00DF6AD8">
            <w:pPr>
              <w:pStyle w:val="BodyText"/>
              <w:rPr>
                <w:lang w:val="en-NZ"/>
              </w:rPr>
            </w:pPr>
            <w:r w:rsidRPr="00DF6AD8">
              <w:t>c</w:t>
            </w:r>
          </w:p>
        </w:tc>
        <w:tc>
          <w:tcPr>
            <w:tcW w:w="6055" w:type="dxa"/>
            <w:gridSpan w:val="3"/>
            <w:tcBorders>
              <w:top w:val="nil"/>
              <w:left w:val="nil"/>
              <w:bottom w:val="nil"/>
              <w:right w:val="nil"/>
            </w:tcBorders>
            <w:tcMar>
              <w:top w:w="0" w:type="dxa"/>
              <w:left w:w="62" w:type="dxa"/>
              <w:bottom w:w="0" w:type="dxa"/>
              <w:right w:w="62" w:type="dxa"/>
            </w:tcMar>
          </w:tcPr>
          <w:p w:rsidR="00000000" w:rsidRPr="00DF6AD8" w:rsidP="00DF6AD8">
            <w:pPr>
              <w:pStyle w:val="BodyText"/>
            </w:pPr>
          </w:p>
          <w:p w:rsidR="00000000" w:rsidP="00DF6AD8">
            <w:pPr>
              <w:pStyle w:val="BodyText"/>
              <w:rPr>
                <w:lang w:val="en-NZ"/>
              </w:rPr>
            </w:pPr>
            <w:r w:rsidRPr="00DF6AD8">
              <w:t>Vessel's stability is maintained within design operating limits</w:t>
            </w:r>
          </w:p>
        </w:tc>
      </w:tr>
      <w:tr w:rsidTr="00F15F7F">
        <w:tblPrEx>
          <w:tblW w:w="0" w:type="auto"/>
          <w:tblLayout w:type="fixed"/>
          <w:tblCellMar>
            <w:left w:w="62" w:type="dxa"/>
            <w:right w:w="62" w:type="dxa"/>
          </w:tblCellMar>
          <w:tblLook w:val="0000"/>
        </w:tblPrEx>
        <w:trPr>
          <w:gridAfter w:val="1"/>
          <w:wAfter w:w="178" w:type="dxa"/>
        </w:trPr>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t>d</w:t>
            </w:r>
          </w:p>
        </w:tc>
        <w:tc>
          <w:tcPr>
            <w:tcW w:w="6055"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Unsafe or false information from stability analysis is promptly recognised and recalculated or checked</w:t>
            </w:r>
          </w:p>
        </w:tc>
      </w:tr>
      <w:tr w:rsidTr="00F15F7F">
        <w:tblPrEx>
          <w:tblW w:w="0" w:type="auto"/>
          <w:tblLayout w:type="fixed"/>
          <w:tblCellMar>
            <w:left w:w="62" w:type="dxa"/>
            <w:right w:w="62" w:type="dxa"/>
          </w:tblCellMar>
          <w:tblLook w:val="0000"/>
        </w:tblPrEx>
        <w:trPr>
          <w:gridAfter w:val="2"/>
          <w:wAfter w:w="20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1"/>
          <w:wAfter w:w="178" w:type="dxa"/>
        </w:trPr>
        <w:tc>
          <w:tcPr>
            <w:tcW w:w="340" w:type="dxa"/>
            <w:vMerge w:val="restart"/>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Take action to manage stress and dynamic factors affecting vessel stability</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a</w:t>
            </w:r>
          </w:p>
        </w:tc>
        <w:tc>
          <w:tcPr>
            <w:tcW w:w="6035"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The monitoring of stability and stress conditions of vessel is at a frequency and scope relevant to the nature and speed of vessel's operations and anticipated weather and sea conditions, or in an emergency and is sufficient to enable stress and stabilit</w:t>
            </w:r>
            <w:r w:rsidRPr="00DF6AD8">
              <w:t>y to be maintained within acceptable limits at all times</w:t>
            </w:r>
          </w:p>
        </w:tc>
      </w:tr>
      <w:tr w:rsidTr="00F15F7F">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b</w:t>
            </w:r>
          </w:p>
        </w:tc>
        <w:tc>
          <w:tcPr>
            <w:tcW w:w="6035"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Appropriate action is taken promptly where stress and stability factors have or could exceed acceptable safety limits and in anticipation of </w:t>
            </w:r>
            <w:r w:rsidRPr="00DF6AD8">
              <w:t>environmental changes that may affect stresses and stability of the vessel</w:t>
            </w:r>
          </w:p>
        </w:tc>
      </w:tr>
      <w:tr w:rsidTr="00F15F7F">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c</w:t>
            </w:r>
          </w:p>
        </w:tc>
        <w:tc>
          <w:tcPr>
            <w:tcW w:w="6035"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Appropriate precautions are taken where vessel operations may affect the stress and stability conditions of the vessel</w:t>
            </w:r>
          </w:p>
        </w:tc>
      </w:tr>
      <w:tr w:rsidTr="00F15F7F">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d</w:t>
            </w:r>
          </w:p>
        </w:tc>
        <w:tc>
          <w:tcPr>
            <w:tcW w:w="6035"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Prompt and appropriate action is taken where</w:t>
            </w:r>
            <w:r w:rsidRPr="00DF6AD8">
              <w:t xml:space="preserve"> weight distribution is compromising vessel safety</w:t>
            </w:r>
          </w:p>
        </w:tc>
      </w:tr>
      <w:tr w:rsidTr="00F15F7F">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e</w:t>
            </w:r>
          </w:p>
        </w:tc>
        <w:tc>
          <w:tcPr>
            <w:tcW w:w="6035"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Action taken in emergency situations is appropriate to the significance of the situation and designed to maintain stresses and stability of vessel within safe limits</w:t>
            </w:r>
          </w:p>
        </w:tc>
      </w:tr>
      <w:tr w:rsidTr="00F15F7F">
        <w:tblPrEx>
          <w:tblW w:w="0" w:type="auto"/>
          <w:tblLayout w:type="fixed"/>
          <w:tblCellMar>
            <w:left w:w="62" w:type="dxa"/>
            <w:right w:w="62" w:type="dxa"/>
          </w:tblCellMar>
          <w:tblLook w:val="0000"/>
        </w:tblPrEx>
        <w:trPr>
          <w:gridAfter w:val="1"/>
          <w:wAfter w:w="17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f</w:t>
            </w:r>
          </w:p>
        </w:tc>
        <w:tc>
          <w:tcPr>
            <w:tcW w:w="6035" w:type="dxa"/>
            <w:gridSpan w:val="2"/>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t>Instructions to others are clear, concise, appropriate and timely</w:t>
            </w:r>
          </w:p>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2"/>
          <w:wAfter w:w="20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Maintain records of stability management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a</w:t>
            </w:r>
          </w:p>
        </w:tc>
        <w:tc>
          <w:tcPr>
            <w:tcW w:w="6213"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Appropriate records are kept of all action taken to monitor and manage the stress and dynamic factors affecting a vessel's stability</w:t>
            </w:r>
          </w:p>
        </w:tc>
      </w:tr>
      <w:tr w:rsidTr="00F15F7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b</w:t>
            </w:r>
          </w:p>
        </w:tc>
        <w:tc>
          <w:tcPr>
            <w:tcW w:w="6213" w:type="dxa"/>
            <w:gridSpan w:val="3"/>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t>Relevant information on vessel stability and action to manage stress and dynamic factors affecting vessel stability are correctly communicated to others as required</w:t>
            </w:r>
          </w:p>
        </w:tc>
      </w:tr>
    </w:tbl>
    <w:p w:rsidR="00000000" w:rsidRPr="00DF6AD8" w:rsidP="00DF6AD8">
      <w:pPr>
        <w:pStyle w:val="BodyText"/>
      </w:pPr>
    </w:p>
    <w:tbl>
      <w:tblPr>
        <w:tblW w:w="0" w:type="auto"/>
        <w:tblLayout w:type="fixed"/>
        <w:tblCellMar>
          <w:left w:w="62" w:type="dxa"/>
          <w:right w:w="62" w:type="dxa"/>
        </w:tblCellMar>
        <w:tblLook w:val="0000"/>
      </w:tblPr>
      <w:tblGrid>
        <w:gridCol w:w="8388"/>
      </w:tblGrid>
      <w:tr w:rsidTr="00F15F7F">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p>
        </w:tc>
      </w:tr>
    </w:tbl>
    <w:p w:rsidR="00F15F7F" w:rsidP="00DF6AD8">
      <w:pPr>
        <w:pStyle w:val="BodyText"/>
      </w:pPr>
    </w:p>
    <w:p w:rsidR="00F15F7F" w:rsidP="00DF6AD8">
      <w:pPr>
        <w:pStyle w:val="BodyText"/>
      </w:pPr>
    </w:p>
    <w:p w:rsidR="00000000" w:rsidRPr="00DF6AD8" w:rsidP="00DF6AD8">
      <w:pPr>
        <w:pStyle w:val="Heading1"/>
      </w:pPr>
      <w:bookmarkStart w:id="9" w:name="O_150335"/>
      <w:bookmarkEnd w:id="9"/>
      <w:r w:rsidRPr="00DF6AD8">
        <w:t>Required Skills and Knowledge</w:t>
      </w:r>
    </w:p>
    <w:tbl>
      <w:tblPr>
        <w:tblW w:w="0" w:type="auto"/>
        <w:tblLayout w:type="fixed"/>
        <w:tblCellMar>
          <w:left w:w="62" w:type="dxa"/>
          <w:right w:w="62" w:type="dxa"/>
        </w:tblCellMar>
        <w:tblLook w:val="0000"/>
      </w:tblPr>
      <w:tblGrid>
        <w:gridCol w:w="423"/>
        <w:gridCol w:w="7906"/>
        <w:gridCol w:w="190"/>
      </w:tblGrid>
      <w:tr w:rsidTr="00F15F7F">
        <w:tblPrEx>
          <w:tblW w:w="0" w:type="auto"/>
          <w:tblLayout w:type="fixed"/>
          <w:tblCellMar>
            <w:left w:w="62" w:type="dxa"/>
            <w:right w:w="62" w:type="dxa"/>
          </w:tblCellMar>
          <w:tblLook w:val="0000"/>
        </w:tblPrEx>
        <w:trPr>
          <w:tblHeader/>
        </w:trPr>
        <w:tc>
          <w:tcPr>
            <w:tcW w:w="8519"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rPr>
                <w:rStyle w:val="SpecialBold"/>
              </w:rPr>
              <w:t>REQUIRED KNOWLEDGE</w:t>
            </w:r>
          </w:p>
        </w:tc>
      </w:tr>
      <w:tr w:rsidTr="00F15F7F">
        <w:tblPrEx>
          <w:tblW w:w="0" w:type="auto"/>
          <w:tblLayout w:type="fixed"/>
          <w:tblCellMar>
            <w:left w:w="62" w:type="dxa"/>
            <w:right w:w="62" w:type="dxa"/>
          </w:tblCellMar>
          <w:tblLook w:val="0000"/>
        </w:tblPrEx>
        <w:tc>
          <w:tcPr>
            <w:tcW w:w="8519"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rPr>
                <w:rStyle w:val="Emphasis"/>
              </w:rPr>
              <w:t xml:space="preserve">This </w:t>
            </w:r>
            <w:r w:rsidRPr="00DF6AD8">
              <w:rPr>
                <w:rStyle w:val="Emphasis"/>
              </w:rPr>
              <w:t>describes the knowledge required for this unit</w:t>
            </w:r>
            <w:r w:rsidRPr="00DF6AD8">
              <w:t>.</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Relevant maritime regulations</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Relevant OH&amp;S legislation and policies</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3</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The principal stresses which act on the structure of a small vessel</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4</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Co</w:t>
            </w:r>
            <w:r w:rsidRPr="00DF6AD8">
              <w:t>nstruction features and stress characteristics for small commercial vessels engaged on coastal voyages</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5</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Principles of small vessel stability, including appropriate stability criteria required under regulatory requirements for the types of vessel concern</w:t>
            </w:r>
            <w:r w:rsidRPr="00DF6AD8">
              <w:t>ed</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6</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An understanding of the information contained in the typical stability data books supplied to each small vessel and how this information is used to maintain the vessel in a stable condition during operations</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7</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Procedures for carrying out calculati</w:t>
            </w:r>
            <w:r w:rsidRPr="00DF6AD8">
              <w:t>ons associated with vessel stability using basic stability criteria calculations, including interpreting and correlating the resultant data</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8</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Factors which affect the rolling period of a vessel</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9</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Relationship between light displacement, loaded displacement and deadweight tonnage</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10</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Conditions of stable, neutral and unstable equilibrium and the effects of disturbing a vessel from the upright</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11</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Steps involved in bringing an unstable vessel to a </w:t>
            </w:r>
            <w:r w:rsidRPr="00DF6AD8">
              <w:t>stable condition</w:t>
            </w:r>
          </w:p>
        </w:tc>
      </w:tr>
      <w:tr w:rsidTr="00F15F7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12</w:t>
            </w:r>
          </w:p>
        </w:tc>
        <w:tc>
          <w:tcPr>
            <w:tcW w:w="809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Problems and the stress and dynamic factors affecting the stability of small vessels engaged in coastal voyages and appropriate precautionary/remedial action and solutions</w:t>
            </w:r>
          </w:p>
        </w:tc>
      </w:tr>
      <w:tr w:rsidTr="00F15F7F">
        <w:tblPrEx>
          <w:tblW w:w="0" w:type="auto"/>
          <w:tblLayout w:type="fixed"/>
          <w:tblCellMar>
            <w:left w:w="62" w:type="dxa"/>
            <w:right w:w="62" w:type="dxa"/>
          </w:tblCellMar>
          <w:tblLook w:val="0000"/>
        </w:tblPrEx>
        <w:trPr>
          <w:gridAfter w:val="1"/>
          <w:wAfter w:w="190"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13</w:t>
            </w:r>
          </w:p>
        </w:tc>
        <w:tc>
          <w:tcPr>
            <w:tcW w:w="79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Procedures for managing the stress and stability conditions of a vessel in preparation for adverse sea and weather conditions</w:t>
            </w:r>
          </w:p>
        </w:tc>
      </w:tr>
      <w:tr w:rsidTr="00F15F7F">
        <w:tblPrEx>
          <w:tblW w:w="0" w:type="auto"/>
          <w:tblLayout w:type="fixed"/>
          <w:tblCellMar>
            <w:left w:w="62" w:type="dxa"/>
            <w:right w:w="62" w:type="dxa"/>
          </w:tblCellMar>
          <w:tblLook w:val="0000"/>
        </w:tblPrEx>
        <w:trPr>
          <w:gridAfter w:val="1"/>
          <w:wAfter w:w="190"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14</w:t>
            </w:r>
          </w:p>
        </w:tc>
        <w:tc>
          <w:tcPr>
            <w:tcW w:w="79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Procedures for managing the stress and stability conditions of a vessel during emergency situations that may involve flooding </w:t>
            </w:r>
            <w:r w:rsidRPr="00DF6AD8">
              <w:t>and/or damage to the hull and structure of the vessel</w:t>
            </w:r>
          </w:p>
        </w:tc>
      </w:tr>
      <w:tr w:rsidTr="00F15F7F">
        <w:tblPrEx>
          <w:tblW w:w="0" w:type="auto"/>
          <w:tblLayout w:type="fixed"/>
          <w:tblCellMar>
            <w:left w:w="62" w:type="dxa"/>
            <w:right w:w="62" w:type="dxa"/>
          </w:tblCellMar>
          <w:tblLook w:val="0000"/>
        </w:tblPrEx>
        <w:trPr>
          <w:gridAfter w:val="1"/>
          <w:wAfter w:w="190"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15</w:t>
            </w:r>
          </w:p>
        </w:tc>
        <w:tc>
          <w:tcPr>
            <w:tcW w:w="79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Effects of density of sea water on the draught and freeboard of a vessel, including the effects on a vessel's draught when moving from fresh to salt water and vice versa</w:t>
            </w:r>
          </w:p>
        </w:tc>
      </w:tr>
      <w:tr w:rsidTr="00F15F7F">
        <w:tblPrEx>
          <w:tblW w:w="0" w:type="auto"/>
          <w:tblLayout w:type="fixed"/>
          <w:tblCellMar>
            <w:left w:w="62" w:type="dxa"/>
            <w:right w:w="62" w:type="dxa"/>
          </w:tblCellMar>
          <w:tblLook w:val="0000"/>
        </w:tblPrEx>
        <w:trPr>
          <w:gridAfter w:val="1"/>
          <w:wAfter w:w="190"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16</w:t>
            </w:r>
          </w:p>
        </w:tc>
        <w:tc>
          <w:tcPr>
            <w:tcW w:w="7906" w:type="dxa"/>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t>Maritime communication t</w:t>
            </w:r>
            <w:r w:rsidRPr="00DF6AD8">
              <w:t>echniques</w:t>
            </w:r>
          </w:p>
        </w:tc>
      </w:tr>
    </w:tbl>
    <w:p w:rsidR="00000000" w:rsidRPr="00DF6AD8" w:rsidP="00DF6AD8">
      <w:pPr>
        <w:pStyle w:val="BodyText"/>
      </w:pPr>
    </w:p>
    <w:tbl>
      <w:tblPr>
        <w:tblW w:w="0" w:type="auto"/>
        <w:tblLayout w:type="fixed"/>
        <w:tblCellMar>
          <w:left w:w="62" w:type="dxa"/>
          <w:right w:w="62" w:type="dxa"/>
        </w:tblCellMar>
        <w:tblLook w:val="0000"/>
      </w:tblPr>
      <w:tblGrid>
        <w:gridCol w:w="423"/>
        <w:gridCol w:w="7906"/>
        <w:gridCol w:w="59"/>
      </w:tblGrid>
      <w:tr w:rsidTr="00F15F7F">
        <w:tblPrEx>
          <w:tblW w:w="0" w:type="auto"/>
          <w:tblLayout w:type="fixed"/>
          <w:tblCellMar>
            <w:left w:w="62" w:type="dxa"/>
            <w:right w:w="62" w:type="dxa"/>
          </w:tblCellMar>
          <w:tblLook w:val="0000"/>
        </w:tblPrEx>
        <w:trPr>
          <w:tblHeader/>
        </w:trPr>
        <w:tc>
          <w:tcPr>
            <w:tcW w:w="838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1"/>
          <w:wAfter w:w="59" w:type="dxa"/>
        </w:trPr>
        <w:tc>
          <w:tcPr>
            <w:tcW w:w="8329"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1"/>
          <w:wAfter w:w="59" w:type="dxa"/>
        </w:trPr>
        <w:tc>
          <w:tcPr>
            <w:tcW w:w="8329"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rPr>
                <w:rStyle w:val="SpecialBold"/>
              </w:rPr>
              <w:t>REQUIRED SKILLS</w:t>
            </w:r>
          </w:p>
        </w:tc>
      </w:tr>
      <w:tr w:rsidTr="00F15F7F">
        <w:tblPrEx>
          <w:tblW w:w="0" w:type="auto"/>
          <w:tblLayout w:type="fixed"/>
          <w:tblCellMar>
            <w:left w:w="62" w:type="dxa"/>
            <w:right w:w="62" w:type="dxa"/>
          </w:tblCellMar>
          <w:tblLook w:val="0000"/>
        </w:tblPrEx>
        <w:trPr>
          <w:gridAfter w:val="1"/>
          <w:wAfter w:w="59" w:type="dxa"/>
        </w:trPr>
        <w:tc>
          <w:tcPr>
            <w:tcW w:w="8329"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rPr>
                <w:rStyle w:val="Emphasis"/>
              </w:rPr>
              <w:t>This describes the basic skills required for this unit</w:t>
            </w:r>
            <w:r w:rsidRPr="00DF6AD8">
              <w:t>.</w:t>
            </w:r>
          </w:p>
        </w:tc>
      </w:tr>
      <w:tr w:rsidTr="00F15F7F">
        <w:tblPrEx>
          <w:tblW w:w="0" w:type="auto"/>
          <w:tblLayout w:type="fixed"/>
          <w:tblCellMar>
            <w:left w:w="62" w:type="dxa"/>
            <w:right w:w="62" w:type="dxa"/>
          </w:tblCellMar>
          <w:tblLook w:val="0000"/>
        </w:tblPrEx>
        <w:trPr>
          <w:gridAfter w:val="1"/>
          <w:wAfter w:w="59"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79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Use communication skills required when managing the stress and dynamic factors affecting a small vessel's stability</w:t>
            </w:r>
          </w:p>
        </w:tc>
      </w:tr>
      <w:tr w:rsidTr="00F15F7F">
        <w:tblPrEx>
          <w:tblW w:w="0" w:type="auto"/>
          <w:tblLayout w:type="fixed"/>
          <w:tblCellMar>
            <w:left w:w="62" w:type="dxa"/>
            <w:right w:w="62" w:type="dxa"/>
          </w:tblCellMar>
          <w:tblLook w:val="0000"/>
        </w:tblPrEx>
        <w:trPr>
          <w:gridAfter w:val="1"/>
          <w:wAfter w:w="59"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79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Read, interpret and apply basic instructions relevant to managing the stress and dynamic factors affecting the stability of a small vessel of less than 80 metres</w:t>
            </w:r>
          </w:p>
        </w:tc>
      </w:tr>
      <w:tr w:rsidTr="00F15F7F">
        <w:tblPrEx>
          <w:tblW w:w="0" w:type="auto"/>
          <w:tblLayout w:type="fixed"/>
          <w:tblCellMar>
            <w:left w:w="62" w:type="dxa"/>
            <w:right w:w="62" w:type="dxa"/>
          </w:tblCellMar>
          <w:tblLook w:val="0000"/>
        </w:tblPrEx>
        <w:trPr>
          <w:gridAfter w:val="1"/>
          <w:wAfter w:w="59"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3</w:t>
            </w:r>
          </w:p>
        </w:tc>
        <w:tc>
          <w:tcPr>
            <w:tcW w:w="79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Work safely and collaboratively with others when managing the stress and dynamic factors af</w:t>
            </w:r>
            <w:r w:rsidRPr="00DF6AD8">
              <w:t>fecting a small vessel's stability</w:t>
            </w:r>
          </w:p>
        </w:tc>
      </w:tr>
      <w:tr w:rsidTr="00F15F7F">
        <w:tblPrEx>
          <w:tblW w:w="0" w:type="auto"/>
          <w:tblLayout w:type="fixed"/>
          <w:tblCellMar>
            <w:left w:w="62" w:type="dxa"/>
            <w:right w:w="62" w:type="dxa"/>
          </w:tblCellMar>
          <w:tblLook w:val="0000"/>
        </w:tblPrEx>
        <w:trPr>
          <w:gridAfter w:val="1"/>
          <w:wAfter w:w="59"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4</w:t>
            </w:r>
          </w:p>
        </w:tc>
        <w:tc>
          <w:tcPr>
            <w:tcW w:w="79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Bring an unstable vessel to a stable condition </w:t>
            </w:r>
          </w:p>
        </w:tc>
      </w:tr>
      <w:tr w:rsidTr="00F15F7F">
        <w:tblPrEx>
          <w:tblW w:w="0" w:type="auto"/>
          <w:tblLayout w:type="fixed"/>
          <w:tblCellMar>
            <w:left w:w="62" w:type="dxa"/>
            <w:right w:w="62" w:type="dxa"/>
          </w:tblCellMar>
          <w:tblLook w:val="0000"/>
        </w:tblPrEx>
        <w:trPr>
          <w:gridAfter w:val="1"/>
          <w:wAfter w:w="59"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5</w:t>
            </w:r>
          </w:p>
        </w:tc>
        <w:tc>
          <w:tcPr>
            <w:tcW w:w="79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Carry out calculations associated with vessel stability using basic stability criteria calculations, including interpreting and correlating the resultant data</w:t>
            </w:r>
          </w:p>
        </w:tc>
      </w:tr>
      <w:tr w:rsidTr="00F15F7F">
        <w:tblPrEx>
          <w:tblW w:w="0" w:type="auto"/>
          <w:tblLayout w:type="fixed"/>
          <w:tblCellMar>
            <w:left w:w="62" w:type="dxa"/>
            <w:right w:w="62" w:type="dxa"/>
          </w:tblCellMar>
          <w:tblLook w:val="0000"/>
        </w:tblPrEx>
        <w:trPr>
          <w:gridAfter w:val="1"/>
          <w:wAfter w:w="59"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6</w:t>
            </w:r>
          </w:p>
        </w:tc>
        <w:tc>
          <w:tcPr>
            <w:tcW w:w="79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Recog</w:t>
            </w:r>
            <w:r w:rsidRPr="00DF6AD8">
              <w:t>nise problems and the stress and dynamic factors affecting the stability of small vessels engaged in coastal voyages and take appropriate precautionary/remedial action</w:t>
            </w:r>
          </w:p>
        </w:tc>
      </w:tr>
      <w:tr w:rsidTr="00F15F7F">
        <w:tblPrEx>
          <w:tblW w:w="0" w:type="auto"/>
          <w:tblLayout w:type="fixed"/>
          <w:tblCellMar>
            <w:left w:w="62" w:type="dxa"/>
            <w:right w:w="62" w:type="dxa"/>
          </w:tblCellMar>
          <w:tblLook w:val="0000"/>
        </w:tblPrEx>
        <w:trPr>
          <w:gridAfter w:val="1"/>
          <w:wAfter w:w="59"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7</w:t>
            </w:r>
          </w:p>
        </w:tc>
        <w:tc>
          <w:tcPr>
            <w:tcW w:w="79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Manage the stress and stability conditions of a vessel in preparation for adverse sea</w:t>
            </w:r>
            <w:r w:rsidRPr="00DF6AD8">
              <w:t xml:space="preserve"> and weather conditions</w:t>
            </w:r>
          </w:p>
        </w:tc>
      </w:tr>
      <w:tr w:rsidTr="00F15F7F">
        <w:tblPrEx>
          <w:tblW w:w="0" w:type="auto"/>
          <w:tblLayout w:type="fixed"/>
          <w:tblCellMar>
            <w:left w:w="62" w:type="dxa"/>
            <w:right w:w="62" w:type="dxa"/>
          </w:tblCellMar>
          <w:tblLook w:val="0000"/>
        </w:tblPrEx>
        <w:trPr>
          <w:gridAfter w:val="1"/>
          <w:wAfter w:w="59" w:type="dxa"/>
        </w:trPr>
        <w:tc>
          <w:tcPr>
            <w:tcW w:w="423"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8</w:t>
            </w:r>
          </w:p>
        </w:tc>
        <w:tc>
          <w:tcPr>
            <w:tcW w:w="7906" w:type="dxa"/>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t>Manage the stress and stability conditions of a vessel during emergency situations that may involve flooding and/or damage to the hull and structure of the vessel</w:t>
            </w:r>
          </w:p>
        </w:tc>
      </w:tr>
    </w:tbl>
    <w:p w:rsidR="00F15F7F" w:rsidP="00DF6AD8">
      <w:pPr>
        <w:pStyle w:val="BodyText"/>
      </w:pPr>
    </w:p>
    <w:p w:rsidR="00F15F7F" w:rsidP="00DF6AD8">
      <w:pPr>
        <w:pStyle w:val="BodyText"/>
      </w:pPr>
    </w:p>
    <w:p w:rsidR="00000000" w:rsidRPr="00DF6AD8" w:rsidP="00DF6AD8">
      <w:pPr>
        <w:pStyle w:val="AllowPageBreak"/>
      </w:pPr>
    </w:p>
    <w:p w:rsidR="00000000" w:rsidRPr="00DF6AD8" w:rsidP="00DF6AD8">
      <w:pPr>
        <w:pStyle w:val="Heading1"/>
      </w:pPr>
      <w:bookmarkStart w:id="10" w:name="O_150336"/>
      <w:bookmarkEnd w:id="10"/>
      <w:r w:rsidRPr="00DF6AD8">
        <w:t>Evidence Guide</w:t>
      </w:r>
    </w:p>
    <w:p w:rsidR="00000000" w:rsidRPr="00DF6AD8" w:rsidP="00DF6AD8">
      <w:pPr>
        <w:pStyle w:val="BodyText"/>
      </w:pPr>
      <w:r w:rsidRPr="00DF6AD8">
        <w:rPr>
          <w:rStyle w:val="SpecialBold"/>
        </w:rPr>
        <w:t>Evidence Guide</w:t>
      </w:r>
    </w:p>
    <w:tbl>
      <w:tblPr>
        <w:tblW w:w="0" w:type="auto"/>
        <w:tblLayout w:type="fixed"/>
        <w:tblCellMar>
          <w:left w:w="62" w:type="dxa"/>
          <w:right w:w="62" w:type="dxa"/>
        </w:tblCellMar>
        <w:tblLook w:val="0000"/>
      </w:tblPr>
      <w:tblGrid>
        <w:gridCol w:w="8388"/>
      </w:tblGrid>
      <w:tr w:rsidTr="00F15F7F">
        <w:tblPrEx>
          <w:tblW w:w="0" w:type="auto"/>
          <w:tblLayout w:type="fixed"/>
          <w:tblCellMar>
            <w:left w:w="62" w:type="dxa"/>
            <w:right w:w="62" w:type="dxa"/>
          </w:tblCellMar>
          <w:tblLook w:val="0000"/>
        </w:tblPrEx>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r w:rsidRPr="00DF6AD8">
              <w:rPr>
                <w:rStyle w:val="SpecialBold"/>
              </w:rPr>
              <w:t>EVIDENCE GUIDE</w:t>
            </w:r>
          </w:p>
        </w:tc>
      </w:tr>
    </w:tbl>
    <w:p w:rsidR="00000000" w:rsidRPr="00DF6AD8" w:rsidP="00DF6AD8">
      <w:pPr>
        <w:pStyle w:val="BodyText"/>
      </w:pPr>
    </w:p>
    <w:tbl>
      <w:tblPr>
        <w:tblW w:w="0" w:type="auto"/>
        <w:tblLayout w:type="fixed"/>
        <w:tblCellMar>
          <w:left w:w="62" w:type="dxa"/>
          <w:right w:w="62" w:type="dxa"/>
        </w:tblCellMar>
        <w:tblLook w:val="0000"/>
      </w:tblPr>
      <w:tblGrid>
        <w:gridCol w:w="303"/>
        <w:gridCol w:w="1789"/>
        <w:gridCol w:w="360"/>
        <w:gridCol w:w="49"/>
        <w:gridCol w:w="311"/>
        <w:gridCol w:w="5666"/>
        <w:gridCol w:w="15"/>
      </w:tblGrid>
      <w:tr w:rsidTr="00F15F7F">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rPr>
                <w:rStyle w:val="Emphasis"/>
              </w:rPr>
              <w:t>The Evidence Guide provides advice on assessment and must be read in conjunction with the Performance Criteria</w:t>
            </w:r>
            <w:r w:rsidRPr="00DF6AD8">
              <w:t xml:space="preserve">, </w:t>
            </w:r>
            <w:r w:rsidRPr="00DF6AD8">
              <w:rPr>
                <w:rStyle w:val="Emphasis"/>
              </w:rPr>
              <w:t>Required Skills and Knowledge</w:t>
            </w:r>
            <w:r w:rsidRPr="00DF6AD8">
              <w:t xml:space="preserve">, </w:t>
            </w:r>
            <w:r w:rsidRPr="00DF6AD8">
              <w:rPr>
                <w:rStyle w:val="Emphasis"/>
              </w:rPr>
              <w:t>the Range Statement and the Assessment Guidelines for this Training Package</w:t>
            </w:r>
            <w:r w:rsidRPr="00DF6AD8">
              <w:t>.</w:t>
            </w:r>
          </w:p>
        </w:tc>
      </w:tr>
      <w:tr w:rsidTr="00F15F7F">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DF6AD8" w:rsidP="00DF6AD8">
            <w:pPr>
              <w:pStyle w:val="BodyText"/>
            </w:pPr>
            <w:r w:rsidRPr="00DF6AD8">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Critical aspects of evidence required to demonstrate competency in this unit</w:t>
            </w:r>
          </w:p>
        </w:tc>
        <w:tc>
          <w:tcPr>
            <w:tcW w:w="6401" w:type="dxa"/>
            <w:gridSpan w:val="5"/>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Assessment must confirm appropriate knowledge and skills to:</w:t>
            </w:r>
          </w:p>
        </w:tc>
      </w:tr>
      <w:tr w:rsidTr="00F15F7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a</w:t>
            </w:r>
          </w:p>
        </w:tc>
        <w:tc>
          <w:tcPr>
            <w:tcW w:w="5992"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Interpret information obtained from a vessel's stability data book</w:t>
            </w:r>
          </w:p>
        </w:tc>
      </w:tr>
      <w:tr w:rsidTr="00F15F7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b</w:t>
            </w:r>
          </w:p>
        </w:tc>
        <w:tc>
          <w:tcPr>
            <w:tcW w:w="5992"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Carry out basic calculations associated with vessel stability using the required stability criteria, including interpreting and correlating the resultant data </w:t>
            </w:r>
          </w:p>
        </w:tc>
      </w:tr>
      <w:tr w:rsidTr="00F15F7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c</w:t>
            </w:r>
          </w:p>
        </w:tc>
        <w:tc>
          <w:tcPr>
            <w:tcW w:w="5992"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Manage the stress and dynamic factors affecting the stability of a small commercial vessel</w:t>
            </w:r>
          </w:p>
        </w:tc>
      </w:tr>
      <w:tr w:rsidTr="00F15F7F">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d</w:t>
            </w:r>
          </w:p>
        </w:tc>
        <w:tc>
          <w:tcPr>
            <w:tcW w:w="5992"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Communicate effectively with others concerning measures required to control the stability of the vessel</w:t>
            </w:r>
          </w:p>
        </w:tc>
      </w:tr>
      <w:tr w:rsidTr="00F15F7F">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DF6AD8" w:rsidP="00DF6AD8">
            <w:pPr>
              <w:pStyle w:val="BodyText"/>
            </w:pPr>
          </w:p>
          <w:p w:rsidR="00000000" w:rsidP="00DF6AD8">
            <w:pPr>
              <w:pStyle w:val="BodyText"/>
              <w:rPr>
                <w:lang w:val="en-NZ"/>
              </w:rPr>
            </w:pPr>
            <w:r w:rsidRPr="00DF6AD8">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DF6AD8" w:rsidP="00DF6AD8">
            <w:pPr>
              <w:pStyle w:val="BodyText"/>
            </w:pPr>
          </w:p>
          <w:p w:rsidR="00000000" w:rsidP="00DF6AD8">
            <w:pPr>
              <w:pStyle w:val="BodyText"/>
              <w:rPr>
                <w:lang w:val="en-NZ"/>
              </w:rPr>
            </w:pPr>
            <w:r w:rsidRPr="00DF6AD8">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DF6AD8" w:rsidP="00DF6AD8">
            <w:pPr>
              <w:pStyle w:val="BodyText"/>
            </w:pPr>
          </w:p>
          <w:p w:rsidR="00000000" w:rsidP="00DF6AD8">
            <w:pPr>
              <w:pStyle w:val="BodyText"/>
              <w:rPr>
                <w:lang w:val="en-NZ"/>
              </w:rPr>
            </w:pPr>
            <w:r w:rsidRPr="00DF6AD8">
              <w:t>a</w:t>
            </w:r>
          </w:p>
        </w:tc>
        <w:tc>
          <w:tcPr>
            <w:tcW w:w="6026" w:type="dxa"/>
            <w:gridSpan w:val="3"/>
            <w:tcBorders>
              <w:top w:val="single" w:sz="6" w:space="0" w:color="auto"/>
              <w:left w:val="nil"/>
              <w:bottom w:val="nil"/>
              <w:right w:val="nil"/>
            </w:tcBorders>
            <w:tcMar>
              <w:top w:w="0" w:type="dxa"/>
              <w:left w:w="62" w:type="dxa"/>
              <w:bottom w:w="0" w:type="dxa"/>
              <w:right w:w="62" w:type="dxa"/>
            </w:tcMar>
          </w:tcPr>
          <w:p w:rsidR="00000000" w:rsidRPr="00DF6AD8" w:rsidP="00DF6AD8">
            <w:pPr>
              <w:pStyle w:val="BodyText"/>
            </w:pPr>
          </w:p>
          <w:p w:rsidR="00000000" w:rsidP="00DF6AD8">
            <w:pPr>
              <w:pStyle w:val="BodyText"/>
              <w:rPr>
                <w:lang w:val="en-NZ"/>
              </w:rPr>
            </w:pPr>
            <w:r w:rsidRPr="00DF6AD8">
              <w:t>Performance is demonstrated consistently over a period of time and in a suitable range of contexts</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b</w:t>
            </w:r>
          </w:p>
        </w:tc>
        <w:tc>
          <w:tcPr>
            <w:tcW w:w="6026"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Applies underpinning knowledge and skills when:</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566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managing of the stress and dynamic factors affecting the stability of a small commercial vessel engaged on a coastal voyage</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566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calculating and interpreting data associated with stability management</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c</w:t>
            </w:r>
          </w:p>
        </w:tc>
        <w:tc>
          <w:tcPr>
            <w:tcW w:w="6026"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Shows evidence of application of relevant workplace procedures including:</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566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relevant maritime regulations</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566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OH&amp;S regulations and hazard prevention policies and procedures </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3</w:t>
            </w:r>
          </w:p>
        </w:tc>
        <w:tc>
          <w:tcPr>
            <w:tcW w:w="566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job procedures and work instructions</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4</w:t>
            </w:r>
          </w:p>
        </w:tc>
        <w:tc>
          <w:tcPr>
            <w:tcW w:w="566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relevant vessel manufacturer's guidelines relating to the trim, stability and stress limits of the vessel</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5</w:t>
            </w:r>
          </w:p>
        </w:tc>
        <w:tc>
          <w:tcPr>
            <w:tcW w:w="566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procedures to protect the integrity and security of the vessel's hull</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6</w:t>
            </w:r>
          </w:p>
        </w:tc>
        <w:tc>
          <w:tcPr>
            <w:tcW w:w="566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environmental protection procedures when pumping ballast water</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d</w:t>
            </w:r>
          </w:p>
        </w:tc>
        <w:tc>
          <w:tcPr>
            <w:tcW w:w="6026"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Action is taken promptly to report and/or rectify out-of-limit trim, stability and stresses of the vessel </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e</w:t>
            </w:r>
          </w:p>
        </w:tc>
        <w:tc>
          <w:tcPr>
            <w:tcW w:w="6026"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Work is completed systematically with required attention to detail</w:t>
            </w:r>
          </w:p>
        </w:tc>
      </w:tr>
      <w:tr w:rsidTr="00F15F7F">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f</w:t>
            </w:r>
          </w:p>
        </w:tc>
        <w:tc>
          <w:tcPr>
            <w:tcW w:w="6026" w:type="dxa"/>
            <w:gridSpan w:val="3"/>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t>Recognises and adapts appropriately to cultural differences in the workplace, including modes of behaviour and interactions among crew and others</w:t>
            </w:r>
          </w:p>
        </w:tc>
      </w:tr>
    </w:tbl>
    <w:p w:rsidR="00000000" w:rsidRPr="00DF6AD8" w:rsidP="00DF6AD8">
      <w:pPr>
        <w:pStyle w:val="BodyText"/>
      </w:pPr>
    </w:p>
    <w:p w:rsidR="00000000" w:rsidRPr="00DF6AD8" w:rsidP="00DF6AD8">
      <w:pPr>
        <w:pStyle w:val="BodyText"/>
      </w:pPr>
      <w:r w:rsidRPr="00DF6AD8">
        <w:rPr>
          <w:rStyle w:val="SpecialBold"/>
        </w:rPr>
        <w:t>Evidence Guide</w:t>
      </w:r>
      <w:r w:rsidRPr="00DF6AD8">
        <w:t xml:space="preserve"> (</w:t>
      </w:r>
      <w:r w:rsidRPr="00DF6AD8">
        <w:rPr>
          <w:rStyle w:val="SpecialBold"/>
        </w:rPr>
        <w:t>continued</w:t>
      </w:r>
      <w:r w:rsidRPr="00DF6AD8">
        <w:t>)</w:t>
      </w:r>
    </w:p>
    <w:tbl>
      <w:tblPr>
        <w:tblW w:w="0" w:type="auto"/>
        <w:tblLayout w:type="fixed"/>
        <w:tblCellMar>
          <w:left w:w="62" w:type="dxa"/>
          <w:right w:w="62" w:type="dxa"/>
        </w:tblCellMar>
        <w:tblLook w:val="0000"/>
      </w:tblPr>
      <w:tblGrid>
        <w:gridCol w:w="8388"/>
      </w:tblGrid>
      <w:tr w:rsidTr="00F15F7F">
        <w:tblPrEx>
          <w:tblW w:w="0" w:type="auto"/>
          <w:tblLayout w:type="fixed"/>
          <w:tblCellMar>
            <w:left w:w="62" w:type="dxa"/>
            <w:right w:w="62" w:type="dxa"/>
          </w:tblCellMar>
          <w:tblLook w:val="0000"/>
        </w:tblPrEx>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p>
        </w:tc>
      </w:tr>
    </w:tbl>
    <w:p w:rsidR="00000000" w:rsidRPr="00DF6AD8" w:rsidP="00DF6AD8">
      <w:pPr>
        <w:pStyle w:val="BodyText"/>
      </w:pPr>
    </w:p>
    <w:tbl>
      <w:tblPr>
        <w:tblW w:w="0" w:type="auto"/>
        <w:tblLayout w:type="fixed"/>
        <w:tblCellMar>
          <w:left w:w="62" w:type="dxa"/>
          <w:right w:w="62" w:type="dxa"/>
        </w:tblCellMar>
        <w:tblLook w:val="0000"/>
      </w:tblPr>
      <w:tblGrid>
        <w:gridCol w:w="274"/>
        <w:gridCol w:w="29"/>
        <w:gridCol w:w="1789"/>
        <w:gridCol w:w="360"/>
        <w:gridCol w:w="360"/>
        <w:gridCol w:w="360"/>
        <w:gridCol w:w="5306"/>
        <w:gridCol w:w="15"/>
      </w:tblGrid>
      <w:tr w:rsidTr="00F15F7F">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DF6AD8" w:rsidP="00DF6AD8">
            <w:pPr>
              <w:pStyle w:val="BodyText"/>
            </w:pPr>
            <w:r w:rsidRPr="00DF6AD8">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a</w:t>
            </w:r>
          </w:p>
        </w:tc>
        <w:tc>
          <w:tcPr>
            <w:tcW w:w="6026"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Assessment of competency must comply with the assessment requirements of the relevant maritime regulations</w:t>
            </w:r>
          </w:p>
        </w:tc>
      </w:tr>
      <w:tr w:rsidTr="00F15F7F">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b</w:t>
            </w:r>
          </w:p>
        </w:tc>
        <w:tc>
          <w:tcPr>
            <w:tcW w:w="6026"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Assessment of this unit must be undertaken within relevant marine authority approved and audited arrangements by a registered training organisation:</w:t>
            </w:r>
          </w:p>
        </w:tc>
      </w:tr>
      <w:tr w:rsidTr="00F15F7F">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566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As a minimum, assessment of knowledge must be conducted through appropriate written/oral examinations, and</w:t>
            </w:r>
          </w:p>
        </w:tc>
      </w:tr>
      <w:tr w:rsidTr="00F15F7F">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566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Appropriate practical assessment must occur:</w:t>
            </w:r>
          </w:p>
        </w:tc>
      </w:tr>
      <w:tr w:rsidTr="00F15F7F">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i</w:t>
            </w:r>
          </w:p>
        </w:tc>
        <w:tc>
          <w:tcPr>
            <w:tcW w:w="53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at the registered training organisation; and/or </w:t>
            </w:r>
          </w:p>
        </w:tc>
      </w:tr>
      <w:tr w:rsidTr="00F15F7F">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ii</w:t>
            </w:r>
          </w:p>
        </w:tc>
        <w:tc>
          <w:tcPr>
            <w:tcW w:w="5306"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on an appropriate working or training vessel</w:t>
            </w:r>
          </w:p>
        </w:tc>
      </w:tr>
      <w:tr w:rsidTr="00F15F7F">
        <w:tblPrEx>
          <w:tblW w:w="0" w:type="auto"/>
          <w:tblLayout w:type="fixed"/>
          <w:tblCellMar>
            <w:left w:w="62" w:type="dxa"/>
            <w:right w:w="62" w:type="dxa"/>
          </w:tblCellMar>
          <w:tblLook w:val="0000"/>
        </w:tblPrEx>
        <w:tc>
          <w:tcPr>
            <w:tcW w:w="2092"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1"/>
          <w:wAfter w:w="15" w:type="dxa"/>
        </w:trPr>
        <w:tc>
          <w:tcPr>
            <w:tcW w:w="274" w:type="dxa"/>
            <w:vMerge w:val="restart"/>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4</w:t>
            </w:r>
          </w:p>
        </w:tc>
        <w:tc>
          <w:tcPr>
            <w:tcW w:w="1818" w:type="dxa"/>
            <w:gridSpan w:val="2"/>
            <w:vMerge w:val="restart"/>
            <w:tcBorders>
              <w:top w:val="nil"/>
              <w:left w:val="nil"/>
              <w:bottom w:val="nil"/>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Specificresourcesrequired for assessment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Access is required to opportunities to:</w:t>
            </w:r>
          </w:p>
        </w:tc>
      </w:tr>
      <w:tr w:rsidTr="00F15F7F">
        <w:tblPrEx>
          <w:tblW w:w="0" w:type="auto"/>
          <w:tblLayout w:type="fixed"/>
          <w:tblCellMar>
            <w:left w:w="62" w:type="dxa"/>
            <w:right w:w="62" w:type="dxa"/>
          </w:tblCellMar>
          <w:tblLook w:val="0000"/>
        </w:tblPrEx>
        <w:trPr>
          <w:gridAfter w:val="1"/>
          <w:wAfter w:w="15" w:type="dxa"/>
        </w:trPr>
        <w:tc>
          <w:tcPr>
            <w:tcW w:w="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a</w:t>
            </w:r>
          </w:p>
        </w:tc>
        <w:tc>
          <w:tcPr>
            <w:tcW w:w="6026"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participate in a range of exercises, case studies and other simulated practical and knowledge assessments that demonstrate the skills and knowledge to manage the stress and dynamic factors affecting the stability of a small vessel in a range of operational</w:t>
            </w:r>
            <w:r w:rsidRPr="00DF6AD8">
              <w:t xml:space="preserve"> situations; and/or</w:t>
            </w:r>
          </w:p>
        </w:tc>
      </w:tr>
      <w:tr w:rsidTr="00F15F7F">
        <w:tblPrEx>
          <w:tblW w:w="0" w:type="auto"/>
          <w:tblLayout w:type="fixed"/>
          <w:tblCellMar>
            <w:left w:w="62" w:type="dxa"/>
            <w:right w:w="62" w:type="dxa"/>
          </w:tblCellMar>
          <w:tblLook w:val="0000"/>
        </w:tblPrEx>
        <w:trPr>
          <w:gridAfter w:val="1"/>
          <w:wAfter w:w="15" w:type="dxa"/>
        </w:trPr>
        <w:tc>
          <w:tcPr>
            <w:tcW w:w="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b</w:t>
            </w:r>
          </w:p>
        </w:tc>
        <w:tc>
          <w:tcPr>
            <w:tcW w:w="6026"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assist in the management of the stress and dynamic factors affecting the stability of a small vessel engaged on a coastal voyage in a range of operational situations, either: </w:t>
            </w:r>
          </w:p>
        </w:tc>
      </w:tr>
      <w:tr w:rsidTr="00F15F7F">
        <w:tblPrEx>
          <w:tblW w:w="0" w:type="auto"/>
          <w:tblLayout w:type="fixed"/>
          <w:tblCellMar>
            <w:left w:w="62" w:type="dxa"/>
            <w:right w:w="62" w:type="dxa"/>
          </w:tblCellMar>
          <w:tblLook w:val="0000"/>
        </w:tblPrEx>
        <w:trPr>
          <w:gridAfter w:val="1"/>
          <w:wAfter w:w="15" w:type="dxa"/>
        </w:trPr>
        <w:tc>
          <w:tcPr>
            <w:tcW w:w="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5666"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using a suitable simulator over an appropriate range of simulated loading and operational situations </w:t>
            </w:r>
          </w:p>
        </w:tc>
      </w:tr>
      <w:tr w:rsidTr="00F15F7F">
        <w:tblPrEx>
          <w:tblW w:w="0" w:type="auto"/>
          <w:tblLayout w:type="fixed"/>
          <w:tblCellMar>
            <w:left w:w="62" w:type="dxa"/>
            <w:right w:w="62" w:type="dxa"/>
          </w:tblCellMar>
          <w:tblLook w:val="0000"/>
        </w:tblPrEx>
        <w:trPr>
          <w:gridAfter w:val="1"/>
          <w:wAfter w:w="15" w:type="dxa"/>
        </w:trPr>
        <w:tc>
          <w:tcPr>
            <w:tcW w:w="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5666" w:type="dxa"/>
            <w:gridSpan w:val="2"/>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t>in appropriate practical situations on an operational commercial or training vessel possibly during seatime training</w:t>
            </w:r>
          </w:p>
        </w:tc>
      </w:tr>
    </w:tbl>
    <w:p w:rsidR="00F15F7F" w:rsidP="00DF6AD8">
      <w:pPr>
        <w:pStyle w:val="BodyText"/>
      </w:pPr>
    </w:p>
    <w:p w:rsidR="00F15F7F" w:rsidP="00DF6AD8">
      <w:pPr>
        <w:pStyle w:val="BodyText"/>
      </w:pPr>
    </w:p>
    <w:p w:rsidR="00000000" w:rsidRPr="00DF6AD8" w:rsidP="00DF6AD8">
      <w:pPr>
        <w:pStyle w:val="Heading1"/>
      </w:pPr>
      <w:bookmarkStart w:id="11" w:name="O_150337"/>
      <w:bookmarkEnd w:id="11"/>
      <w:r w:rsidRPr="00DF6AD8">
        <w:t>Range Statement</w:t>
      </w:r>
    </w:p>
    <w:p w:rsidR="00000000" w:rsidRPr="00DF6AD8" w:rsidP="00DF6AD8">
      <w:pPr>
        <w:pStyle w:val="BodyText"/>
      </w:pPr>
      <w:r w:rsidRPr="00DF6AD8">
        <w:rPr>
          <w:rStyle w:val="SpecialBold"/>
        </w:rPr>
        <w:t>Range Statement</w:t>
      </w:r>
    </w:p>
    <w:tbl>
      <w:tblPr>
        <w:tblW w:w="0" w:type="auto"/>
        <w:tblLayout w:type="fixed"/>
        <w:tblCellMar>
          <w:left w:w="62" w:type="dxa"/>
          <w:right w:w="62" w:type="dxa"/>
        </w:tblCellMar>
        <w:tblLook w:val="0000"/>
      </w:tblPr>
      <w:tblGrid>
        <w:gridCol w:w="8388"/>
      </w:tblGrid>
      <w:tr w:rsidTr="00F15F7F">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p>
        </w:tc>
      </w:tr>
    </w:tbl>
    <w:p w:rsidR="00000000" w:rsidRPr="00DF6AD8" w:rsidP="00DF6AD8">
      <w:pPr>
        <w:pStyle w:val="BodyText"/>
      </w:pPr>
    </w:p>
    <w:tbl>
      <w:tblPr>
        <w:tblW w:w="0" w:type="auto"/>
        <w:tblLayout w:type="fixed"/>
        <w:tblCellMar>
          <w:left w:w="62" w:type="dxa"/>
          <w:right w:w="62" w:type="dxa"/>
        </w:tblCellMar>
        <w:tblLook w:val="0000"/>
      </w:tblPr>
      <w:tblGrid>
        <w:gridCol w:w="340"/>
        <w:gridCol w:w="6"/>
        <w:gridCol w:w="1744"/>
        <w:gridCol w:w="358"/>
        <w:gridCol w:w="10"/>
        <w:gridCol w:w="6015"/>
        <w:gridCol w:w="19"/>
        <w:gridCol w:w="28"/>
      </w:tblGrid>
      <w:tr w:rsidTr="00F15F7F">
        <w:tblPrEx>
          <w:tblW w:w="0" w:type="auto"/>
          <w:tblLayout w:type="fixed"/>
          <w:tblCellMar>
            <w:left w:w="62" w:type="dxa"/>
            <w:right w:w="62" w:type="dxa"/>
          </w:tblCellMar>
          <w:tblLook w:val="0000"/>
        </w:tblPrEx>
        <w:trPr>
          <w:tblHeader/>
        </w:trPr>
        <w:tc>
          <w:tcPr>
            <w:tcW w:w="8520" w:type="dxa"/>
            <w:gridSpan w:val="8"/>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rPr>
                <w:rStyle w:val="Emphasis"/>
              </w:rPr>
              <w:t>The Range Statement relates to the unit of competency as a whole</w:t>
            </w:r>
            <w:r w:rsidRPr="00DF6AD8">
              <w:t xml:space="preserve">. </w:t>
            </w:r>
            <w:r w:rsidRPr="00DF6AD8">
              <w:rPr>
                <w:rStyle w:val="Emphasis"/>
              </w:rPr>
              <w:t>It allows for different work environments and situations that may affect performance</w:t>
            </w:r>
            <w:r w:rsidRPr="00DF6AD8">
              <w:t>.</w:t>
            </w:r>
          </w:p>
        </w:tc>
      </w:tr>
      <w:tr w:rsidTr="00F15F7F">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DF6AD8" w:rsidP="00DF6AD8">
            <w:pPr>
              <w:pStyle w:val="BodyText"/>
            </w:pPr>
            <w:r w:rsidRPr="00DF6AD8">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rPr>
                <w:rStyle w:val="SpecialBold"/>
              </w:rPr>
              <w:t>SCOPE</w:t>
            </w:r>
          </w:p>
        </w:tc>
      </w:tr>
      <w:tr w:rsidTr="00F15F7F">
        <w:tblPrEx>
          <w:tblW w:w="0" w:type="auto"/>
          <w:tblLayout w:type="fixed"/>
          <w:tblCellMar>
            <w:left w:w="62" w:type="dxa"/>
            <w:right w:w="62" w:type="dxa"/>
          </w:tblCellMar>
          <w:tblLook w:val="0000"/>
        </w:tblPrEx>
        <w:tc>
          <w:tcPr>
            <w:tcW w:w="8520" w:type="dxa"/>
            <w:gridSpan w:val="8"/>
            <w:tcBorders>
              <w:top w:val="nil"/>
              <w:left w:val="nil"/>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rPr>
                <w:rStyle w:val="SpecialBold"/>
              </w:rPr>
              <w:t>1</w:t>
            </w:r>
            <w:r w:rsidRPr="00DF6AD8">
              <w:t>.</w:t>
            </w:r>
            <w:r w:rsidRPr="00DF6AD8">
              <w:tab/>
            </w:r>
            <w:r w:rsidRPr="00DF6AD8">
              <w:rPr>
                <w:rStyle w:val="SpecialBold"/>
              </w:rPr>
              <w:t>GENERAL CONTEXT</w:t>
            </w:r>
          </w:p>
        </w:tc>
      </w:tr>
      <w:tr w:rsidTr="00F15F7F">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F6AD8" w:rsidP="00DF6AD8">
            <w:pPr>
              <w:pStyle w:val="BodyText"/>
            </w:pPr>
            <w:r w:rsidRPr="00DF6AD8">
              <w:rPr>
                <w:rStyle w:val="SpecialBold"/>
              </w:rPr>
              <w:t>a</w:t>
            </w:r>
            <w:r w:rsidRPr="00DF6AD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Work must be carried out</w:t>
            </w:r>
            <w:r w:rsidRPr="00DF6AD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t>1</w:t>
            </w:r>
          </w:p>
        </w:tc>
        <w:tc>
          <w:tcPr>
            <w:tcW w:w="6015" w:type="dxa"/>
            <w:tcBorders>
              <w:top w:val="nil"/>
              <w:left w:val="nil"/>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t>in compliance with the relevant maritime regulations</w:t>
            </w:r>
          </w:p>
        </w:tc>
      </w:tr>
      <w:tr w:rsidTr="00F15F7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b</w:t>
            </w:r>
            <w:r w:rsidRPr="00DF6AD8">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Work is performed</w:t>
            </w:r>
            <w:r w:rsidRPr="00DF6AD8">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6015"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within a defined range of operations and routine procedures, with responsibility for own outputs and some responsibility for others in achieving the specified quality and quantity of outcomes. It involves the management of the stress and dynamic factors af</w:t>
            </w:r>
            <w:r w:rsidRPr="00DF6AD8">
              <w:t xml:space="preserve">fecting a vessel's stability. Some discretion and judgement is required in anticipating and allowing for possible stress and stability problems, hazards and contingencies and the actions to be taken in these eventualities </w:t>
            </w:r>
          </w:p>
        </w:tc>
      </w:tr>
      <w:tr w:rsidTr="00F15F7F">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F6AD8" w:rsidP="00DF6AD8">
            <w:pPr>
              <w:pStyle w:val="BodyText"/>
            </w:pPr>
            <w:r w:rsidRPr="00DF6AD8">
              <w:rPr>
                <w:rStyle w:val="SpecialBold"/>
              </w:rPr>
              <w:t>c</w:t>
            </w:r>
            <w:r w:rsidRPr="00DF6AD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Work involves</w:t>
            </w:r>
            <w:r w:rsidRPr="00DF6AD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t>1</w:t>
            </w:r>
          </w:p>
        </w:tc>
        <w:tc>
          <w:tcPr>
            <w:tcW w:w="6015" w:type="dxa"/>
            <w:tcBorders>
              <w:top w:val="nil"/>
              <w:left w:val="nil"/>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t xml:space="preserve">the management of the stress and dynamic factors affecting a vessel's stability </w:t>
            </w:r>
          </w:p>
        </w:tc>
      </w:tr>
      <w:tr w:rsidTr="00F15F7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d</w:t>
            </w:r>
            <w:r w:rsidRPr="00DF6AD8">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Work requires</w:t>
            </w:r>
            <w:r w:rsidRPr="00DF6AD8">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6015"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 xml:space="preserve">some discretion and judgement in anticipating and allowing for possible stress and stability problems, hazards and contingencies and the actions </w:t>
            </w:r>
            <w:r w:rsidRPr="00DF6AD8">
              <w:t>to be taken in these eventualities</w:t>
            </w:r>
          </w:p>
        </w:tc>
      </w:tr>
      <w:tr w:rsidTr="00F15F7F">
        <w:tblPrEx>
          <w:tblW w:w="0" w:type="auto"/>
          <w:tblLayout w:type="fixed"/>
          <w:tblCellMar>
            <w:left w:w="62" w:type="dxa"/>
            <w:right w:w="62" w:type="dxa"/>
          </w:tblCellMar>
          <w:tblLook w:val="0000"/>
        </w:tblPrEx>
        <w:trPr>
          <w:gridAfter w:val="2"/>
          <w:wAfter w:w="47" w:type="dxa"/>
        </w:trPr>
        <w:tc>
          <w:tcPr>
            <w:tcW w:w="8473" w:type="dxa"/>
            <w:gridSpan w:val="6"/>
            <w:tcBorders>
              <w:top w:val="nil"/>
              <w:left w:val="nil"/>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rPr>
                <w:rStyle w:val="SpecialBold"/>
              </w:rPr>
              <w:t>2</w:t>
            </w:r>
            <w:r w:rsidRPr="00DF6AD8">
              <w:t>.</w:t>
            </w:r>
            <w:r w:rsidRPr="00DF6AD8">
              <w:tab/>
            </w:r>
            <w:r w:rsidRPr="00DF6AD8">
              <w:rPr>
                <w:rStyle w:val="SpecialBold"/>
              </w:rPr>
              <w:t>WORKSITE ENVIRONMENT</w:t>
            </w:r>
          </w:p>
        </w:tc>
      </w:tr>
      <w:tr w:rsidTr="00F15F7F">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DF6AD8" w:rsidP="00DF6AD8">
            <w:pPr>
              <w:pStyle w:val="BodyText"/>
            </w:pPr>
            <w:r w:rsidRPr="00DF6AD8">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Vessel may include</w:t>
            </w:r>
            <w:r w:rsidRPr="00DF6AD8">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t>1</w:t>
            </w:r>
          </w:p>
        </w:tc>
        <w:tc>
          <w:tcPr>
            <w:tcW w:w="6044" w:type="dxa"/>
            <w:gridSpan w:val="3"/>
            <w:tcBorders>
              <w:top w:val="nil"/>
              <w:left w:val="nil"/>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t>any small commercial vessel of less than 80 metres in length within inshore limits (15 nm) and less than 35 metres within ACMW (600 nm)</w:t>
            </w:r>
          </w:p>
        </w:tc>
      </w:tr>
      <w:tr w:rsidTr="00F15F7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Management of the stress and dynamic factors affecting a vessel's stability may be carried out</w:t>
            </w:r>
            <w:r w:rsidRPr="00DF6AD8">
              <w:t>:</w:t>
            </w: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by day or night in both normal and emergency situations</w:t>
            </w:r>
          </w:p>
        </w:tc>
      </w:tr>
      <w:tr w:rsidTr="00F15F7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under any possible conditions of weather and loading</w:t>
            </w:r>
          </w:p>
        </w:tc>
      </w:tr>
      <w:tr w:rsidTr="00F15F7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3</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while loading and unloading</w:t>
            </w:r>
          </w:p>
        </w:tc>
      </w:tr>
      <w:tr w:rsidTr="00F15F7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4</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while underway</w:t>
            </w:r>
          </w:p>
        </w:tc>
      </w:tr>
      <w:tr w:rsidTr="00F15F7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5</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during berthing and unberthing operations</w:t>
            </w:r>
          </w:p>
        </w:tc>
      </w:tr>
      <w:tr w:rsidTr="00F15F7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6</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while anchoring or mooring</w:t>
            </w:r>
          </w:p>
        </w:tc>
      </w:tr>
      <w:tr w:rsidTr="00F15F7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7</w:t>
            </w:r>
          </w:p>
        </w:tc>
        <w:tc>
          <w:tcPr>
            <w:tcW w:w="6044" w:type="dxa"/>
            <w:gridSpan w:val="3"/>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t>in anticipation of adverse sea and weather conditions</w:t>
            </w:r>
          </w:p>
        </w:tc>
      </w:tr>
    </w:tbl>
    <w:p w:rsidR="00000000" w:rsidRPr="00DF6AD8" w:rsidP="00DF6AD8">
      <w:pPr>
        <w:pStyle w:val="BodyText"/>
      </w:pPr>
    </w:p>
    <w:p w:rsidR="00000000" w:rsidRPr="00DF6AD8" w:rsidP="00DF6AD8">
      <w:pPr>
        <w:pStyle w:val="BodyText"/>
      </w:pPr>
      <w:r w:rsidRPr="00DF6AD8">
        <w:rPr>
          <w:rStyle w:val="SpecialBold"/>
        </w:rPr>
        <w:t>Range Statement</w:t>
      </w:r>
      <w:r w:rsidRPr="00DF6AD8">
        <w:t xml:space="preserve"> (</w:t>
      </w:r>
      <w:r w:rsidRPr="00DF6AD8">
        <w:rPr>
          <w:rStyle w:val="SpecialBold"/>
        </w:rPr>
        <w:t>continued</w:t>
      </w:r>
      <w:r w:rsidRPr="00DF6AD8">
        <w:t>)</w:t>
      </w:r>
    </w:p>
    <w:tbl>
      <w:tblPr>
        <w:tblW w:w="0" w:type="auto"/>
        <w:tblLayout w:type="fixed"/>
        <w:tblCellMar>
          <w:left w:w="62" w:type="dxa"/>
          <w:right w:w="62" w:type="dxa"/>
        </w:tblCellMar>
        <w:tblLook w:val="0000"/>
      </w:tblPr>
      <w:tblGrid>
        <w:gridCol w:w="8388"/>
      </w:tblGrid>
      <w:tr w:rsidTr="00F15F7F">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p>
        </w:tc>
      </w:tr>
    </w:tbl>
    <w:p w:rsidR="00000000" w:rsidRPr="00DF6AD8" w:rsidP="00DF6AD8">
      <w:pPr>
        <w:pStyle w:val="BodyText"/>
      </w:pPr>
    </w:p>
    <w:tbl>
      <w:tblPr>
        <w:tblW w:w="0" w:type="auto"/>
        <w:tblLayout w:type="fixed"/>
        <w:tblCellMar>
          <w:left w:w="62" w:type="dxa"/>
          <w:right w:w="62" w:type="dxa"/>
        </w:tblCellMar>
        <w:tblLook w:val="0000"/>
      </w:tblPr>
      <w:tblGrid>
        <w:gridCol w:w="346"/>
        <w:gridCol w:w="1744"/>
        <w:gridCol w:w="358"/>
        <w:gridCol w:w="54"/>
        <w:gridCol w:w="158"/>
        <w:gridCol w:w="5832"/>
        <w:gridCol w:w="28"/>
        <w:gridCol w:w="14"/>
        <w:gridCol w:w="15"/>
      </w:tblGrid>
      <w:tr w:rsidTr="00F15F7F">
        <w:tblPrEx>
          <w:tblW w:w="0" w:type="auto"/>
          <w:tblLayout w:type="fixed"/>
          <w:tblCellMar>
            <w:left w:w="62" w:type="dxa"/>
            <w:right w:w="62" w:type="dxa"/>
          </w:tblCellMar>
          <w:tblLook w:val="0000"/>
        </w:tblPrEx>
        <w:trPr>
          <w:gridAfter w:val="2"/>
          <w:wAfter w:w="29"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F6AD8" w:rsidP="00DF6AD8">
            <w:pPr>
              <w:pStyle w:val="BodyText"/>
            </w:pPr>
            <w:r w:rsidRPr="00DF6AD8">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rPr>
                <w:rStyle w:val="SpecialBold"/>
              </w:rPr>
              <w:t>SCOPE</w:t>
            </w:r>
          </w:p>
        </w:tc>
      </w:tr>
      <w:tr w:rsidTr="00F15F7F">
        <w:tblPrEx>
          <w:tblW w:w="0" w:type="auto"/>
          <w:tblLayout w:type="fixed"/>
          <w:tblCellMar>
            <w:left w:w="62" w:type="dxa"/>
            <w:right w:w="62" w:type="dxa"/>
          </w:tblCellMar>
          <w:tblLook w:val="0000"/>
        </w:tblPrEx>
        <w:trPr>
          <w:gridAfter w:val="3"/>
          <w:wAfter w:w="57"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3"/>
          <w:wAfter w:w="57" w:type="dxa"/>
        </w:trPr>
        <w:tc>
          <w:tcPr>
            <w:tcW w:w="346" w:type="dxa"/>
            <w:vMerge w:val="restart"/>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Means of managing the stress and dynamic factors affecting the stability of a vessel include</w:t>
            </w:r>
            <w:r w:rsidRPr="00DF6AD8">
              <w:t>:</w:t>
            </w: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maintaining watertight integrity</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taking precautions during vessel operations that potentially alter the stress and stability conditions of the vessel</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3</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taking precautions when using lifting equipment and associated gear</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4</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managing the position, stowage and lashing of cargo, stores, equipment or fish</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5</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taking action to avoid or minimise cargo shift during a voyage</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 xml:space="preserve">6 </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managing the distribution of load on vessel</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7</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managing ballast</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8</w:t>
            </w:r>
          </w:p>
        </w:tc>
        <w:tc>
          <w:tcPr>
            <w:tcW w:w="6044" w:type="dxa"/>
            <w:gridSpan w:val="3"/>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damage control measures to maintain, stabilise or restore the watertight integrity of the hull during an emergency</w:t>
            </w:r>
          </w:p>
        </w:tc>
      </w:tr>
      <w:tr w:rsidTr="00F15F7F">
        <w:tblPrEx>
          <w:tblW w:w="0" w:type="auto"/>
          <w:tblLayout w:type="fixed"/>
          <w:tblCellMar>
            <w:left w:w="62" w:type="dxa"/>
            <w:right w:w="62" w:type="dxa"/>
          </w:tblCellMar>
          <w:tblLook w:val="0000"/>
        </w:tblPrEx>
        <w:trPr>
          <w:gridAfter w:val="3"/>
          <w:wAfter w:w="57"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3"/>
          <w:wAfter w:w="57"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DF6AD8" w:rsidP="00DF6AD8">
            <w:pPr>
              <w:pStyle w:val="BodyText"/>
            </w:pPr>
            <w:r w:rsidRPr="00DF6AD8">
              <w:rPr>
                <w:rStyle w:val="SpecialBold"/>
              </w:rPr>
              <w:t>d</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 xml:space="preserve">Factors that may have an adverse effect on vessel stability which require special precautions and stability management </w:t>
            </w:r>
            <w:r w:rsidRPr="00DF6AD8">
              <w:rPr>
                <w:rStyle w:val="SpecialBold"/>
              </w:rPr>
              <w:t>include</w:t>
            </w:r>
            <w:r w:rsidRPr="00DF6AD8">
              <w:t>:</w:t>
            </w:r>
          </w:p>
        </w:tc>
        <w:tc>
          <w:tcPr>
            <w:tcW w:w="570" w:type="dxa"/>
            <w:gridSpan w:val="3"/>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5832"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effects of suspended weights when using cargo or fishing gear to load and discharge heavy weights</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gridSpan w:val="3"/>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5832"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dangers on board a fishing vessel when clearing a net which is caught fast on an underwater obstruction</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gridSpan w:val="3"/>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3</w:t>
            </w:r>
          </w:p>
        </w:tc>
        <w:tc>
          <w:tcPr>
            <w:tcW w:w="5832"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free surface effects</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gridSpan w:val="3"/>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4</w:t>
            </w:r>
          </w:p>
        </w:tc>
        <w:tc>
          <w:tcPr>
            <w:tcW w:w="5832"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water on the deck</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gridSpan w:val="3"/>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5</w:t>
            </w:r>
          </w:p>
        </w:tc>
        <w:tc>
          <w:tcPr>
            <w:tcW w:w="5832"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fish on deck</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gridSpan w:val="3"/>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6</w:t>
            </w:r>
          </w:p>
        </w:tc>
        <w:tc>
          <w:tcPr>
            <w:tcW w:w="5832"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bilging</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gridSpan w:val="3"/>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7</w:t>
            </w:r>
          </w:p>
        </w:tc>
        <w:tc>
          <w:tcPr>
            <w:tcW w:w="5832"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poor security of cargo stowage</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gridSpan w:val="3"/>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8</w:t>
            </w:r>
          </w:p>
        </w:tc>
        <w:tc>
          <w:tcPr>
            <w:tcW w:w="5832"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movement of heavy items or stores and equipment on board vessel</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gridSpan w:val="3"/>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9</w:t>
            </w:r>
          </w:p>
        </w:tc>
        <w:tc>
          <w:tcPr>
            <w:tcW w:w="5832"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flooding in the event of damage to the hull</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gridSpan w:val="3"/>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10</w:t>
            </w:r>
          </w:p>
        </w:tc>
        <w:tc>
          <w:tcPr>
            <w:tcW w:w="5832" w:type="dxa"/>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alterations to the structure/construction of the vessel</w:t>
            </w:r>
          </w:p>
        </w:tc>
      </w:tr>
      <w:tr w:rsidTr="00F15F7F">
        <w:tblPrEx>
          <w:tblW w:w="0" w:type="auto"/>
          <w:tblLayout w:type="fixed"/>
          <w:tblCellMar>
            <w:left w:w="62" w:type="dxa"/>
            <w:right w:w="62" w:type="dxa"/>
          </w:tblCellMar>
          <w:tblLook w:val="0000"/>
        </w:tblPrEx>
        <w:trPr>
          <w:gridAfter w:val="3"/>
          <w:wAfter w:w="57"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t>11</w:t>
            </w:r>
          </w:p>
        </w:tc>
        <w:tc>
          <w:tcPr>
            <w:tcW w:w="5832" w:type="dxa"/>
            <w:tcBorders>
              <w:top w:val="nil"/>
              <w:left w:val="nil"/>
              <w:bottom w:val="single" w:sz="6" w:space="0" w:color="auto"/>
              <w:right w:val="nil"/>
            </w:tcBorders>
            <w:tcMar>
              <w:top w:w="0" w:type="dxa"/>
              <w:left w:w="62" w:type="dxa"/>
              <w:bottom w:w="0" w:type="dxa"/>
              <w:right w:w="62" w:type="dxa"/>
            </w:tcMar>
          </w:tcPr>
          <w:p w:rsidR="00000000" w:rsidP="00DF6AD8">
            <w:pPr>
              <w:pStyle w:val="BodyText"/>
              <w:rPr>
                <w:lang w:val="en-NZ"/>
              </w:rPr>
            </w:pPr>
            <w:r w:rsidRPr="00DF6AD8">
              <w:t>use and replenishment of consumables during a voyage such as fuel and water, etc.</w:t>
            </w:r>
          </w:p>
        </w:tc>
      </w:tr>
      <w:tr w:rsidTr="00F15F7F">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Documentation</w:t>
            </w:r>
            <w:r w:rsidRPr="00DF6AD8">
              <w:t>/</w:t>
            </w:r>
            <w:r w:rsidRPr="00DF6AD8">
              <w:rPr>
                <w:rStyle w:val="SpecialBold"/>
              </w:rPr>
              <w:t>records may include</w:t>
            </w:r>
            <w:r w:rsidRPr="00DF6AD8">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6032" w:type="dxa"/>
            <w:gridSpan w:val="4"/>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operational orders</w:t>
            </w:r>
          </w:p>
        </w:tc>
      </w:tr>
      <w:tr w:rsidTr="00F15F7F">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6032" w:type="dxa"/>
            <w:gridSpan w:val="4"/>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vessel's stability data book</w:t>
            </w:r>
          </w:p>
        </w:tc>
      </w:tr>
      <w:tr w:rsidTr="00F15F7F">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3</w:t>
            </w:r>
          </w:p>
        </w:tc>
        <w:tc>
          <w:tcPr>
            <w:tcW w:w="6032" w:type="dxa"/>
            <w:gridSpan w:val="4"/>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relevant sections of State and Territory maritime regulations, NSCV and USL Code dealing with vessel stability</w:t>
            </w:r>
          </w:p>
        </w:tc>
      </w:tr>
      <w:tr w:rsidTr="00F15F7F">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4</w:t>
            </w:r>
          </w:p>
        </w:tc>
        <w:tc>
          <w:tcPr>
            <w:tcW w:w="6032" w:type="dxa"/>
            <w:gridSpan w:val="4"/>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t>vessel's log</w:t>
            </w:r>
          </w:p>
        </w:tc>
      </w:tr>
    </w:tbl>
    <w:p w:rsidR="00000000" w:rsidRPr="00DF6AD8" w:rsidP="00DF6AD8">
      <w:pPr>
        <w:pStyle w:val="BodyText"/>
      </w:pPr>
    </w:p>
    <w:p w:rsidR="00000000" w:rsidRPr="00DF6AD8" w:rsidP="00DF6AD8">
      <w:pPr>
        <w:pStyle w:val="BodyText"/>
      </w:pPr>
      <w:r w:rsidRPr="00DF6AD8">
        <w:rPr>
          <w:rStyle w:val="SpecialBold"/>
        </w:rPr>
        <w:t>Range Statement</w:t>
      </w:r>
      <w:r w:rsidRPr="00DF6AD8">
        <w:t xml:space="preserve"> (</w:t>
      </w:r>
      <w:r w:rsidRPr="00DF6AD8">
        <w:rPr>
          <w:rStyle w:val="SpecialBold"/>
        </w:rPr>
        <w:t>continued</w:t>
      </w:r>
      <w:r w:rsidRPr="00DF6AD8">
        <w:t>)</w:t>
      </w:r>
    </w:p>
    <w:tbl>
      <w:tblPr>
        <w:tblW w:w="0" w:type="auto"/>
        <w:tblLayout w:type="fixed"/>
        <w:tblCellMar>
          <w:left w:w="62" w:type="dxa"/>
          <w:right w:w="62" w:type="dxa"/>
        </w:tblCellMar>
        <w:tblLook w:val="0000"/>
      </w:tblPr>
      <w:tblGrid>
        <w:gridCol w:w="8388"/>
      </w:tblGrid>
      <w:tr w:rsidTr="00F15F7F">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p>
        </w:tc>
      </w:tr>
    </w:tbl>
    <w:p w:rsidR="00000000" w:rsidRPr="00DF6AD8" w:rsidP="00DF6AD8">
      <w:pPr>
        <w:pStyle w:val="BodyText"/>
      </w:pPr>
    </w:p>
    <w:tbl>
      <w:tblPr>
        <w:tblW w:w="0" w:type="auto"/>
        <w:tblLayout w:type="fixed"/>
        <w:tblCellMar>
          <w:left w:w="62" w:type="dxa"/>
          <w:right w:w="62" w:type="dxa"/>
        </w:tblCellMar>
        <w:tblLook w:val="0000"/>
      </w:tblPr>
      <w:tblGrid>
        <w:gridCol w:w="346"/>
        <w:gridCol w:w="1744"/>
        <w:gridCol w:w="412"/>
        <w:gridCol w:w="6018"/>
        <w:gridCol w:w="14"/>
        <w:gridCol w:w="15"/>
      </w:tblGrid>
      <w:tr w:rsidTr="00F15F7F">
        <w:tblPrEx>
          <w:tblW w:w="0" w:type="auto"/>
          <w:tblLayout w:type="fixed"/>
          <w:tblCellMar>
            <w:left w:w="62" w:type="dxa"/>
            <w:right w:w="62" w:type="dxa"/>
          </w:tblCellMar>
          <w:tblLook w:val="0000"/>
        </w:tblPrEx>
        <w:trPr>
          <w:gridAfter w:val="2"/>
          <w:wAfter w:w="29" w:type="dxa"/>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DF6AD8" w:rsidP="00DF6AD8">
            <w:pPr>
              <w:pStyle w:val="BodyText"/>
            </w:pPr>
            <w:r w:rsidRPr="00DF6AD8">
              <w:rPr>
                <w:rStyle w:val="SpecialBold"/>
              </w:rPr>
              <w:t>VARIABLE</w:t>
            </w:r>
          </w:p>
        </w:tc>
        <w:tc>
          <w:tcPr>
            <w:tcW w:w="6430" w:type="dxa"/>
            <w:gridSpan w:val="2"/>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rPr>
                <w:rStyle w:val="SpecialBold"/>
              </w:rPr>
              <w:t>SCOPE</w:t>
            </w:r>
          </w:p>
        </w:tc>
      </w:tr>
      <w:tr w:rsidTr="00F15F7F">
        <w:tblPrEx>
          <w:tblW w:w="0" w:type="auto"/>
          <w:tblLayout w:type="fixed"/>
          <w:tblCellMar>
            <w:left w:w="62" w:type="dxa"/>
            <w:right w:w="62" w:type="dxa"/>
          </w:tblCellMar>
          <w:tblLook w:val="0000"/>
        </w:tblPrEx>
        <w:trPr>
          <w:gridAfter w:val="1"/>
          <w:wAfter w:w="15"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DF6AD8" w:rsidP="00DF6AD8">
            <w:pPr>
              <w:pStyle w:val="BodyText"/>
            </w:pPr>
          </w:p>
          <w:p w:rsidR="00000000" w:rsidP="00DF6AD8">
            <w:pPr>
              <w:pStyle w:val="BodyText"/>
              <w:rPr>
                <w:lang w:val="en-NZ"/>
              </w:rPr>
            </w:pPr>
            <w:r w:rsidRPr="00DF6AD8">
              <w:rPr>
                <w:rStyle w:val="SpecialBold"/>
              </w:rPr>
              <w:t>e</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DF6AD8" w:rsidP="00DF6AD8">
            <w:pPr>
              <w:pStyle w:val="BodyText"/>
            </w:pPr>
          </w:p>
          <w:p w:rsidR="00000000" w:rsidRPr="00DF6AD8" w:rsidP="00DF6AD8">
            <w:pPr>
              <w:pStyle w:val="BodyText"/>
            </w:pPr>
            <w:r w:rsidRPr="00DF6AD8">
              <w:rPr>
                <w:rStyle w:val="SpecialBold"/>
              </w:rPr>
              <w:t>Documentation</w:t>
            </w:r>
            <w:r w:rsidRPr="00DF6AD8">
              <w:t>/</w:t>
            </w:r>
            <w:r w:rsidRPr="00DF6AD8">
              <w:rPr>
                <w:rStyle w:val="SpecialBold"/>
              </w:rPr>
              <w:t>records may include</w:t>
            </w:r>
            <w:r w:rsidRPr="00DF6AD8">
              <w:t>:</w:t>
            </w:r>
          </w:p>
          <w:p w:rsidR="00000000" w:rsidP="00DF6AD8">
            <w:pPr>
              <w:pStyle w:val="BodyText"/>
              <w:rPr>
                <w:lang w:val="en-NZ"/>
              </w:rPr>
            </w:pPr>
            <w:r w:rsidRPr="00DF6AD8">
              <w:t>(</w:t>
            </w:r>
            <w:r w:rsidRPr="00DF6AD8">
              <w:rPr>
                <w:rStyle w:val="SpecialBold"/>
              </w:rPr>
              <w:t>continued</w:t>
            </w:r>
            <w:r w:rsidRPr="00DF6AD8">
              <w:t xml:space="preserve">) </w:t>
            </w:r>
          </w:p>
        </w:tc>
        <w:tc>
          <w:tcPr>
            <w:tcW w:w="412" w:type="dxa"/>
            <w:tcBorders>
              <w:top w:val="single" w:sz="6" w:space="0" w:color="auto"/>
              <w:left w:val="single" w:sz="6" w:space="0" w:color="auto"/>
              <w:bottom w:val="nil"/>
              <w:right w:val="nil"/>
            </w:tcBorders>
            <w:tcMar>
              <w:top w:w="0" w:type="dxa"/>
              <w:left w:w="62" w:type="dxa"/>
              <w:bottom w:w="0" w:type="dxa"/>
              <w:right w:w="62" w:type="dxa"/>
            </w:tcMar>
          </w:tcPr>
          <w:p w:rsidR="00000000" w:rsidRPr="00DF6AD8" w:rsidP="00DF6AD8">
            <w:pPr>
              <w:pStyle w:val="BodyText"/>
            </w:pPr>
          </w:p>
          <w:p w:rsidR="00000000" w:rsidP="00DF6AD8">
            <w:pPr>
              <w:pStyle w:val="BodyText"/>
              <w:rPr>
                <w:lang w:val="en-NZ"/>
              </w:rPr>
            </w:pPr>
            <w:r w:rsidRPr="00DF6AD8">
              <w:t>5</w:t>
            </w:r>
          </w:p>
        </w:tc>
        <w:tc>
          <w:tcPr>
            <w:tcW w:w="6032" w:type="dxa"/>
            <w:gridSpan w:val="2"/>
            <w:tcBorders>
              <w:top w:val="single" w:sz="6" w:space="0" w:color="auto"/>
              <w:left w:val="nil"/>
              <w:bottom w:val="nil"/>
              <w:right w:val="nil"/>
            </w:tcBorders>
            <w:tcMar>
              <w:top w:w="0" w:type="dxa"/>
              <w:left w:w="62" w:type="dxa"/>
              <w:bottom w:w="0" w:type="dxa"/>
              <w:right w:w="62" w:type="dxa"/>
            </w:tcMar>
          </w:tcPr>
          <w:p w:rsidR="00000000" w:rsidRPr="00DF6AD8" w:rsidP="00DF6AD8">
            <w:pPr>
              <w:pStyle w:val="BodyText"/>
            </w:pPr>
          </w:p>
          <w:p w:rsidR="00000000" w:rsidP="00DF6AD8">
            <w:pPr>
              <w:pStyle w:val="BodyText"/>
              <w:rPr>
                <w:lang w:val="en-NZ"/>
              </w:rPr>
            </w:pPr>
            <w:r w:rsidRPr="00DF6AD8">
              <w:t xml:space="preserve">vessel manufacturer's instructions and recommended procedures </w:t>
            </w:r>
          </w:p>
        </w:tc>
      </w:tr>
      <w:tr w:rsidTr="00F15F7F">
        <w:tblPrEx>
          <w:tblW w:w="0" w:type="auto"/>
          <w:tblLayout w:type="fixed"/>
          <w:tblCellMar>
            <w:left w:w="62" w:type="dxa"/>
            <w:right w:w="62" w:type="dxa"/>
          </w:tblCellMar>
          <w:tblLook w:val="0000"/>
        </w:tblPrEx>
        <w:trPr>
          <w:gridAfter w:val="1"/>
          <w:wAfter w:w="15"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6</w:t>
            </w:r>
          </w:p>
        </w:tc>
        <w:tc>
          <w:tcPr>
            <w:tcW w:w="6032"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notices and instructions of relevant maritime authorities</w:t>
            </w:r>
          </w:p>
        </w:tc>
      </w:tr>
      <w:tr w:rsidTr="00F15F7F">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F6AD8">
            <w:pPr>
              <w:pStyle w:val="BodyText"/>
              <w:rPr>
                <w:lang w:val="en-NZ"/>
              </w:rPr>
            </w:pPr>
          </w:p>
        </w:tc>
      </w:tr>
      <w:tr w:rsidTr="00F15F7F">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Applicable procedures and codes may include</w:t>
            </w:r>
            <w:r w:rsidRPr="00DF6AD8">
              <w:t>:</w:t>
            </w:r>
          </w:p>
        </w:tc>
        <w:tc>
          <w:tcPr>
            <w:tcW w:w="412"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1</w:t>
            </w:r>
          </w:p>
        </w:tc>
        <w:tc>
          <w:tcPr>
            <w:tcW w:w="6032" w:type="dxa"/>
            <w:gridSpan w:val="2"/>
            <w:tcBorders>
              <w:top w:val="nil"/>
              <w:left w:val="nil"/>
              <w:bottom w:val="nil"/>
              <w:right w:val="nil"/>
            </w:tcBorders>
            <w:tcMar>
              <w:top w:w="0" w:type="dxa"/>
              <w:left w:w="62" w:type="dxa"/>
              <w:bottom w:w="0" w:type="dxa"/>
              <w:right w:w="62" w:type="dxa"/>
            </w:tcMar>
          </w:tcPr>
          <w:p w:rsidR="00000000" w:rsidP="00DF6AD8">
            <w:pPr>
              <w:pStyle w:val="BodyText"/>
              <w:rPr>
                <w:lang w:val="en-NZ"/>
              </w:rPr>
            </w:pPr>
            <w:r w:rsidRPr="00DF6AD8">
              <w:t>relevant sections of State and Territory maritime regulations, NSCV and U</w:t>
            </w:r>
            <w:r w:rsidRPr="00DF6AD8">
              <w:t>SL Code concerning the stability of small commercial vessels of less than 80 metres</w:t>
            </w:r>
          </w:p>
        </w:tc>
      </w:tr>
      <w:tr w:rsidTr="00F15F7F">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DF6AD8">
            <w:pPr>
              <w:pStyle w:val="BodyText"/>
              <w:rPr>
                <w:lang w:val="en-NZ"/>
              </w:rPr>
            </w:pPr>
            <w:r w:rsidRPr="00DF6AD8">
              <w:t>2</w:t>
            </w:r>
          </w:p>
        </w:tc>
        <w:tc>
          <w:tcPr>
            <w:tcW w:w="6032" w:type="dxa"/>
            <w:gridSpan w:val="2"/>
            <w:tcBorders>
              <w:top w:val="nil"/>
              <w:left w:val="nil"/>
              <w:bottom w:val="nil"/>
              <w:right w:val="nil"/>
            </w:tcBorders>
            <w:tcMar>
              <w:top w:w="0" w:type="dxa"/>
              <w:left w:w="62" w:type="dxa"/>
              <w:bottom w:w="0" w:type="dxa"/>
              <w:right w:w="62" w:type="dxa"/>
            </w:tcMar>
          </w:tcPr>
          <w:p w:rsidR="00000000" w:rsidRPr="00DF6AD8" w:rsidP="00DF6AD8">
            <w:pPr>
              <w:pStyle w:val="BodyText"/>
            </w:pPr>
            <w:r w:rsidRPr="00DF6AD8">
              <w:t>relevant Commonwealth, State and Territory OH&amp;S legislation</w:t>
            </w:r>
          </w:p>
        </w:tc>
      </w:tr>
    </w:tbl>
    <w:p w:rsidR="00F15F7F" w:rsidP="00DF6AD8">
      <w:pPr>
        <w:pStyle w:val="BodyText"/>
      </w:pPr>
    </w:p>
    <w:p w:rsidR="00F15F7F" w:rsidP="00DF6AD8">
      <w:pPr>
        <w:pStyle w:val="BodyText"/>
      </w:pPr>
    </w:p>
    <w:p w:rsidR="00F15F7F" w:rsidP="00DF6AD8">
      <w:pPr>
        <w:pStyle w:val="BodyText"/>
      </w:pPr>
    </w:p>
    <w:p w:rsidR="00000000" w:rsidRPr="00DF6AD8" w:rsidP="00DF6AD8">
      <w:pPr>
        <w:pStyle w:val="Heading1"/>
      </w:pPr>
      <w:bookmarkStart w:id="12" w:name="O_150338"/>
      <w:bookmarkEnd w:id="12"/>
      <w:r w:rsidRPr="00DF6AD8">
        <w:t>Unit Sector(s)</w:t>
      </w:r>
    </w:p>
    <w:p w:rsidR="00000000" w:rsidRPr="00DF6AD8" w:rsidP="00DF6AD8">
      <w:pPr>
        <w:pStyle w:val="BodyText"/>
      </w:pPr>
      <w:r w:rsidRPr="00DF6AD8">
        <w:t>Not applicable.</w:t>
      </w:r>
    </w:p>
    <w:p w:rsidR="00000000" w:rsidRPr="00DF6AD8" w:rsidP="00DF6AD8">
      <w:pPr>
        <w:pStyle w:val="AllowPageBreak"/>
      </w:pPr>
    </w:p>
    <w:p w:rsidR="00000000" w:rsidRPr="00DF6AD8" w:rsidP="00DF6AD8">
      <w:pPr>
        <w:pStyle w:val="Heading1"/>
      </w:pPr>
      <w:bookmarkStart w:id="13" w:name="O_163620"/>
      <w:bookmarkEnd w:id="13"/>
      <w:r w:rsidRPr="00DF6AD8">
        <w:t>Field</w:t>
      </w:r>
    </w:p>
    <w:p w:rsidR="00F15F7F" w:rsidP="00DF6AD8">
      <w:pPr>
        <w:pStyle w:val="BodyText"/>
      </w:pPr>
      <w:r w:rsidRPr="00DF6AD8">
        <w:t>Field</w:t>
      </w:r>
      <w:r w:rsidRPr="00DF6AD8">
        <w:tab/>
        <w:t>MA</w:t>
      </w:r>
      <w:r w:rsidRPr="00DF6AD8">
        <w:tab/>
        <w:t>Handling Vessel and Cargo Stability</w:t>
      </w:r>
    </w:p>
    <w:p w:rsidR="00F15F7F" w:rsidP="00DF6AD8">
      <w:pPr>
        <w:pStyle w:val="BodyText"/>
      </w:pPr>
    </w:p>
    <w:p w:rsidR="00000000" w:rsidRPr="00DF6AD8" w:rsidP="00DF6AD8">
      <w:pPr>
        <w:pStyle w:val="Heading1"/>
      </w:pPr>
      <w:bookmarkStart w:id="14" w:name="O_163621"/>
      <w:bookmarkEnd w:id="14"/>
      <w:r w:rsidRPr="00DF6AD8">
        <w:t>Relationship to other units</w:t>
      </w:r>
    </w:p>
    <w:tbl>
      <w:tblPr>
        <w:tblW w:w="0" w:type="auto"/>
        <w:tblLayout w:type="fixed"/>
        <w:tblCellMar>
          <w:left w:w="62" w:type="dxa"/>
          <w:right w:w="62" w:type="dxa"/>
        </w:tblCellMar>
        <w:tblLook w:val="0000"/>
      </w:tblPr>
      <w:tblGrid>
        <w:gridCol w:w="1974"/>
        <w:gridCol w:w="6481"/>
      </w:tblGrid>
      <w:tr w:rsidTr="00F15F7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D8">
            <w:pPr>
              <w:pStyle w:val="BodyText"/>
              <w:rPr>
                <w:lang w:val="en-NZ"/>
              </w:rPr>
            </w:pPr>
            <w:r w:rsidRPr="00DF6AD8">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D8" w:rsidP="00DF6AD8">
            <w:pPr>
              <w:pStyle w:val="BodyText"/>
            </w:pPr>
            <w:r w:rsidRPr="00DF6AD8">
              <w:t>The unit may be assessed in conjunction with other units that relate to the functions of the occupation(s) concerned.</w:t>
            </w:r>
          </w:p>
        </w:tc>
      </w:tr>
    </w:tbl>
    <w:p w:rsidR="00000000" w:rsidRPr="00DF6AD8" w:rsidP="00DF6AD8">
      <w:pPr>
        <w:pStyle w:val="BodyText"/>
      </w:pPr>
    </w:p>
    <w:p w:rsidR="00000000" w:rsidRPr="00DF6AD8" w:rsidP="00DF6AD8"/>
    <w:sectPr w:rsidSect="00DF6A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F7F" w:rsidP="00F15F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7F" w:rsidP="00DF6A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15F7F" w:rsidP="00DF6A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15F7F" w:rsidP="00DF6A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D8" w:rsidRPr="00F15F7F" w:rsidP="00F15F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F7F" w:rsidRPr="002D2AF8" w:rsidP="00DF6AD8">
    <w:pPr>
      <w:pStyle w:val="Header"/>
      <w:framePr w:wrap="around"/>
    </w:pPr>
    <w:r>
      <w:fldChar w:fldCharType="begin"/>
    </w:r>
    <w:r>
      <w:instrText xml:space="preserve"> TITLE   \* MERGEFORMAT </w:instrText>
    </w:r>
    <w:r>
      <w:fldChar w:fldCharType="separate"/>
    </w:r>
    <w:r>
      <w:t>TDMMA1207B MANAGE STRESS AND DYNAMIC FACTORS AFFECTING A SMALL VESSEL'S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15F7F" w:rsidP="00DF6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AD8"/>
    <w:pPr>
      <w:spacing w:before="360" w:after="60"/>
      <w:outlineLvl w:val="0"/>
    </w:pPr>
    <w:rPr>
      <w:sz w:val="32"/>
    </w:rPr>
  </w:style>
  <w:style w:type="paragraph" w:styleId="Heading2">
    <w:name w:val="heading 2"/>
    <w:basedOn w:val="HeadingBase"/>
    <w:next w:val="BodyText"/>
    <w:link w:val="Heading2Char"/>
    <w:qFormat/>
    <w:rsid w:val="00DF6AD8"/>
    <w:pPr>
      <w:keepLines/>
      <w:spacing w:before="240" w:after="120"/>
      <w:outlineLvl w:val="1"/>
    </w:pPr>
    <w:rPr>
      <w:sz w:val="28"/>
      <w:szCs w:val="40"/>
    </w:rPr>
  </w:style>
  <w:style w:type="paragraph" w:styleId="Heading3">
    <w:name w:val="heading 3"/>
    <w:basedOn w:val="HeadingBase"/>
    <w:next w:val="BodyText"/>
    <w:link w:val="Heading3Char"/>
    <w:qFormat/>
    <w:rsid w:val="00DF6AD8"/>
    <w:pPr>
      <w:spacing w:before="180" w:after="120"/>
      <w:outlineLvl w:val="2"/>
    </w:pPr>
    <w:rPr>
      <w:spacing w:val="-10"/>
      <w:kern w:val="32"/>
    </w:rPr>
  </w:style>
  <w:style w:type="paragraph" w:styleId="Heading4">
    <w:name w:val="heading 4"/>
    <w:basedOn w:val="HeadingBase"/>
    <w:next w:val="BodyText"/>
    <w:link w:val="Heading4Char"/>
    <w:qFormat/>
    <w:rsid w:val="00DF6AD8"/>
    <w:pPr>
      <w:spacing w:before="160" w:after="120"/>
      <w:outlineLvl w:val="3"/>
    </w:pPr>
    <w:rPr>
      <w:sz w:val="22"/>
    </w:rPr>
  </w:style>
  <w:style w:type="paragraph" w:styleId="Heading5">
    <w:name w:val="heading 5"/>
    <w:basedOn w:val="HeadingBase"/>
    <w:next w:val="Normal"/>
    <w:link w:val="Heading5Char"/>
    <w:qFormat/>
    <w:rsid w:val="00DF6AD8"/>
    <w:pPr>
      <w:spacing w:before="80"/>
      <w:outlineLvl w:val="4"/>
    </w:pPr>
    <w:rPr>
      <w:color w:val="918585"/>
      <w:sz w:val="20"/>
    </w:rPr>
  </w:style>
  <w:style w:type="paragraph" w:styleId="Heading6">
    <w:name w:val="heading 6"/>
    <w:basedOn w:val="HeadingBase"/>
    <w:next w:val="Normal"/>
    <w:link w:val="Heading6Char"/>
    <w:qFormat/>
    <w:rsid w:val="00DF6AD8"/>
    <w:pPr>
      <w:spacing w:before="60"/>
      <w:outlineLvl w:val="5"/>
    </w:pPr>
    <w:rPr>
      <w:color w:val="918585"/>
      <w:sz w:val="20"/>
    </w:rPr>
  </w:style>
  <w:style w:type="paragraph" w:styleId="Heading7">
    <w:name w:val="heading 7"/>
    <w:basedOn w:val="Normal"/>
    <w:next w:val="Normal"/>
    <w:link w:val="Heading7Char"/>
    <w:qFormat/>
    <w:rsid w:val="00DF6AD8"/>
    <w:pPr>
      <w:ind w:left="720"/>
      <w:outlineLvl w:val="6"/>
    </w:pPr>
    <w:rPr>
      <w:i/>
    </w:rPr>
  </w:style>
  <w:style w:type="paragraph" w:styleId="Heading8">
    <w:name w:val="heading 8"/>
    <w:basedOn w:val="Normal"/>
    <w:next w:val="Normal"/>
    <w:link w:val="Heading8Char"/>
    <w:qFormat/>
    <w:rsid w:val="00DF6AD8"/>
    <w:pPr>
      <w:ind w:left="720"/>
      <w:outlineLvl w:val="7"/>
    </w:pPr>
    <w:rPr>
      <w:i/>
    </w:rPr>
  </w:style>
  <w:style w:type="paragraph" w:styleId="Heading9">
    <w:name w:val="heading 9"/>
    <w:basedOn w:val="Normal"/>
    <w:next w:val="Normal"/>
    <w:link w:val="Heading9Char"/>
    <w:qFormat/>
    <w:rsid w:val="00DF6AD8"/>
    <w:pPr>
      <w:ind w:left="720"/>
      <w:outlineLvl w:val="8"/>
    </w:pPr>
    <w:rPr>
      <w:i/>
    </w:rPr>
  </w:style>
  <w:style w:type="character" w:default="1" w:styleId="DefaultParagraphFont">
    <w:name w:val="Default Paragraph Font"/>
    <w:uiPriority w:val="1"/>
    <w:unhideWhenUsed/>
    <w:rsid w:val="00DF6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AD8"/>
  </w:style>
  <w:style w:type="character" w:customStyle="1" w:styleId="Heading1Char">
    <w:name w:val="Heading 1 Char"/>
    <w:basedOn w:val="DefaultParagraphFont"/>
    <w:link w:val="Heading1"/>
    <w:rsid w:val="00DF6AD8"/>
    <w:rPr>
      <w:rFonts w:ascii="Times New Roman" w:eastAsia="Times New Roman" w:hAnsi="Times New Roman" w:cs="Times New Roman"/>
      <w:b/>
      <w:sz w:val="32"/>
      <w:szCs w:val="20"/>
      <w:lang w:eastAsia="en-US"/>
    </w:rPr>
  </w:style>
  <w:style w:type="paragraph" w:styleId="BodyText">
    <w:name w:val="Body Text"/>
    <w:basedOn w:val="Normal"/>
    <w:link w:val="BodyTextChar"/>
    <w:rsid w:val="00DF6A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AD8"/>
    <w:rPr>
      <w:rFonts w:ascii="Times New Roman" w:eastAsia="Times New Roman" w:hAnsi="Times New Roman" w:cs="Times New Roman"/>
      <w:sz w:val="24"/>
      <w:lang w:eastAsia="en-US"/>
    </w:rPr>
  </w:style>
  <w:style w:type="paragraph" w:styleId="Footer">
    <w:name w:val="footer"/>
    <w:basedOn w:val="Normal"/>
    <w:link w:val="FooterChar"/>
    <w:rsid w:val="00DF6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AD8"/>
    <w:rPr>
      <w:rFonts w:ascii="Times New Roman" w:eastAsia="Times New Roman" w:hAnsi="Times New Roman" w:cs="Times New Roman"/>
      <w:sz w:val="16"/>
      <w:lang w:eastAsia="en-US"/>
    </w:rPr>
  </w:style>
  <w:style w:type="character" w:customStyle="1" w:styleId="SpecialBold">
    <w:name w:val="Special Bold"/>
    <w:basedOn w:val="DefaultParagraphFont"/>
    <w:rsid w:val="00DF6AD8"/>
    <w:rPr>
      <w:b/>
      <w:spacing w:val="0"/>
    </w:rPr>
  </w:style>
  <w:style w:type="character" w:styleId="Emphasis">
    <w:name w:val="Emphasis"/>
    <w:basedOn w:val="DefaultParagraphFont"/>
    <w:qFormat/>
    <w:rsid w:val="00DF6AD8"/>
    <w:rPr>
      <w:i/>
    </w:rPr>
  </w:style>
  <w:style w:type="paragraph" w:customStyle="1" w:styleId="SuperHeading">
    <w:name w:val="SuperHeading"/>
    <w:basedOn w:val="Normal"/>
    <w:rsid w:val="00DF6AD8"/>
    <w:pPr>
      <w:spacing w:before="240" w:after="120"/>
      <w:outlineLvl w:val="0"/>
    </w:pPr>
    <w:rPr>
      <w:rFonts w:ascii="Times New Roman" w:hAnsi="Times New Roman"/>
      <w:b/>
      <w:sz w:val="28"/>
    </w:rPr>
  </w:style>
  <w:style w:type="paragraph" w:customStyle="1" w:styleId="AllowPageBreak">
    <w:name w:val="AllowPageBreak"/>
    <w:rsid w:val="00DF6A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AD8"/>
    <w:rPr>
      <w:rFonts w:ascii="Courier New" w:eastAsia="Times New Roman" w:hAnsi="Courier New" w:cs="Times New Roman"/>
      <w:i/>
      <w:szCs w:val="20"/>
      <w:lang w:eastAsia="en-US"/>
    </w:rPr>
  </w:style>
  <w:style w:type="paragraph" w:customStyle="1" w:styleId="HeadingBase">
    <w:name w:val="Heading Base"/>
    <w:rsid w:val="00DF6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AD8"/>
    <w:pPr>
      <w:tabs>
        <w:tab w:val="right" w:leader="dot" w:pos="9072"/>
      </w:tabs>
      <w:ind w:left="567"/>
    </w:pPr>
    <w:rPr>
      <w:szCs w:val="22"/>
    </w:rPr>
  </w:style>
  <w:style w:type="paragraph" w:customStyle="1" w:styleId="TOCBase">
    <w:name w:val="TOC Base"/>
    <w:rsid w:val="00DF6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AD8"/>
    <w:pPr>
      <w:tabs>
        <w:tab w:val="right" w:leader="dot" w:pos="9072"/>
      </w:tabs>
      <w:spacing w:before="40" w:after="40"/>
      <w:ind w:left="284"/>
    </w:pPr>
    <w:rPr>
      <w:rFonts w:ascii="Times New Roman" w:hAnsi="Times New Roman"/>
    </w:rPr>
  </w:style>
  <w:style w:type="paragraph" w:styleId="TOC1">
    <w:name w:val="toc 1"/>
    <w:basedOn w:val="TOCBase"/>
    <w:next w:val="Normal"/>
    <w:rsid w:val="00DF6A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AD8"/>
    <w:pPr>
      <w:spacing w:before="5040"/>
      <w:jc w:val="center"/>
    </w:pPr>
    <w:rPr>
      <w:sz w:val="48"/>
      <w:szCs w:val="72"/>
      <w:lang w:val="en-US"/>
    </w:rPr>
  </w:style>
  <w:style w:type="character" w:customStyle="1" w:styleId="TitleChar">
    <w:name w:val="Title Char"/>
    <w:basedOn w:val="DefaultParagraphFont"/>
    <w:link w:val="Title"/>
    <w:rsid w:val="00DF6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AD8"/>
    <w:pPr>
      <w:tabs>
        <w:tab w:val="left" w:pos="3600"/>
        <w:tab w:val="left" w:pos="3958"/>
      </w:tabs>
    </w:pPr>
  </w:style>
  <w:style w:type="paragraph" w:styleId="List">
    <w:name w:val="List"/>
    <w:basedOn w:val="BodyText"/>
    <w:next w:val="BodyText"/>
    <w:rsid w:val="00DF6AD8"/>
    <w:pPr>
      <w:tabs>
        <w:tab w:val="left" w:pos="340"/>
      </w:tabs>
      <w:spacing w:before="60" w:after="60"/>
      <w:ind w:left="340" w:hanging="340"/>
    </w:pPr>
  </w:style>
  <w:style w:type="paragraph" w:styleId="ListBullet">
    <w:name w:val="List Bullet"/>
    <w:basedOn w:val="List"/>
    <w:rsid w:val="00DF6AD8"/>
    <w:pPr>
      <w:numPr>
        <w:numId w:val="11"/>
      </w:numPr>
      <w:tabs>
        <w:tab w:val="clear" w:pos="340"/>
      </w:tabs>
      <w:spacing w:before="40" w:after="40"/>
    </w:pPr>
  </w:style>
  <w:style w:type="paragraph" w:customStyle="1" w:styleId="Note">
    <w:name w:val="Note"/>
    <w:basedOn w:val="BodyText"/>
    <w:rsid w:val="00DF6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AD8"/>
    <w:pPr>
      <w:framePr w:wrap="auto" w:hAnchor="text" w:y="6049"/>
    </w:pPr>
    <w:rPr>
      <w:color w:val="000000"/>
      <w:sz w:val="40"/>
    </w:rPr>
  </w:style>
  <w:style w:type="paragraph" w:customStyle="1" w:styleId="TOCTitle">
    <w:name w:val="TOCTitle"/>
    <w:basedOn w:val="Heading1"/>
    <w:rsid w:val="00DF6AD8"/>
    <w:pPr>
      <w:spacing w:after="240"/>
      <w:jc w:val="center"/>
      <w:outlineLvl w:val="9"/>
    </w:pPr>
    <w:rPr>
      <w:caps/>
    </w:rPr>
  </w:style>
  <w:style w:type="paragraph" w:customStyle="1" w:styleId="Version">
    <w:name w:val="Version"/>
    <w:rsid w:val="00DF6A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6AD8"/>
    <w:pPr>
      <w:numPr>
        <w:numId w:val="12"/>
      </w:numPr>
      <w:tabs>
        <w:tab w:val="clear" w:pos="680"/>
      </w:tabs>
    </w:pPr>
  </w:style>
  <w:style w:type="paragraph" w:styleId="Index1">
    <w:name w:val="index 1"/>
    <w:basedOn w:val="Normal"/>
    <w:next w:val="Normal"/>
    <w:semiHidden/>
    <w:rsid w:val="00DF6AD8"/>
    <w:pPr>
      <w:keepNext w:val="0"/>
      <w:tabs>
        <w:tab w:val="right" w:pos="4176"/>
      </w:tabs>
      <w:ind w:left="198" w:hanging="198"/>
    </w:pPr>
    <w:rPr>
      <w:rFonts w:ascii="Garamond" w:hAnsi="Garamond"/>
    </w:rPr>
  </w:style>
  <w:style w:type="paragraph" w:styleId="IndexHeading">
    <w:name w:val="index heading"/>
    <w:basedOn w:val="Normal"/>
    <w:next w:val="Index1"/>
    <w:semiHidden/>
    <w:rsid w:val="00DF6AD8"/>
    <w:pPr>
      <w:spacing w:before="120" w:after="120"/>
    </w:pPr>
    <w:rPr>
      <w:rFonts w:ascii="Arial" w:hAnsi="Arial"/>
      <w:b/>
      <w:color w:val="918585"/>
      <w:sz w:val="24"/>
    </w:rPr>
  </w:style>
  <w:style w:type="paragraph" w:styleId="Header">
    <w:name w:val="header"/>
    <w:basedOn w:val="Normal"/>
    <w:link w:val="HeaderChar"/>
    <w:rsid w:val="00DF6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AD8"/>
    <w:rPr>
      <w:rFonts w:ascii="Times New Roman" w:eastAsia="Times New Roman" w:hAnsi="Times New Roman" w:cs="Times New Roman"/>
      <w:sz w:val="16"/>
      <w:szCs w:val="20"/>
      <w:lang w:val="en-GB" w:eastAsia="en-US"/>
    </w:rPr>
  </w:style>
  <w:style w:type="paragraph" w:customStyle="1" w:styleId="Chapter">
    <w:name w:val="Chapter"/>
    <w:basedOn w:val="Normal"/>
    <w:rsid w:val="00DF6AD8"/>
    <w:pPr>
      <w:spacing w:before="240"/>
    </w:pPr>
    <w:rPr>
      <w:rFonts w:ascii="Times New Roman" w:hAnsi="Times New Roman"/>
      <w:smallCaps/>
      <w:spacing w:val="80"/>
      <w:sz w:val="28"/>
    </w:rPr>
  </w:style>
  <w:style w:type="paragraph" w:customStyle="1" w:styleId="InChapter">
    <w:name w:val="InChapter"/>
    <w:basedOn w:val="Heading3"/>
    <w:rsid w:val="00DF6AD8"/>
    <w:pPr>
      <w:spacing w:after="240"/>
      <w:outlineLvl w:val="9"/>
    </w:pPr>
    <w:rPr>
      <w:noProof/>
    </w:rPr>
  </w:style>
  <w:style w:type="paragraph" w:styleId="Index2">
    <w:name w:val="index 2"/>
    <w:basedOn w:val="Normal"/>
    <w:next w:val="Normal"/>
    <w:semiHidden/>
    <w:rsid w:val="00DF6AD8"/>
    <w:pPr>
      <w:tabs>
        <w:tab w:val="right" w:pos="4176"/>
      </w:tabs>
      <w:ind w:left="568" w:hanging="284"/>
    </w:pPr>
    <w:rPr>
      <w:rFonts w:ascii="Garamond" w:hAnsi="Garamond"/>
    </w:rPr>
  </w:style>
  <w:style w:type="paragraph" w:customStyle="1" w:styleId="Byline">
    <w:name w:val="Byline"/>
    <w:rsid w:val="00DF6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AD8"/>
    <w:pPr>
      <w:tabs>
        <w:tab w:val="clear" w:pos="3600"/>
        <w:tab w:val="clear" w:pos="3958"/>
      </w:tabs>
      <w:jc w:val="right"/>
    </w:pPr>
  </w:style>
  <w:style w:type="paragraph" w:styleId="Caption">
    <w:name w:val="caption"/>
    <w:basedOn w:val="BodyText"/>
    <w:next w:val="Normal"/>
    <w:qFormat/>
    <w:rsid w:val="00DF6AD8"/>
    <w:pPr>
      <w:framePr w:w="2268" w:hSpace="181" w:vSpace="181" w:wrap="around" w:vAnchor="text" w:hAnchor="page" w:x="1135" w:y="285" w:anchorLock="1"/>
    </w:pPr>
    <w:rPr>
      <w:i/>
    </w:rPr>
  </w:style>
  <w:style w:type="paragraph" w:customStyle="1" w:styleId="MiniTOCTitle">
    <w:name w:val="MiniTOCTitle"/>
    <w:basedOn w:val="Heading4"/>
    <w:rsid w:val="00DF6AD8"/>
    <w:pPr>
      <w:spacing w:before="240"/>
      <w:outlineLvl w:val="9"/>
    </w:pPr>
    <w:rPr>
      <w:noProof/>
      <w:sz w:val="24"/>
    </w:rPr>
  </w:style>
  <w:style w:type="paragraph" w:customStyle="1" w:styleId="MiniTOCItem">
    <w:name w:val="MiniTOCItem"/>
    <w:basedOn w:val="ListBullet"/>
    <w:rsid w:val="00DF6AD8"/>
    <w:pPr>
      <w:numPr>
        <w:numId w:val="0"/>
      </w:numPr>
      <w:tabs>
        <w:tab w:val="right" w:leader="dot" w:pos="6521"/>
      </w:tabs>
      <w:spacing w:before="0" w:after="0"/>
    </w:pPr>
  </w:style>
  <w:style w:type="paragraph" w:customStyle="1" w:styleId="TOFTitle">
    <w:name w:val="TOFTitle"/>
    <w:basedOn w:val="TOCTitle"/>
    <w:rsid w:val="00DF6AD8"/>
  </w:style>
  <w:style w:type="paragraph" w:styleId="TableofFigures">
    <w:name w:val="table of figures"/>
    <w:basedOn w:val="Normal"/>
    <w:next w:val="Normal"/>
    <w:semiHidden/>
    <w:rsid w:val="00DF6AD8"/>
    <w:pPr>
      <w:tabs>
        <w:tab w:val="right" w:leader="dot" w:pos="9072"/>
      </w:tabs>
      <w:ind w:left="970" w:hanging="403"/>
    </w:pPr>
    <w:rPr>
      <w:rFonts w:ascii="Times New Roman" w:hAnsi="Times New Roman"/>
      <w:b/>
    </w:rPr>
  </w:style>
  <w:style w:type="paragraph" w:styleId="ListNumber">
    <w:name w:val="List Number"/>
    <w:basedOn w:val="List"/>
    <w:rsid w:val="00DF6AD8"/>
    <w:pPr>
      <w:numPr>
        <w:numId w:val="9"/>
      </w:numPr>
    </w:pPr>
  </w:style>
  <w:style w:type="character" w:customStyle="1" w:styleId="WingdingSymbols">
    <w:name w:val="Wingding Symbols"/>
    <w:rsid w:val="00DF6AD8"/>
    <w:rPr>
      <w:rFonts w:ascii="Wingdings" w:hAnsi="Wingdings"/>
    </w:rPr>
  </w:style>
  <w:style w:type="paragraph" w:customStyle="1" w:styleId="TableHeading">
    <w:name w:val="Table Heading"/>
    <w:basedOn w:val="HeadingBase"/>
    <w:rsid w:val="00DF6AD8"/>
    <w:pPr>
      <w:keepLines/>
      <w:pBdr>
        <w:bottom w:val="single" w:sz="6" w:space="1" w:color="918585"/>
      </w:pBdr>
      <w:spacing w:before="240"/>
    </w:pPr>
  </w:style>
  <w:style w:type="character" w:customStyle="1" w:styleId="HotSpot">
    <w:name w:val="HotSpot"/>
    <w:rsid w:val="00DF6AD8"/>
    <w:rPr>
      <w:color w:val="0033CC"/>
      <w:u w:val="none"/>
    </w:rPr>
  </w:style>
  <w:style w:type="paragraph" w:customStyle="1" w:styleId="BodyTextRight">
    <w:name w:val="Body Text Right"/>
    <w:basedOn w:val="BodyText"/>
    <w:rsid w:val="00DF6AD8"/>
    <w:pPr>
      <w:spacing w:before="0" w:after="0"/>
      <w:jc w:val="right"/>
    </w:pPr>
  </w:style>
  <w:style w:type="paragraph" w:styleId="Index3">
    <w:name w:val="index 3"/>
    <w:basedOn w:val="ListNumber2"/>
    <w:next w:val="Normal"/>
    <w:semiHidden/>
    <w:rsid w:val="00DF6AD8"/>
    <w:pPr>
      <w:numPr>
        <w:numId w:val="0"/>
      </w:numPr>
      <w:tabs>
        <w:tab w:val="right" w:leader="dot" w:pos="4176"/>
      </w:tabs>
    </w:pPr>
  </w:style>
  <w:style w:type="paragraph" w:styleId="ListNumber2">
    <w:name w:val="List Number 2"/>
    <w:basedOn w:val="List2"/>
    <w:rsid w:val="00DF6AD8"/>
    <w:pPr>
      <w:numPr>
        <w:numId w:val="8"/>
      </w:numPr>
      <w:tabs>
        <w:tab w:val="clear" w:pos="1060"/>
      </w:tabs>
    </w:pPr>
  </w:style>
  <w:style w:type="paragraph" w:customStyle="1" w:styleId="MarginNote">
    <w:name w:val="Margin Note"/>
    <w:basedOn w:val="BodyText"/>
    <w:rsid w:val="00DF6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AD8"/>
    <w:rPr>
      <w:sz w:val="32"/>
    </w:rPr>
  </w:style>
  <w:style w:type="paragraph" w:customStyle="1" w:styleId="HeadingProcedure">
    <w:name w:val="Heading Procedure"/>
    <w:basedOn w:val="HeadingBase"/>
    <w:next w:val="Normal"/>
    <w:rsid w:val="00DF6AD8"/>
    <w:pPr>
      <w:tabs>
        <w:tab w:val="left" w:pos="0"/>
      </w:tabs>
      <w:spacing w:before="120" w:after="60"/>
    </w:pPr>
    <w:rPr>
      <w:i/>
      <w:color w:val="918585"/>
      <w:sz w:val="22"/>
    </w:rPr>
  </w:style>
  <w:style w:type="paragraph" w:customStyle="1" w:styleId="TableBodyText">
    <w:name w:val="Table Body Text"/>
    <w:basedOn w:val="BodyText"/>
    <w:rsid w:val="00DF6AD8"/>
    <w:pPr>
      <w:spacing w:before="60" w:after="60"/>
    </w:pPr>
  </w:style>
  <w:style w:type="paragraph" w:styleId="ListContinue">
    <w:name w:val="List Continue"/>
    <w:basedOn w:val="List"/>
    <w:rsid w:val="00DF6AD8"/>
    <w:pPr>
      <w:ind w:firstLine="0"/>
    </w:pPr>
  </w:style>
  <w:style w:type="paragraph" w:customStyle="1" w:styleId="ListNote">
    <w:name w:val="List Note"/>
    <w:basedOn w:val="List"/>
    <w:rsid w:val="00DF6AD8"/>
    <w:pPr>
      <w:pBdr>
        <w:top w:val="single" w:sz="6" w:space="2" w:color="918585"/>
        <w:bottom w:val="single" w:sz="6" w:space="2" w:color="918585"/>
      </w:pBdr>
      <w:tabs>
        <w:tab w:val="left" w:pos="1021"/>
      </w:tabs>
      <w:ind w:firstLine="0"/>
    </w:pPr>
  </w:style>
  <w:style w:type="paragraph" w:customStyle="1" w:styleId="Warning">
    <w:name w:val="Warning"/>
    <w:basedOn w:val="BodyText"/>
    <w:rsid w:val="00DF6AD8"/>
    <w:pPr>
      <w:shd w:val="clear" w:color="auto" w:fill="D9D9D9"/>
      <w:tabs>
        <w:tab w:val="left" w:pos="992"/>
      </w:tabs>
      <w:ind w:left="119" w:right="119"/>
    </w:pPr>
    <w:rPr>
      <w:sz w:val="20"/>
    </w:rPr>
  </w:style>
  <w:style w:type="paragraph" w:customStyle="1" w:styleId="MarginIcons">
    <w:name w:val="Margin Icons"/>
    <w:basedOn w:val="BodyText"/>
    <w:rsid w:val="00DF6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AD8"/>
    <w:rPr>
      <w:rFonts w:ascii="Courier New" w:hAnsi="Courier New"/>
    </w:rPr>
  </w:style>
  <w:style w:type="paragraph" w:customStyle="1" w:styleId="NoteBullet">
    <w:name w:val="Note Bullet"/>
    <w:basedOn w:val="Note"/>
    <w:rsid w:val="00DF6AD8"/>
    <w:pPr>
      <w:tabs>
        <w:tab w:val="clear" w:pos="680"/>
      </w:tabs>
      <w:spacing w:before="60" w:after="60"/>
    </w:pPr>
  </w:style>
  <w:style w:type="paragraph" w:customStyle="1" w:styleId="SubHeading2">
    <w:name w:val="SubHeading2"/>
    <w:basedOn w:val="HeadingBase"/>
    <w:rsid w:val="00DF6AD8"/>
    <w:pPr>
      <w:spacing w:before="240" w:after="60"/>
    </w:pPr>
    <w:rPr>
      <w:sz w:val="20"/>
    </w:rPr>
  </w:style>
  <w:style w:type="paragraph" w:customStyle="1" w:styleId="SubHeading1">
    <w:name w:val="SubHeading1"/>
    <w:basedOn w:val="HeadingBase"/>
    <w:rsid w:val="00DF6AD8"/>
    <w:pPr>
      <w:spacing w:before="240" w:after="60"/>
    </w:pPr>
    <w:rPr>
      <w:color w:val="918585"/>
      <w:sz w:val="22"/>
    </w:rPr>
  </w:style>
  <w:style w:type="paragraph" w:customStyle="1" w:styleId="SideHeading">
    <w:name w:val="Side Heading"/>
    <w:basedOn w:val="HeadingBase"/>
    <w:rsid w:val="00DF6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AD8"/>
    <w:pPr>
      <w:numPr>
        <w:numId w:val="10"/>
      </w:numPr>
    </w:pPr>
  </w:style>
  <w:style w:type="paragraph" w:styleId="PlainText">
    <w:name w:val="Plain Text"/>
    <w:basedOn w:val="Normal"/>
    <w:link w:val="PlainTextChar"/>
    <w:rsid w:val="00DF6AD8"/>
    <w:rPr>
      <w:sz w:val="20"/>
    </w:rPr>
  </w:style>
  <w:style w:type="character" w:customStyle="1" w:styleId="PlainTextChar">
    <w:name w:val="Plain Text Char"/>
    <w:basedOn w:val="DefaultParagraphFont"/>
    <w:link w:val="PlainText"/>
    <w:rsid w:val="00DF6AD8"/>
    <w:rPr>
      <w:rFonts w:ascii="Courier New" w:eastAsia="Times New Roman" w:hAnsi="Courier New" w:cs="Times New Roman"/>
      <w:sz w:val="20"/>
      <w:szCs w:val="20"/>
      <w:lang w:eastAsia="en-US"/>
    </w:rPr>
  </w:style>
  <w:style w:type="character" w:customStyle="1" w:styleId="MenuOption">
    <w:name w:val="Menu Option"/>
    <w:basedOn w:val="DefaultParagraphFont"/>
    <w:rsid w:val="00DF6AD8"/>
    <w:rPr>
      <w:b/>
      <w:smallCaps/>
    </w:rPr>
  </w:style>
  <w:style w:type="paragraph" w:customStyle="1" w:styleId="TableListNumber">
    <w:name w:val="Table List Number"/>
    <w:basedOn w:val="ListNumber"/>
    <w:rsid w:val="00DF6AD8"/>
    <w:pPr>
      <w:numPr>
        <w:numId w:val="0"/>
      </w:numPr>
    </w:pPr>
  </w:style>
  <w:style w:type="paragraph" w:styleId="TOC4">
    <w:name w:val="toc 4"/>
    <w:basedOn w:val="TOCBase"/>
    <w:next w:val="Normal"/>
    <w:semiHidden/>
    <w:rsid w:val="00DF6AD8"/>
    <w:pPr>
      <w:tabs>
        <w:tab w:val="right" w:leader="dot" w:pos="9071"/>
      </w:tabs>
      <w:ind w:left="1701"/>
    </w:pPr>
  </w:style>
  <w:style w:type="paragraph" w:customStyle="1" w:styleId="ListAlpha">
    <w:name w:val="List Alpha"/>
    <w:basedOn w:val="List"/>
    <w:rsid w:val="00DF6AD8"/>
    <w:pPr>
      <w:numPr>
        <w:numId w:val="7"/>
      </w:numPr>
    </w:pPr>
  </w:style>
  <w:style w:type="paragraph" w:customStyle="1" w:styleId="ListAlpha2">
    <w:name w:val="List Alpha 2"/>
    <w:basedOn w:val="List2"/>
    <w:rsid w:val="00DF6AD8"/>
    <w:pPr>
      <w:numPr>
        <w:numId w:val="6"/>
      </w:numPr>
    </w:pPr>
  </w:style>
  <w:style w:type="paragraph" w:styleId="List2">
    <w:name w:val="List 2"/>
    <w:basedOn w:val="BodyText"/>
    <w:rsid w:val="00DF6AD8"/>
    <w:pPr>
      <w:tabs>
        <w:tab w:val="left" w:pos="680"/>
      </w:tabs>
      <w:spacing w:before="60" w:after="60"/>
      <w:ind w:left="680" w:hanging="340"/>
    </w:pPr>
  </w:style>
  <w:style w:type="paragraph" w:styleId="List3">
    <w:name w:val="List 3"/>
    <w:basedOn w:val="BodyText"/>
    <w:rsid w:val="00DF6AD8"/>
    <w:pPr>
      <w:tabs>
        <w:tab w:val="left" w:pos="1021"/>
      </w:tabs>
      <w:spacing w:before="60" w:after="60"/>
      <w:ind w:left="1020" w:hanging="340"/>
    </w:pPr>
  </w:style>
  <w:style w:type="paragraph" w:styleId="List4">
    <w:name w:val="List 4"/>
    <w:basedOn w:val="BodyText"/>
    <w:rsid w:val="00DF6AD8"/>
    <w:pPr>
      <w:tabs>
        <w:tab w:val="left" w:pos="1361"/>
      </w:tabs>
      <w:spacing w:before="60" w:after="60"/>
      <w:ind w:left="1361" w:hanging="340"/>
    </w:pPr>
  </w:style>
  <w:style w:type="paragraph" w:styleId="List5">
    <w:name w:val="List 5"/>
    <w:basedOn w:val="BodyText"/>
    <w:rsid w:val="00DF6AD8"/>
    <w:pPr>
      <w:tabs>
        <w:tab w:val="left" w:pos="1701"/>
      </w:tabs>
      <w:spacing w:before="60" w:after="60"/>
      <w:ind w:left="1701" w:hanging="340"/>
    </w:pPr>
  </w:style>
  <w:style w:type="paragraph" w:styleId="ListBullet3">
    <w:name w:val="List Bullet 3"/>
    <w:basedOn w:val="List3"/>
    <w:rsid w:val="00DF6AD8"/>
    <w:pPr>
      <w:numPr>
        <w:numId w:val="13"/>
      </w:numPr>
      <w:tabs>
        <w:tab w:val="clear" w:pos="1021"/>
      </w:tabs>
      <w:ind w:left="1037" w:hanging="357"/>
    </w:pPr>
  </w:style>
  <w:style w:type="paragraph" w:styleId="ListBullet4">
    <w:name w:val="List Bullet 4"/>
    <w:basedOn w:val="List4"/>
    <w:rsid w:val="00DF6AD8"/>
    <w:pPr>
      <w:numPr>
        <w:numId w:val="1"/>
      </w:numPr>
    </w:pPr>
  </w:style>
  <w:style w:type="paragraph" w:styleId="ListBullet5">
    <w:name w:val="List Bullet 5"/>
    <w:basedOn w:val="List5"/>
    <w:rsid w:val="00DF6AD8"/>
    <w:pPr>
      <w:numPr>
        <w:numId w:val="2"/>
      </w:numPr>
    </w:pPr>
  </w:style>
  <w:style w:type="paragraph" w:styleId="ListContinue2">
    <w:name w:val="List Continue 2"/>
    <w:basedOn w:val="List2"/>
    <w:rsid w:val="00DF6AD8"/>
    <w:pPr>
      <w:ind w:firstLine="0"/>
    </w:pPr>
  </w:style>
  <w:style w:type="paragraph" w:styleId="ListContinue3">
    <w:name w:val="List Continue 3"/>
    <w:basedOn w:val="List3"/>
    <w:rsid w:val="00DF6AD8"/>
    <w:pPr>
      <w:ind w:left="1021" w:firstLine="0"/>
    </w:pPr>
  </w:style>
  <w:style w:type="paragraph" w:styleId="ListContinue4">
    <w:name w:val="List Continue 4"/>
    <w:basedOn w:val="List4"/>
    <w:rsid w:val="00DF6AD8"/>
    <w:pPr>
      <w:ind w:firstLine="0"/>
    </w:pPr>
  </w:style>
  <w:style w:type="paragraph" w:styleId="ListContinue5">
    <w:name w:val="List Continue 5"/>
    <w:basedOn w:val="List5"/>
    <w:rsid w:val="00DF6AD8"/>
    <w:pPr>
      <w:ind w:firstLine="0"/>
    </w:pPr>
  </w:style>
  <w:style w:type="paragraph" w:styleId="ListNumber3">
    <w:name w:val="List Number 3"/>
    <w:basedOn w:val="List3"/>
    <w:rsid w:val="00DF6AD8"/>
    <w:pPr>
      <w:numPr>
        <w:numId w:val="3"/>
      </w:numPr>
    </w:pPr>
  </w:style>
  <w:style w:type="paragraph" w:styleId="ListNumber4">
    <w:name w:val="List Number 4"/>
    <w:basedOn w:val="List4"/>
    <w:rsid w:val="00DF6AD8"/>
    <w:pPr>
      <w:numPr>
        <w:numId w:val="4"/>
      </w:numPr>
    </w:pPr>
  </w:style>
  <w:style w:type="paragraph" w:styleId="ListNumber5">
    <w:name w:val="List Number 5"/>
    <w:basedOn w:val="List5"/>
    <w:rsid w:val="00DF6AD8"/>
    <w:pPr>
      <w:numPr>
        <w:numId w:val="5"/>
      </w:numPr>
    </w:pPr>
  </w:style>
  <w:style w:type="paragraph" w:styleId="BlockText">
    <w:name w:val="Block Text"/>
    <w:basedOn w:val="Normal"/>
    <w:rsid w:val="00DF6AD8"/>
    <w:pPr>
      <w:spacing w:after="120"/>
      <w:ind w:left="1440" w:right="1440"/>
    </w:pPr>
  </w:style>
  <w:style w:type="character" w:customStyle="1" w:styleId="Subscript">
    <w:name w:val="Subscript"/>
    <w:basedOn w:val="DefaultParagraphFont"/>
    <w:rsid w:val="00DF6AD8"/>
    <w:rPr>
      <w:sz w:val="16"/>
      <w:vertAlign w:val="subscript"/>
    </w:rPr>
  </w:style>
  <w:style w:type="character" w:customStyle="1" w:styleId="Superscript">
    <w:name w:val="Superscript"/>
    <w:basedOn w:val="DefaultParagraphFont"/>
    <w:rsid w:val="00DF6AD8"/>
    <w:rPr>
      <w:sz w:val="16"/>
      <w:vertAlign w:val="superscript"/>
    </w:rPr>
  </w:style>
  <w:style w:type="character" w:customStyle="1" w:styleId="Symbols">
    <w:name w:val="Symbols"/>
    <w:basedOn w:val="DefaultParagraphFont"/>
    <w:rsid w:val="00DF6AD8"/>
    <w:rPr>
      <w:rFonts w:ascii="Symbol" w:hAnsi="Symbol"/>
    </w:rPr>
  </w:style>
  <w:style w:type="character" w:customStyle="1" w:styleId="MenuOptions">
    <w:name w:val="Menu Options"/>
    <w:basedOn w:val="DefaultParagraphFont"/>
    <w:rsid w:val="00DF6AD8"/>
    <w:rPr>
      <w:rFonts w:ascii="Arial Narrow" w:hAnsi="Arial Narrow"/>
      <w:smallCaps/>
    </w:rPr>
  </w:style>
  <w:style w:type="character" w:customStyle="1" w:styleId="Buttons">
    <w:name w:val="Buttons"/>
    <w:basedOn w:val="DefaultParagraphFont"/>
    <w:rsid w:val="00DF6AD8"/>
    <w:rPr>
      <w:b/>
    </w:rPr>
  </w:style>
  <w:style w:type="character" w:customStyle="1" w:styleId="Underlined">
    <w:name w:val="Underlined"/>
    <w:basedOn w:val="DefaultParagraphFont"/>
    <w:rsid w:val="00DF6AD8"/>
    <w:rPr>
      <w:u w:val="single"/>
    </w:rPr>
  </w:style>
  <w:style w:type="paragraph" w:customStyle="1" w:styleId="TableBodyTextRight">
    <w:name w:val="Table Body Text Right"/>
    <w:basedOn w:val="TableBodyText"/>
    <w:rsid w:val="00DF6AD8"/>
    <w:pPr>
      <w:widowControl w:val="0"/>
      <w:autoSpaceDE w:val="0"/>
      <w:autoSpaceDN w:val="0"/>
      <w:adjustRightInd w:val="0"/>
      <w:jc w:val="right"/>
    </w:pPr>
    <w:rPr>
      <w:rFonts w:cs="Arial"/>
      <w:szCs w:val="18"/>
    </w:rPr>
  </w:style>
  <w:style w:type="paragraph" w:customStyle="1" w:styleId="CopyrightText">
    <w:name w:val="Copyright Text"/>
    <w:basedOn w:val="BodyText"/>
    <w:rsid w:val="00DF6AD8"/>
    <w:rPr>
      <w:sz w:val="18"/>
    </w:rPr>
  </w:style>
  <w:style w:type="paragraph" w:customStyle="1" w:styleId="BodySmallRight">
    <w:name w:val="Body Small Right"/>
    <w:basedOn w:val="BodyTextRight"/>
    <w:rsid w:val="00DF6AD8"/>
    <w:rPr>
      <w:sz w:val="18"/>
      <w:szCs w:val="18"/>
    </w:rPr>
  </w:style>
  <w:style w:type="paragraph" w:customStyle="1" w:styleId="MarginEdition">
    <w:name w:val="Margin Edition"/>
    <w:basedOn w:val="MarginNote"/>
    <w:rsid w:val="00DF6AD8"/>
    <w:pPr>
      <w:spacing w:before="0" w:after="0"/>
    </w:pPr>
    <w:rPr>
      <w:rFonts w:ascii="Times New Roman" w:hAnsi="Times New Roman"/>
      <w:color w:val="999999"/>
    </w:rPr>
  </w:style>
  <w:style w:type="paragraph" w:customStyle="1" w:styleId="Spacer">
    <w:name w:val="Spacer"/>
    <w:basedOn w:val="Normal"/>
    <w:rsid w:val="00DF6AD8"/>
    <w:rPr>
      <w:sz w:val="2"/>
      <w:szCs w:val="2"/>
    </w:rPr>
  </w:style>
  <w:style w:type="character" w:customStyle="1" w:styleId="Small">
    <w:name w:val="Small"/>
    <w:basedOn w:val="DefaultParagraphFont"/>
    <w:rsid w:val="00DF6AD8"/>
    <w:rPr>
      <w:sz w:val="16"/>
    </w:rPr>
  </w:style>
  <w:style w:type="paragraph" w:customStyle="1" w:styleId="WideTable">
    <w:name w:val="Wide Table"/>
    <w:basedOn w:val="Normal"/>
    <w:rsid w:val="00DF6AD8"/>
    <w:pPr>
      <w:ind w:left="-1418"/>
    </w:pPr>
    <w:rPr>
      <w:sz w:val="2"/>
      <w:szCs w:val="2"/>
    </w:rPr>
  </w:style>
  <w:style w:type="character" w:styleId="PageNumber">
    <w:name w:val="page number"/>
    <w:basedOn w:val="DefaultParagraphFont"/>
    <w:rsid w:val="00DF6AD8"/>
  </w:style>
  <w:style w:type="paragraph" w:styleId="Quote">
    <w:name w:val="Quote"/>
    <w:basedOn w:val="Heading1"/>
    <w:link w:val="QuoteChar"/>
    <w:qFormat/>
    <w:rsid w:val="00DF6AD8"/>
    <w:rPr>
      <w:b w:val="0"/>
      <w:sz w:val="72"/>
      <w:szCs w:val="72"/>
      <w:lang w:val="en-NZ"/>
    </w:rPr>
  </w:style>
  <w:style w:type="character" w:customStyle="1" w:styleId="QuoteChar">
    <w:name w:val="Quote Char"/>
    <w:basedOn w:val="DefaultParagraphFont"/>
    <w:link w:val="Quote"/>
    <w:rsid w:val="00DF6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AD8"/>
    <w:pPr>
      <w:pageBreakBefore/>
    </w:pPr>
  </w:style>
  <w:style w:type="paragraph" w:customStyle="1" w:styleId="Border">
    <w:name w:val="Border"/>
    <w:basedOn w:val="Normal"/>
    <w:qFormat/>
    <w:rsid w:val="00DF6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AD8"/>
    <w:rPr>
      <w:b/>
      <w:bCs/>
      <w:i/>
      <w:iCs/>
      <w:color w:val="auto"/>
    </w:rPr>
  </w:style>
  <w:style w:type="paragraph" w:styleId="IntenseQuote">
    <w:name w:val="Intense Quote"/>
    <w:basedOn w:val="Normal"/>
    <w:next w:val="Normal"/>
    <w:link w:val="IntenseQuoteChar"/>
    <w:uiPriority w:val="30"/>
    <w:qFormat/>
    <w:rsid w:val="00DF6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AD8"/>
    <w:rPr>
      <w:smallCaps/>
      <w:color w:val="auto"/>
      <w:u w:val="single"/>
    </w:rPr>
  </w:style>
  <w:style w:type="character" w:styleId="IntenseReference">
    <w:name w:val="Intense Reference"/>
    <w:basedOn w:val="DefaultParagraphFont"/>
    <w:uiPriority w:val="32"/>
    <w:qFormat/>
    <w:rsid w:val="00DF6AD8"/>
    <w:rPr>
      <w:b/>
      <w:bCs/>
      <w:smallCaps/>
      <w:color w:val="auto"/>
      <w:spacing w:val="5"/>
      <w:u w:val="single"/>
    </w:rPr>
  </w:style>
  <w:style w:type="paragraph" w:customStyle="1" w:styleId="2ColumnHeading">
    <w:name w:val="2Column Heading"/>
    <w:basedOn w:val="BodyText"/>
    <w:qFormat/>
    <w:rsid w:val="00DF6AD8"/>
    <w:pPr>
      <w:spacing w:after="60"/>
      <w:ind w:left="-2268"/>
    </w:pPr>
    <w:rPr>
      <w:b/>
    </w:rPr>
  </w:style>
  <w:style w:type="paragraph" w:customStyle="1" w:styleId="Heading1TOC">
    <w:name w:val="Heading1 TOC"/>
    <w:basedOn w:val="Normal"/>
    <w:qFormat/>
    <w:rsid w:val="00DF6AD8"/>
    <w:pPr>
      <w:spacing w:before="240" w:after="120"/>
    </w:pPr>
    <w:rPr>
      <w:rFonts w:ascii="Times New Roman" w:hAnsi="Times New Roman"/>
      <w:b/>
      <w:sz w:val="32"/>
    </w:rPr>
  </w:style>
  <w:style w:type="paragraph" w:customStyle="1" w:styleId="Heading2TOC">
    <w:name w:val="Heading2 TOC"/>
    <w:basedOn w:val="Normal"/>
    <w:qFormat/>
    <w:rsid w:val="00DF6AD8"/>
    <w:pPr>
      <w:spacing w:before="240" w:after="60"/>
    </w:pPr>
    <w:rPr>
      <w:rFonts w:ascii="Times New Roman" w:hAnsi="Times New Roman"/>
      <w:b/>
      <w:sz w:val="28"/>
    </w:rPr>
  </w:style>
  <w:style w:type="character" w:customStyle="1" w:styleId="Underline">
    <w:name w:val="Underline"/>
    <w:basedOn w:val="DefaultParagraphFont"/>
    <w:qFormat/>
    <w:rsid w:val="00DF6AD8"/>
    <w:rPr>
      <w:u w:val="single"/>
    </w:rPr>
  </w:style>
  <w:style w:type="character" w:customStyle="1" w:styleId="BoldandItalics">
    <w:name w:val="Bold and Italics"/>
    <w:qFormat/>
    <w:rsid w:val="00DF6AD8"/>
    <w:rPr>
      <w:b/>
      <w:i/>
      <w:u w:val="none"/>
    </w:rPr>
  </w:style>
  <w:style w:type="paragraph" w:styleId="BalloonText">
    <w:name w:val="Balloon Text"/>
    <w:basedOn w:val="Normal"/>
    <w:link w:val="BalloonTextChar"/>
    <w:rsid w:val="00DF6AD8"/>
    <w:rPr>
      <w:rFonts w:ascii="Tahoma" w:hAnsi="Tahoma" w:cs="Tahoma"/>
      <w:sz w:val="16"/>
      <w:szCs w:val="16"/>
    </w:rPr>
  </w:style>
  <w:style w:type="character" w:customStyle="1" w:styleId="BalloonTextChar">
    <w:name w:val="Balloon Text Char"/>
    <w:basedOn w:val="DefaultParagraphFont"/>
    <w:link w:val="BalloonText"/>
    <w:rsid w:val="00DF6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A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AD8"/>
    <w:rPr>
      <w:b/>
      <w:color w:val="660033"/>
      <w:spacing w:val="0"/>
    </w:rPr>
  </w:style>
  <w:style w:type="paragraph" w:customStyle="1" w:styleId="Nameditemlist">
    <w:name w:val="Named item list"/>
    <w:basedOn w:val="BodyText"/>
    <w:qFormat/>
    <w:rsid w:val="00DF6A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2191</Words>
  <Characters>12562</Characters>
  <Application>Microsoft Office Word</Application>
  <DocSecurity>0</DocSecurity>
  <Lines>749</Lines>
  <Paragraphs>312</Paragraphs>
  <ScaleCrop>false</ScaleCrop>
  <Company>Author-it Software Corporation Ltd.</Company>
  <LinksUpToDate>false</LinksUpToDate>
  <CharactersWithSpaces>14454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TDMMA1207B MANAGE STRESS AND DYNAMIC FACTORS AFFECTING A SMALL VESSEL'S STABILITY</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2012-10-11T23:11:00Z</dcterms:created>
  <dcterms:modified xsi:type="dcterms:W3CDTF">2012-10-11T23:11:00Z</dcterms:modified>
</cp:coreProperties>
</file>