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71E" w:rsidP="0033671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TDM10107 CERTIFICATE I IN TRANSPORT  DISTRIBUTION (MARITIME OPERATIONS)</w:t>
      </w:r>
      <w:r>
        <w:fldChar w:fldCharType="end"/>
      </w:r>
    </w:p>
    <w:p w:rsidR="0033671E" w:rsidP="0033671E">
      <w:pPr>
        <w:pStyle w:val="Version"/>
        <w:sectPr w:rsidSect="00112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14E" w:rsidP="0011214E">
      <w:pPr>
        <w:pStyle w:val="SuperHeading"/>
      </w:pPr>
      <w:r w:rsidRPr="0011214E">
        <w:t>TDM10107 CERTIFICATE I IN TRANSPORT  DISTRIBUTION (MARITIME OPERATIONS)</w:t>
      </w:r>
    </w:p>
    <w:p w:rsidR="00000000" w:rsidRPr="0011214E" w:rsidP="0011214E">
      <w:pPr>
        <w:pStyle w:val="Heading1"/>
      </w:pPr>
      <w:bookmarkStart w:id="1" w:name="O_55099"/>
      <w:bookmarkEnd w:id="1"/>
      <w:r w:rsidRPr="0011214E">
        <w:t>Modification History</w:t>
      </w:r>
    </w:p>
    <w:p w:rsidR="00000000" w:rsidRPr="0011214E" w:rsidP="0011214E">
      <w:pPr>
        <w:pStyle w:val="BodyText"/>
      </w:pPr>
      <w:r w:rsidRPr="0011214E">
        <w:t>Not applicable.</w:t>
      </w:r>
    </w:p>
    <w:p w:rsidR="00000000" w:rsidRPr="0011214E" w:rsidP="0011214E">
      <w:pPr>
        <w:pStyle w:val="AllowPageBreak"/>
      </w:pPr>
    </w:p>
    <w:p w:rsidR="00000000" w:rsidRPr="0011214E" w:rsidP="0011214E">
      <w:pPr>
        <w:pStyle w:val="Heading1"/>
      </w:pPr>
      <w:bookmarkStart w:id="2" w:name="O_55100"/>
      <w:bookmarkEnd w:id="2"/>
      <w:r w:rsidRPr="0011214E">
        <w:t>Description</w:t>
      </w:r>
    </w:p>
    <w:p w:rsidR="00000000" w:rsidRPr="0011214E" w:rsidP="0011214E">
      <w:pPr>
        <w:pStyle w:val="BodyText"/>
      </w:pPr>
      <w:r w:rsidRPr="0011214E">
        <w:rPr>
          <w:rStyle w:val="SpecialBold"/>
        </w:rPr>
        <w:t>Rationale</w:t>
      </w:r>
      <w:r w:rsidRPr="0011214E">
        <w:t>:</w:t>
      </w:r>
    </w:p>
    <w:p w:rsidR="00000000" w:rsidRPr="0011214E" w:rsidP="0011214E">
      <w:pPr>
        <w:pStyle w:val="BodyText"/>
      </w:pPr>
      <w:r w:rsidRPr="0011214E">
        <w:t>An en</w:t>
      </w:r>
      <w:r w:rsidRPr="0011214E">
        <w:t>try level qualification at AQF Level 1 for the Maritime Sector of the Transport&amp;Distribution Industry.</w:t>
      </w:r>
    </w:p>
    <w:p w:rsidR="00000000" w:rsidRPr="0011214E" w:rsidP="0011214E">
      <w:pPr>
        <w:pStyle w:val="BodyText"/>
      </w:pPr>
    </w:p>
    <w:p w:rsidR="00000000" w:rsidRPr="0011214E" w:rsidP="0011214E">
      <w:pPr>
        <w:pStyle w:val="BodyText"/>
      </w:pPr>
      <w:r w:rsidRPr="0011214E">
        <w:t>Successful completion will require competency in units that relate to work defined as aligned at AQF Level 1:</w:t>
      </w:r>
    </w:p>
    <w:p w:rsidR="0033671E" w:rsidP="0011214E">
      <w:pPr>
        <w:pStyle w:val="BodyText"/>
      </w:pPr>
      <w:r w:rsidRPr="0011214E">
        <w:t>'</w:t>
      </w:r>
      <w:r w:rsidRPr="0011214E">
        <w:rPr>
          <w:rStyle w:val="Emphasis"/>
        </w:rPr>
        <w:t>Breadth</w:t>
      </w:r>
      <w:r w:rsidRPr="0011214E">
        <w:t xml:space="preserve">, </w:t>
      </w:r>
      <w:r w:rsidRPr="0011214E">
        <w:rPr>
          <w:rStyle w:val="Emphasis"/>
        </w:rPr>
        <w:t>depth and complexity of knowledg</w:t>
      </w:r>
      <w:r w:rsidRPr="0011214E">
        <w:rPr>
          <w:rStyle w:val="Emphasis"/>
        </w:rPr>
        <w:t>e and skills would prepare a person to perform a defined range of activities most of which may be routine and predictable</w:t>
      </w:r>
      <w:r w:rsidRPr="0011214E">
        <w:t xml:space="preserve">. </w:t>
      </w:r>
      <w:r w:rsidRPr="0011214E">
        <w:rPr>
          <w:rStyle w:val="Emphasis"/>
        </w:rPr>
        <w:t>Applications may include a variety of employment</w:t>
      </w:r>
      <w:r w:rsidRPr="0011214E">
        <w:t>-</w:t>
      </w:r>
      <w:r w:rsidRPr="0011214E">
        <w:rPr>
          <w:rStyle w:val="Emphasis"/>
        </w:rPr>
        <w:t>related skills including preparatory access and participation skills</w:t>
      </w:r>
      <w:r w:rsidRPr="0011214E">
        <w:t xml:space="preserve">, </w:t>
      </w:r>
      <w:r w:rsidRPr="0011214E">
        <w:rPr>
          <w:rStyle w:val="Emphasis"/>
        </w:rPr>
        <w:t>broad</w:t>
      </w:r>
      <w:r w:rsidRPr="0011214E">
        <w:t>-</w:t>
      </w:r>
      <w:r w:rsidRPr="0011214E">
        <w:rPr>
          <w:rStyle w:val="Emphasis"/>
        </w:rPr>
        <w:t>based in</w:t>
      </w:r>
      <w:r w:rsidRPr="0011214E">
        <w:rPr>
          <w:rStyle w:val="Emphasis"/>
        </w:rPr>
        <w:t>duction skills and</w:t>
      </w:r>
      <w:r w:rsidRPr="0011214E">
        <w:t>/</w:t>
      </w:r>
      <w:r w:rsidRPr="0011214E">
        <w:rPr>
          <w:rStyle w:val="Emphasis"/>
        </w:rPr>
        <w:t>or specific workplace skills</w:t>
      </w:r>
      <w:r w:rsidRPr="0011214E">
        <w:t xml:space="preserve">. </w:t>
      </w:r>
      <w:r w:rsidRPr="0011214E">
        <w:rPr>
          <w:rStyle w:val="Emphasis"/>
        </w:rPr>
        <w:t>They may also include participation in a team or work group'</w:t>
      </w:r>
      <w:r w:rsidRPr="0011214E">
        <w:t>.</w:t>
      </w:r>
    </w:p>
    <w:p w:rsidR="0033671E" w:rsidP="0011214E">
      <w:pPr>
        <w:pStyle w:val="BodyText"/>
      </w:pPr>
    </w:p>
    <w:p w:rsidR="00000000" w:rsidRPr="0011214E" w:rsidP="0011214E">
      <w:pPr>
        <w:pStyle w:val="Heading1"/>
      </w:pPr>
      <w:bookmarkStart w:id="3" w:name="O_55101"/>
      <w:bookmarkEnd w:id="3"/>
      <w:r w:rsidRPr="0011214E">
        <w:t>Pathways Information</w:t>
      </w:r>
    </w:p>
    <w:p w:rsidR="00000000" w:rsidRPr="0011214E" w:rsidP="0011214E">
      <w:pPr>
        <w:pStyle w:val="BodyText"/>
      </w:pPr>
      <w:r w:rsidRPr="0011214E">
        <w:t>Not applicable.</w:t>
      </w:r>
    </w:p>
    <w:p w:rsidR="00000000" w:rsidRPr="0011214E" w:rsidP="0011214E">
      <w:pPr>
        <w:pStyle w:val="AllowPageBreak"/>
      </w:pPr>
    </w:p>
    <w:p w:rsidR="00000000" w:rsidRPr="0011214E" w:rsidP="0011214E">
      <w:pPr>
        <w:pStyle w:val="Heading1"/>
      </w:pPr>
      <w:bookmarkStart w:id="4" w:name="O_55102"/>
      <w:bookmarkEnd w:id="4"/>
      <w:r w:rsidRPr="0011214E">
        <w:t>Licensing/Regulatory Information</w:t>
      </w:r>
    </w:p>
    <w:p w:rsidR="00000000" w:rsidRPr="0011214E" w:rsidP="0011214E">
      <w:pPr>
        <w:pStyle w:val="BodyText"/>
      </w:pPr>
      <w:r w:rsidRPr="0011214E">
        <w:t>Not applicable.</w:t>
      </w:r>
    </w:p>
    <w:p w:rsidR="00000000" w:rsidRPr="0011214E" w:rsidP="0011214E">
      <w:pPr>
        <w:pStyle w:val="AllowPageBreak"/>
      </w:pPr>
    </w:p>
    <w:p w:rsidR="00000000" w:rsidRPr="0011214E" w:rsidP="0011214E">
      <w:pPr>
        <w:pStyle w:val="Heading1"/>
      </w:pPr>
      <w:bookmarkStart w:id="5" w:name="O_55103"/>
      <w:bookmarkEnd w:id="5"/>
      <w:r w:rsidRPr="0011214E">
        <w:t>Entry Requirements</w:t>
      </w:r>
    </w:p>
    <w:p w:rsidR="00000000" w:rsidRPr="0011214E" w:rsidP="0011214E">
      <w:pPr>
        <w:pStyle w:val="BodyText"/>
      </w:pPr>
      <w:r w:rsidRPr="0011214E">
        <w:t>Not applicable.</w:t>
      </w:r>
    </w:p>
    <w:p w:rsidR="00000000" w:rsidRPr="0011214E" w:rsidP="0011214E">
      <w:pPr>
        <w:pStyle w:val="AllowPageBreak"/>
      </w:pPr>
    </w:p>
    <w:p w:rsidR="00000000" w:rsidRPr="0011214E" w:rsidP="0011214E">
      <w:pPr>
        <w:pStyle w:val="Heading1"/>
      </w:pPr>
      <w:bookmarkStart w:id="6" w:name="O_55104"/>
      <w:bookmarkEnd w:id="6"/>
      <w:r w:rsidRPr="0011214E">
        <w:t>Employability Skills Summary</w:t>
      </w:r>
    </w:p>
    <w:p w:rsidR="00000000" w:rsidRPr="0011214E" w:rsidP="0011214E">
      <w:pPr>
        <w:pStyle w:val="BodyText"/>
      </w:pPr>
      <w:r w:rsidRPr="0011214E">
        <w:t>Not applicable.</w:t>
      </w:r>
    </w:p>
    <w:p w:rsidR="00000000" w:rsidRPr="0011214E" w:rsidP="0011214E">
      <w:pPr>
        <w:pStyle w:val="AllowPageBreak"/>
      </w:pPr>
    </w:p>
    <w:p w:rsidR="00000000" w:rsidRPr="0011214E" w:rsidP="0011214E">
      <w:pPr>
        <w:pStyle w:val="Heading1"/>
      </w:pPr>
      <w:bookmarkStart w:id="7" w:name="O_55105"/>
      <w:bookmarkEnd w:id="7"/>
      <w:r w:rsidRPr="0011214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36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4E" w:rsidP="0011214E">
            <w:pPr>
              <w:pStyle w:val="BodyText"/>
            </w:pPr>
            <w:r w:rsidRPr="0011214E">
              <w:rPr>
                <w:rStyle w:val="SpecialBold"/>
              </w:rPr>
              <w:t>Requirements for completion of the qualification</w:t>
            </w:r>
            <w:r w:rsidRPr="0011214E">
              <w:t>:</w:t>
            </w:r>
          </w:p>
          <w:p w:rsidR="00000000" w:rsidRPr="0011214E" w:rsidP="0011214E">
            <w:pPr>
              <w:pStyle w:val="BodyText"/>
            </w:pPr>
            <w:r w:rsidRPr="0011214E">
              <w:t xml:space="preserve">A successful outcome of </w:t>
            </w:r>
            <w:r w:rsidRPr="0011214E">
              <w:rPr>
                <w:rStyle w:val="SpecialBold"/>
              </w:rPr>
              <w:t>five</w:t>
            </w:r>
            <w:r w:rsidRPr="0011214E">
              <w:t xml:space="preserve"> units of competency which must include:</w:t>
            </w:r>
          </w:p>
          <w:p w:rsidR="00000000" w:rsidRPr="0011214E" w:rsidP="0011214E">
            <w:pPr>
              <w:pStyle w:val="ListBullet"/>
            </w:pPr>
            <w:r w:rsidRPr="0011214E">
              <w:t xml:space="preserve">the </w:t>
            </w:r>
            <w:r w:rsidRPr="0011214E">
              <w:rPr>
                <w:rStyle w:val="SpecialBold"/>
              </w:rPr>
              <w:t>two uni</w:t>
            </w:r>
            <w:r w:rsidRPr="0011214E">
              <w:rPr>
                <w:rStyle w:val="SpecialBold"/>
              </w:rPr>
              <w:t>ts</w:t>
            </w:r>
            <w:r w:rsidRPr="0011214E">
              <w:t xml:space="preserve"> listed below, plus</w:t>
            </w:r>
          </w:p>
          <w:p w:rsidR="00000000" w:rsidRPr="0011214E" w:rsidP="0011214E">
            <w:pPr>
              <w:pStyle w:val="ListBullet"/>
            </w:pPr>
            <w:r w:rsidRPr="0011214E">
              <w:t xml:space="preserve">at least </w:t>
            </w:r>
            <w:r w:rsidRPr="0011214E">
              <w:rPr>
                <w:rStyle w:val="SpecialBold"/>
              </w:rPr>
              <w:t>three additional units</w:t>
            </w:r>
            <w:r w:rsidRPr="0011214E">
              <w:t xml:space="preserve"> to satisfy specific additional employment needs beyond the minimum mandatory requirements.</w:t>
            </w:r>
          </w:p>
          <w:p w:rsidR="00000000" w:rsidRPr="0011214E" w:rsidP="0011214E">
            <w:pPr>
              <w:pStyle w:val="BodyText"/>
            </w:pPr>
            <w:r w:rsidRPr="0011214E">
              <w:t>Three additional units are listed below under additional requirements as a recommended skills set in addition t</w:t>
            </w:r>
            <w:r w:rsidRPr="0011214E">
              <w:t>o the mandatory requirements for persons seeking to be employed a General Purpose Hand.</w:t>
            </w:r>
          </w:p>
        </w:tc>
      </w:tr>
    </w:tbl>
    <w:p w:rsidR="00000000" w:rsidRPr="0011214E" w:rsidP="0011214E">
      <w:pPr>
        <w:pStyle w:val="BodyText"/>
      </w:pP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126"/>
        <w:gridCol w:w="1409"/>
        <w:gridCol w:w="5361"/>
      </w:tblGrid>
      <w:tr w:rsidTr="003367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4E" w:rsidP="0011214E">
            <w:pPr>
              <w:pStyle w:val="BodyText"/>
            </w:pPr>
            <w:r w:rsidRPr="0011214E">
              <w:rPr>
                <w:rStyle w:val="SpecialBold"/>
              </w:rPr>
              <w:t>MANDATORY REQUIREMENTS</w:t>
            </w:r>
          </w:p>
          <w:p w:rsidR="00000000" w:rsidRPr="0011214E" w:rsidP="0011214E">
            <w:pPr>
              <w:pStyle w:val="BodyText"/>
            </w:pPr>
            <w:r w:rsidRPr="0011214E">
              <w:rPr>
                <w:rStyle w:val="SpecialBold"/>
              </w:rPr>
              <w:t>FIELD</w:t>
            </w:r>
          </w:p>
        </w:tc>
        <w:tc>
          <w:tcPr>
            <w:tcW w:w="6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4E">
            <w:pPr>
              <w:pStyle w:val="BodyText"/>
              <w:rPr>
                <w:lang w:val="en-NZ"/>
              </w:rPr>
            </w:pPr>
            <w:r w:rsidRPr="0011214E">
              <w:rPr>
                <w:rStyle w:val="SpecialBold"/>
              </w:rPr>
              <w:t>UNIT</w:t>
            </w:r>
          </w:p>
        </w:tc>
      </w:tr>
      <w:tr w:rsidTr="003367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4E" w:rsidP="0011214E">
            <w:pPr>
              <w:pStyle w:val="BodyText"/>
            </w:pPr>
            <w:r w:rsidRPr="0011214E">
              <w:rPr>
                <w:rStyle w:val="SpecialBold"/>
              </w:rPr>
              <w:t>F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4E" w:rsidP="0011214E">
            <w:pPr>
              <w:pStyle w:val="BodyText"/>
            </w:pPr>
            <w:r w:rsidRPr="0011214E">
              <w:rPr>
                <w:rStyle w:val="SpecialBold"/>
              </w:rPr>
              <w:t>Operational Quality</w:t>
            </w:r>
          </w:p>
          <w:p w:rsidR="00000000" w:rsidP="0011214E">
            <w:pPr>
              <w:pStyle w:val="BodyText"/>
              <w:rPr>
                <w:lang w:val="en-NZ"/>
              </w:rPr>
            </w:pPr>
            <w:r w:rsidRPr="0011214E">
              <w:rPr>
                <w:rStyle w:val="SpecialBold"/>
              </w:rPr>
              <w:t>and Safety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4E">
            <w:pPr>
              <w:pStyle w:val="BodyText"/>
              <w:rPr>
                <w:lang w:val="en-NZ"/>
              </w:rPr>
            </w:pPr>
            <w:r w:rsidRPr="0011214E">
              <w:t>TDMMF1107B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4E">
            <w:pPr>
              <w:pStyle w:val="BodyText"/>
              <w:rPr>
                <w:lang w:val="en-NZ"/>
              </w:rPr>
            </w:pPr>
            <w:r w:rsidRPr="0011214E">
              <w:t>Survive at sea in the event of vessel abandonment</w:t>
            </w:r>
          </w:p>
        </w:tc>
      </w:tr>
      <w:tr w:rsidTr="003367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4E">
            <w:pPr>
              <w:pStyle w:val="BodyText"/>
              <w:rPr>
                <w:lang w:val="en-NZ"/>
              </w:rPr>
            </w:pPr>
            <w:r w:rsidRPr="0011214E">
              <w:t>TDMMF5707A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4E" w:rsidP="0011214E">
            <w:pPr>
              <w:pStyle w:val="BodyText"/>
            </w:pPr>
            <w:r w:rsidRPr="0011214E">
              <w:t xml:space="preserve">Assist in safe operations and emergency procedures on a coastal vessel </w:t>
            </w:r>
            <w:r w:rsidRPr="0011214E">
              <w:rPr>
                <w:rStyle w:val="Superscript"/>
              </w:rPr>
              <w:t>Note 1</w:t>
            </w:r>
          </w:p>
        </w:tc>
      </w:tr>
    </w:tbl>
    <w:p w:rsidR="00000000" w:rsidRPr="0011214E" w:rsidP="0011214E">
      <w:pPr>
        <w:pStyle w:val="BodyText"/>
      </w:pPr>
    </w:p>
    <w:p w:rsidR="00000000" w:rsidRPr="0011214E" w:rsidP="0011214E">
      <w:pPr>
        <w:pStyle w:val="BodyText"/>
      </w:pPr>
      <w:r w:rsidRPr="0011214E">
        <w:rPr>
          <w:rStyle w:val="SpecialBold"/>
        </w:rPr>
        <w:t>Note 1</w:t>
      </w:r>
      <w:r w:rsidRPr="0011214E">
        <w:t>:</w:t>
      </w:r>
      <w:r w:rsidRPr="0011214E">
        <w:tab/>
        <w:t xml:space="preserve">TDMMF5707A is a </w:t>
      </w:r>
      <w:r w:rsidRPr="0011214E">
        <w:rPr>
          <w:rStyle w:val="SpecialBold"/>
        </w:rPr>
        <w:t>new unit</w:t>
      </w:r>
      <w:r w:rsidRPr="0011214E">
        <w:t xml:space="preserve"> incorporating the relevant components of the previous four units TDMMF701B Observe safe working practices, TDMMF801B Comply with emergency proc</w:t>
      </w:r>
      <w:r w:rsidRPr="0011214E">
        <w:t>edures TDMMF5302A Fight and extinguish fires on board a commercial vessel and TDMMF1201A Minimise the risk of fire and maintain a state of readiness to respond to emergency situations involving fire.</w:t>
      </w:r>
    </w:p>
    <w:p w:rsidR="0033671E" w:rsidP="0011214E">
      <w:pPr>
        <w:pStyle w:val="BodyText"/>
      </w:pPr>
      <w:r w:rsidRPr="0011214E">
        <w:t>The new unit has been specially tailored to align with t</w:t>
      </w:r>
      <w:r w:rsidRPr="0011214E">
        <w:t>he '</w:t>
      </w:r>
      <w:r w:rsidRPr="0011214E">
        <w:rPr>
          <w:rStyle w:val="Emphasis"/>
        </w:rPr>
        <w:t>Guidelines for On</w:t>
      </w:r>
      <w:r w:rsidRPr="0011214E">
        <w:t>-</w:t>
      </w:r>
      <w:r w:rsidRPr="0011214E">
        <w:rPr>
          <w:rStyle w:val="Emphasis"/>
        </w:rPr>
        <w:t>board Safety Training</w:t>
      </w:r>
      <w:r w:rsidRPr="0011214E">
        <w:t xml:space="preserve"> - </w:t>
      </w:r>
      <w:r w:rsidRPr="0011214E">
        <w:rPr>
          <w:rStyle w:val="Emphasis"/>
        </w:rPr>
        <w:t>Australian Domestic Vessels'</w:t>
      </w:r>
      <w:r w:rsidRPr="0011214E">
        <w:t xml:space="preserve"> published by the National Marine Safety Committee (NMSC) (2000) and relevant regulations of the State and Territory Marine Authorities. (Persons satisfying requirement for this unit</w:t>
      </w:r>
      <w:r w:rsidRPr="0011214E">
        <w:t xml:space="preserve"> may be required to undertake further study and assessment to fulfil the pre-sea safety requirements of Marine Authorities for Coxswain and Marine Engine Driver Grade 3 and other marine occupations described in Part D of the National Standard for Commercia</w:t>
      </w:r>
      <w:r w:rsidRPr="0011214E">
        <w:t>l Vessels).</w:t>
      </w:r>
    </w:p>
    <w:p w:rsidR="0033671E" w:rsidP="0011214E">
      <w:pPr>
        <w:pStyle w:val="BodyText"/>
      </w:pPr>
    </w:p>
    <w:p w:rsidR="00000000" w:rsidRPr="0011214E" w:rsidP="0011214E"/>
    <w:sectPr w:rsidSect="001121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671E" w:rsidP="0033671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1E" w:rsidP="0011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671E" w:rsidP="0011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3671E" w:rsidP="0011214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E" w:rsidRPr="0033671E" w:rsidP="003367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1E" w:rsidRPr="002D2AF8" w:rsidP="0011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TDM10107 CERTIFICATE I IN TRANSPORT  DISTRIBUTION (MARITIME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33671E" w:rsidP="00112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3AA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14E"/>
  </w:style>
  <w:style w:type="character" w:customStyle="1" w:styleId="Heading1Char">
    <w:name w:val="Heading 1 Char"/>
    <w:basedOn w:val="DefaultParagraphFont"/>
    <w:link w:val="Heading1"/>
    <w:rsid w:val="00112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1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14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2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14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121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14E"/>
    <w:rPr>
      <w:b/>
      <w:spacing w:val="0"/>
    </w:rPr>
  </w:style>
  <w:style w:type="character" w:styleId="Emphasis">
    <w:name w:val="Emphasis"/>
    <w:basedOn w:val="DefaultParagraphFont"/>
    <w:qFormat/>
    <w:rsid w:val="0011214E"/>
    <w:rPr>
      <w:i/>
    </w:rPr>
  </w:style>
  <w:style w:type="paragraph" w:customStyle="1" w:styleId="SuperHeading">
    <w:name w:val="SuperHeading"/>
    <w:basedOn w:val="Normal"/>
    <w:rsid w:val="0011214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2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11214E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112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2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1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14E"/>
  </w:style>
  <w:style w:type="paragraph" w:styleId="TableofFigures">
    <w:name w:val="table of figures"/>
    <w:basedOn w:val="Normal"/>
    <w:next w:val="Normal"/>
    <w:semiHidden/>
    <w:rsid w:val="00112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14E"/>
    <w:pPr>
      <w:numPr>
        <w:numId w:val="10"/>
      </w:numPr>
    </w:pPr>
  </w:style>
  <w:style w:type="character" w:customStyle="1" w:styleId="WingdingSymbols">
    <w:name w:val="Wingding Symbols"/>
    <w:rsid w:val="0011214E"/>
    <w:rPr>
      <w:rFonts w:ascii="Wingdings" w:hAnsi="Wingdings"/>
    </w:rPr>
  </w:style>
  <w:style w:type="paragraph" w:customStyle="1" w:styleId="TableHeading">
    <w:name w:val="Table Heading"/>
    <w:basedOn w:val="HeadingBase"/>
    <w:rsid w:val="00112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14E"/>
    <w:rPr>
      <w:color w:val="0033CC"/>
      <w:u w:val="none"/>
    </w:rPr>
  </w:style>
  <w:style w:type="paragraph" w:customStyle="1" w:styleId="BodyTextRight">
    <w:name w:val="Body Text Right"/>
    <w:basedOn w:val="BodyText"/>
    <w:rsid w:val="00112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14E"/>
    <w:rPr>
      <w:sz w:val="32"/>
    </w:rPr>
  </w:style>
  <w:style w:type="paragraph" w:customStyle="1" w:styleId="HeadingProcedure">
    <w:name w:val="Heading Procedure"/>
    <w:basedOn w:val="HeadingBase"/>
    <w:next w:val="Normal"/>
    <w:rsid w:val="00112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14E"/>
    <w:pPr>
      <w:spacing w:before="60" w:after="60"/>
    </w:pPr>
  </w:style>
  <w:style w:type="paragraph" w:styleId="ListContinue">
    <w:name w:val="List Continue"/>
    <w:basedOn w:val="List"/>
    <w:rsid w:val="0011214E"/>
    <w:pPr>
      <w:ind w:firstLine="0"/>
    </w:pPr>
  </w:style>
  <w:style w:type="paragraph" w:customStyle="1" w:styleId="ListNote">
    <w:name w:val="List Note"/>
    <w:basedOn w:val="List"/>
    <w:rsid w:val="00112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14E"/>
    <w:rPr>
      <w:rFonts w:ascii="Courier New" w:hAnsi="Courier New"/>
    </w:rPr>
  </w:style>
  <w:style w:type="paragraph" w:customStyle="1" w:styleId="NoteBullet">
    <w:name w:val="Note Bullet"/>
    <w:basedOn w:val="Note"/>
    <w:rsid w:val="00112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14E"/>
    <w:rPr>
      <w:b/>
      <w:smallCaps/>
    </w:rPr>
  </w:style>
  <w:style w:type="paragraph" w:customStyle="1" w:styleId="TableListNumber">
    <w:name w:val="Table List Number"/>
    <w:basedOn w:val="ListNumber"/>
    <w:rsid w:val="00112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14E"/>
    <w:pPr>
      <w:numPr>
        <w:numId w:val="8"/>
      </w:numPr>
    </w:pPr>
  </w:style>
  <w:style w:type="paragraph" w:customStyle="1" w:styleId="ListAlpha2">
    <w:name w:val="List Alpha 2"/>
    <w:basedOn w:val="List2"/>
    <w:rsid w:val="0011214E"/>
    <w:pPr>
      <w:numPr>
        <w:numId w:val="7"/>
      </w:numPr>
    </w:pPr>
  </w:style>
  <w:style w:type="paragraph" w:styleId="List2">
    <w:name w:val="List 2"/>
    <w:basedOn w:val="BodyText"/>
    <w:rsid w:val="00112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14E"/>
    <w:pPr>
      <w:numPr>
        <w:numId w:val="2"/>
      </w:numPr>
    </w:pPr>
  </w:style>
  <w:style w:type="paragraph" w:styleId="ListBullet5">
    <w:name w:val="List Bullet 5"/>
    <w:basedOn w:val="List5"/>
    <w:rsid w:val="0011214E"/>
    <w:pPr>
      <w:numPr>
        <w:numId w:val="3"/>
      </w:numPr>
    </w:pPr>
  </w:style>
  <w:style w:type="paragraph" w:styleId="ListContinue2">
    <w:name w:val="List Continue 2"/>
    <w:basedOn w:val="List2"/>
    <w:rsid w:val="0011214E"/>
    <w:pPr>
      <w:ind w:firstLine="0"/>
    </w:pPr>
  </w:style>
  <w:style w:type="paragraph" w:styleId="ListContinue3">
    <w:name w:val="List Continue 3"/>
    <w:basedOn w:val="List3"/>
    <w:rsid w:val="0011214E"/>
    <w:pPr>
      <w:ind w:left="1021" w:firstLine="0"/>
    </w:pPr>
  </w:style>
  <w:style w:type="paragraph" w:styleId="ListContinue4">
    <w:name w:val="List Continue 4"/>
    <w:basedOn w:val="List4"/>
    <w:rsid w:val="0011214E"/>
    <w:pPr>
      <w:ind w:firstLine="0"/>
    </w:pPr>
  </w:style>
  <w:style w:type="paragraph" w:styleId="ListContinue5">
    <w:name w:val="List Continue 5"/>
    <w:basedOn w:val="List5"/>
    <w:rsid w:val="0011214E"/>
    <w:pPr>
      <w:ind w:firstLine="0"/>
    </w:pPr>
  </w:style>
  <w:style w:type="paragraph" w:styleId="ListNumber3">
    <w:name w:val="List Number 3"/>
    <w:basedOn w:val="List3"/>
    <w:rsid w:val="0011214E"/>
    <w:pPr>
      <w:numPr>
        <w:numId w:val="4"/>
      </w:numPr>
    </w:pPr>
  </w:style>
  <w:style w:type="paragraph" w:styleId="ListNumber4">
    <w:name w:val="List Number 4"/>
    <w:basedOn w:val="List4"/>
    <w:rsid w:val="0011214E"/>
    <w:pPr>
      <w:numPr>
        <w:numId w:val="5"/>
      </w:numPr>
    </w:pPr>
  </w:style>
  <w:style w:type="paragraph" w:styleId="ListNumber5">
    <w:name w:val="List Number 5"/>
    <w:basedOn w:val="List5"/>
    <w:rsid w:val="0011214E"/>
    <w:pPr>
      <w:numPr>
        <w:numId w:val="6"/>
      </w:numPr>
    </w:pPr>
  </w:style>
  <w:style w:type="paragraph" w:styleId="BlockText">
    <w:name w:val="Block Text"/>
    <w:basedOn w:val="Normal"/>
    <w:rsid w:val="00112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14E"/>
    <w:rPr>
      <w:sz w:val="16"/>
      <w:vertAlign w:val="subscript"/>
    </w:rPr>
  </w:style>
  <w:style w:type="character" w:customStyle="1" w:styleId="Symbols">
    <w:name w:val="Symbols"/>
    <w:basedOn w:val="DefaultParagraphFont"/>
    <w:rsid w:val="0011214E"/>
    <w:rPr>
      <w:rFonts w:ascii="Symbol" w:hAnsi="Symbol"/>
    </w:rPr>
  </w:style>
  <w:style w:type="character" w:customStyle="1" w:styleId="MenuOptions">
    <w:name w:val="Menu Options"/>
    <w:basedOn w:val="DefaultParagraphFont"/>
    <w:rsid w:val="00112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14E"/>
    <w:rPr>
      <w:b/>
    </w:rPr>
  </w:style>
  <w:style w:type="character" w:customStyle="1" w:styleId="Underlined">
    <w:name w:val="Underlined"/>
    <w:basedOn w:val="DefaultParagraphFont"/>
    <w:rsid w:val="0011214E"/>
    <w:rPr>
      <w:u w:val="single"/>
    </w:rPr>
  </w:style>
  <w:style w:type="paragraph" w:customStyle="1" w:styleId="TableBodyTextRight">
    <w:name w:val="Table Body Text Right"/>
    <w:basedOn w:val="TableBodyText"/>
    <w:rsid w:val="00112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14E"/>
    <w:rPr>
      <w:sz w:val="18"/>
    </w:rPr>
  </w:style>
  <w:style w:type="paragraph" w:customStyle="1" w:styleId="BodySmallRight">
    <w:name w:val="Body Small Right"/>
    <w:basedOn w:val="BodyTextRight"/>
    <w:rsid w:val="0011214E"/>
    <w:rPr>
      <w:sz w:val="18"/>
      <w:szCs w:val="18"/>
    </w:rPr>
  </w:style>
  <w:style w:type="paragraph" w:customStyle="1" w:styleId="MarginEdition">
    <w:name w:val="Margin Edition"/>
    <w:basedOn w:val="MarginNote"/>
    <w:rsid w:val="00112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14E"/>
    <w:rPr>
      <w:sz w:val="2"/>
      <w:szCs w:val="2"/>
    </w:rPr>
  </w:style>
  <w:style w:type="character" w:customStyle="1" w:styleId="Small">
    <w:name w:val="Small"/>
    <w:basedOn w:val="DefaultParagraphFont"/>
    <w:rsid w:val="0011214E"/>
    <w:rPr>
      <w:sz w:val="16"/>
    </w:rPr>
  </w:style>
  <w:style w:type="paragraph" w:customStyle="1" w:styleId="WideTable">
    <w:name w:val="Wide Table"/>
    <w:basedOn w:val="Normal"/>
    <w:rsid w:val="00112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14E"/>
  </w:style>
  <w:style w:type="paragraph" w:styleId="Quote">
    <w:name w:val="Quote"/>
    <w:basedOn w:val="Heading1"/>
    <w:link w:val="QuoteChar"/>
    <w:qFormat/>
    <w:rsid w:val="00112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14E"/>
    <w:pPr>
      <w:pageBreakBefore/>
    </w:pPr>
  </w:style>
  <w:style w:type="paragraph" w:customStyle="1" w:styleId="Border">
    <w:name w:val="Border"/>
    <w:basedOn w:val="Normal"/>
    <w:qFormat/>
    <w:rsid w:val="00112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14E"/>
    <w:rPr>
      <w:u w:val="single"/>
    </w:rPr>
  </w:style>
  <w:style w:type="character" w:customStyle="1" w:styleId="BoldandItalics">
    <w:name w:val="Bold and Italics"/>
    <w:qFormat/>
    <w:rsid w:val="0011214E"/>
    <w:rPr>
      <w:b/>
      <w:i/>
      <w:u w:val="none"/>
    </w:rPr>
  </w:style>
  <w:style w:type="paragraph" w:styleId="BalloonText">
    <w:name w:val="Balloon Text"/>
    <w:basedOn w:val="Normal"/>
    <w:link w:val="BalloonTextChar"/>
    <w:rsid w:val="00112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1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1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2291</Characters>
  <Application>Microsoft Office Word</Application>
  <DocSecurity>0</DocSecurity>
  <Lines>76</Lines>
  <Paragraphs>36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TDM10107 CERTIFICATE I IN TRANSPORT  DISTRIBUTION (MARITIME OPERATIONS)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2012-09-24T08:19:00Z</dcterms:created>
  <dcterms:modified xsi:type="dcterms:W3CDTF">2012-09-24T08:19:00Z</dcterms:modified>
</cp:coreProperties>
</file>