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79A" w:rsidP="00140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TAELLN802 Analyse and apply adult numeracy teaching practices</w:t>
      </w:r>
      <w:r>
        <w:fldChar w:fldCharType="end"/>
      </w:r>
    </w:p>
    <w:p w:rsidR="0014079A" w:rsidP="0014079A">
      <w:pPr>
        <w:pStyle w:val="Version"/>
        <w:sectPr w:rsidSect="00540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8A5" w:rsidP="005408A5">
      <w:pPr>
        <w:pStyle w:val="SuperHeading"/>
      </w:pPr>
      <w:r w:rsidRPr="005408A5">
        <w:t>Assessment Requirements for TAELLN802 Analyse and apply adult numeracy teaching practices</w:t>
      </w:r>
    </w:p>
    <w:p w:rsidR="00000000" w:rsidRPr="005408A5" w:rsidP="005408A5">
      <w:pPr>
        <w:pStyle w:val="Heading1"/>
      </w:pPr>
      <w:bookmarkStart w:id="1" w:name="O_588302"/>
      <w:bookmarkEnd w:id="1"/>
      <w:r w:rsidRPr="00540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67"/>
      </w:tblGrid>
      <w:tr w:rsidTr="00540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A5" w:rsidP="005408A5">
            <w:pPr>
              <w:pStyle w:val="BodyText"/>
            </w:pPr>
            <w:r w:rsidRPr="005408A5">
              <w:rPr>
                <w:rStyle w:val="SpecialBold"/>
              </w:rPr>
              <w:t>Release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A5">
            <w:pPr>
              <w:pStyle w:val="BodyText"/>
              <w:rPr>
                <w:lang w:val="en-NZ"/>
              </w:rPr>
            </w:pPr>
            <w:r w:rsidRPr="005408A5">
              <w:rPr>
                <w:rStyle w:val="SpecialBold"/>
              </w:rPr>
              <w:t>Comments</w:t>
            </w:r>
          </w:p>
        </w:tc>
      </w:tr>
      <w:tr w:rsidTr="00540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A5">
            <w:pPr>
              <w:pStyle w:val="BodyText"/>
              <w:rPr>
                <w:lang w:val="en-NZ"/>
              </w:rPr>
            </w:pPr>
            <w:r w:rsidRPr="005408A5">
              <w:t>Release 1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A5" w:rsidP="005408A5">
            <w:pPr>
              <w:pStyle w:val="BodyText"/>
            </w:pPr>
            <w:r w:rsidRPr="005408A5">
              <w:t xml:space="preserve">This unit of competency first released with </w:t>
            </w:r>
            <w:r w:rsidRPr="005408A5">
              <w:rPr>
                <w:rStyle w:val="Emphasis"/>
              </w:rPr>
              <w:t>TAE Training and Education Training Package Version 1.0</w:t>
            </w:r>
            <w:r w:rsidRPr="005408A5">
              <w:t>.</w:t>
            </w:r>
          </w:p>
        </w:tc>
      </w:tr>
    </w:tbl>
    <w:p w:rsidR="00000000" w:rsidRPr="005408A5" w:rsidP="005408A5">
      <w:pPr>
        <w:pStyle w:val="BodyText"/>
      </w:pPr>
    </w:p>
    <w:p w:rsidR="00000000" w:rsidRPr="005408A5" w:rsidP="005408A5">
      <w:pPr>
        <w:pStyle w:val="AllowPageBreak"/>
      </w:pPr>
    </w:p>
    <w:p w:rsidR="00000000" w:rsidRPr="005408A5" w:rsidP="005408A5">
      <w:pPr>
        <w:pStyle w:val="Heading1"/>
      </w:pPr>
      <w:bookmarkStart w:id="2" w:name="O_588303"/>
      <w:bookmarkEnd w:id="2"/>
      <w:r w:rsidRPr="005408A5">
        <w:t>Performance Evidence</w:t>
      </w:r>
    </w:p>
    <w:p w:rsidR="00000000" w:rsidRPr="005408A5" w:rsidP="0014079A">
      <w:pPr>
        <w:pStyle w:val="BodyText"/>
      </w:pPr>
      <w:r w:rsidRPr="005408A5">
        <w:t>Evidence of the ability to:</w:t>
      </w:r>
    </w:p>
    <w:p w:rsidR="00000000" w:rsidRPr="005408A5" w:rsidP="005408A5">
      <w:pPr>
        <w:pStyle w:val="ListBullet"/>
      </w:pPr>
      <w:r w:rsidRPr="005408A5">
        <w:t>analyse the numeracy demands of a VET delivery context and the numeracy needs of those participating in numeracy provision with reference to national standards and frameworks</w:t>
      </w:r>
    </w:p>
    <w:p w:rsidR="00000000" w:rsidRPr="005408A5" w:rsidP="005408A5">
      <w:pPr>
        <w:pStyle w:val="ListBullet"/>
      </w:pPr>
      <w:r w:rsidRPr="005408A5">
        <w:t>develop and evaluate learner profiles for at least 2 adult numeracy learners using a range of resources and frameworks to capture information including on diversity of skills, backgrounds and learning goals</w:t>
      </w:r>
    </w:p>
    <w:p w:rsidR="00000000" w:rsidRPr="005408A5" w:rsidP="005408A5">
      <w:pPr>
        <w:pStyle w:val="ListBullet"/>
      </w:pPr>
      <w:r w:rsidRPr="005408A5">
        <w:t>plan a series of adult numeracy teaching activiti</w:t>
      </w:r>
      <w:r w:rsidRPr="005408A5">
        <w:t>es, comprising at least 5 sessions, for a specific VET context and learner group, including:</w:t>
      </w:r>
    </w:p>
    <w:p w:rsidR="00000000" w:rsidRPr="005408A5" w:rsidP="005408A5">
      <w:pPr>
        <w:pStyle w:val="ListBullet2"/>
      </w:pPr>
      <w:r w:rsidRPr="005408A5">
        <w:t>selecting and using a range of learning resources and teaching approaches to develop adult numeracy skills based on adult learning principles and practices, and t</w:t>
      </w:r>
      <w:r w:rsidRPr="005408A5">
        <w:t>he identified needs of the learner group</w:t>
      </w:r>
    </w:p>
    <w:p w:rsidR="00000000" w:rsidRPr="005408A5" w:rsidP="005408A5">
      <w:pPr>
        <w:pStyle w:val="ListBullet2"/>
      </w:pPr>
      <w:r w:rsidRPr="005408A5">
        <w:t>documenting at least 4 numeracy activities from at least 2 different areas of mathematics to deliver within the sequence of numeracy provision</w:t>
      </w:r>
    </w:p>
    <w:p w:rsidR="00000000" w:rsidRPr="005408A5" w:rsidP="005408A5">
      <w:pPr>
        <w:pStyle w:val="ListBullet"/>
      </w:pPr>
      <w:r w:rsidRPr="005408A5">
        <w:t>deliver adult numeracy teaching activities to at least 2 learners for a</w:t>
      </w:r>
      <w:r w:rsidRPr="005408A5">
        <w:t xml:space="preserve"> period of up to one hour each</w:t>
      </w:r>
    </w:p>
    <w:p w:rsidR="00000000" w:rsidRPr="005408A5" w:rsidP="005408A5">
      <w:pPr>
        <w:pStyle w:val="ListBullet"/>
      </w:pPr>
      <w:r w:rsidRPr="005408A5">
        <w:t>use formal and information monitoring techniques to evaluate effectiveness of teaching strategies.</w:t>
      </w:r>
    </w:p>
    <w:p w:rsidR="00000000" w:rsidRPr="005408A5" w:rsidP="005408A5">
      <w:pPr>
        <w:pStyle w:val="BodyText"/>
      </w:pPr>
    </w:p>
    <w:p w:rsidR="00000000" w:rsidRPr="005408A5" w:rsidP="0014079A">
      <w:pPr>
        <w:pStyle w:val="BodyText"/>
      </w:pPr>
      <w:r w:rsidRPr="005408A5">
        <w:t>Note: If a specific volume or frequency is not stated, then evidence must be provided at least once.</w:t>
      </w:r>
    </w:p>
    <w:p w:rsidR="00000000" w:rsidRPr="005408A5" w:rsidP="005408A5">
      <w:pPr>
        <w:pStyle w:val="Heading1"/>
      </w:pPr>
      <w:bookmarkStart w:id="3" w:name="O_588304"/>
      <w:bookmarkEnd w:id="3"/>
      <w:r w:rsidRPr="005408A5">
        <w:t>Knowled</w:t>
      </w:r>
      <w:r w:rsidRPr="005408A5">
        <w:t>ge Evidence</w:t>
      </w:r>
    </w:p>
    <w:p w:rsidR="00000000" w:rsidRPr="005408A5" w:rsidP="0014079A">
      <w:pPr>
        <w:pStyle w:val="BodyText"/>
      </w:pPr>
      <w:r w:rsidRPr="005408A5">
        <w:t>To complete the unit requirements safely and effectively, the individual must:</w:t>
      </w:r>
    </w:p>
    <w:p w:rsidR="00000000" w:rsidRPr="005408A5" w:rsidP="005408A5">
      <w:pPr>
        <w:pStyle w:val="ListBullet"/>
      </w:pPr>
      <w:r w:rsidRPr="005408A5">
        <w:t>evaluate own numeracy levels using the Australian Core Skills Framework (ACSF) and identify implications for the delivery of skills to others within a range of VET</w:t>
      </w:r>
      <w:r w:rsidRPr="005408A5">
        <w:t xml:space="preserve"> delivery contexts</w:t>
      </w:r>
    </w:p>
    <w:p w:rsidR="00000000" w:rsidRPr="005408A5" w:rsidP="005408A5">
      <w:pPr>
        <w:pStyle w:val="ListBullet"/>
      </w:pPr>
      <w:r w:rsidRPr="005408A5">
        <w:t>identify specific areas of own mathematical skills and knowledge where assistance may be required from mathematical and technical specialists</w:t>
      </w:r>
    </w:p>
    <w:p w:rsidR="00000000" w:rsidRPr="005408A5" w:rsidP="005408A5">
      <w:pPr>
        <w:pStyle w:val="ListBullet"/>
      </w:pPr>
      <w:r w:rsidRPr="005408A5">
        <w:t>explain how the diverse needs of those participating in numeracy provision impact the design of learning programs and the selection of learning resources</w:t>
      </w:r>
    </w:p>
    <w:p w:rsidR="00000000" w:rsidRPr="005408A5" w:rsidP="005408A5">
      <w:pPr>
        <w:pStyle w:val="ListBullet"/>
      </w:pPr>
      <w:r w:rsidRPr="005408A5">
        <w:t>describe how specific teaching approaches have been used in the design of adult numeracy activities to</w:t>
      </w:r>
      <w:r w:rsidRPr="005408A5">
        <w:t xml:space="preserve"> meet the needs of the learner group</w:t>
      </w:r>
    </w:p>
    <w:p w:rsidR="00000000" w:rsidRPr="005408A5" w:rsidP="005408A5">
      <w:pPr>
        <w:pStyle w:val="ListBullet"/>
      </w:pPr>
      <w:r w:rsidRPr="005408A5">
        <w:t>describe at least 2 theories that inform adult numeracy teaching and how they influence methods used in own teaching practice of numeracy, incorporating:</w:t>
      </w:r>
    </w:p>
    <w:p w:rsidR="00000000" w:rsidRPr="005408A5" w:rsidP="005408A5">
      <w:pPr>
        <w:pStyle w:val="ListBullet2"/>
      </w:pPr>
      <w:r w:rsidRPr="005408A5">
        <w:t>mathematics and gender</w:t>
      </w:r>
    </w:p>
    <w:p w:rsidR="00000000" w:rsidRPr="005408A5" w:rsidP="005408A5">
      <w:pPr>
        <w:pStyle w:val="ListBullet2"/>
      </w:pPr>
      <w:r w:rsidRPr="005408A5">
        <w:t>constructivism</w:t>
      </w:r>
    </w:p>
    <w:p w:rsidR="00000000" w:rsidRPr="005408A5" w:rsidP="005408A5">
      <w:pPr>
        <w:pStyle w:val="ListBullet2"/>
      </w:pPr>
      <w:r w:rsidRPr="005408A5">
        <w:t>critical numeracy</w:t>
      </w:r>
    </w:p>
    <w:p w:rsidR="00000000" w:rsidRPr="005408A5" w:rsidP="005408A5">
      <w:pPr>
        <w:pStyle w:val="ListBullet2"/>
      </w:pPr>
      <w:r w:rsidRPr="005408A5">
        <w:t>cultural</w:t>
      </w:r>
      <w:r w:rsidRPr="005408A5">
        <w:t xml:space="preserve"> use of specific mathematics</w:t>
      </w:r>
    </w:p>
    <w:p w:rsidR="00000000" w:rsidRPr="005408A5" w:rsidP="005408A5">
      <w:pPr>
        <w:pStyle w:val="ListBullet2"/>
      </w:pPr>
      <w:r w:rsidRPr="005408A5">
        <w:t>functionalism</w:t>
      </w:r>
    </w:p>
    <w:p w:rsidR="00000000" w:rsidRPr="005408A5" w:rsidP="005408A5">
      <w:pPr>
        <w:pStyle w:val="ListBullet"/>
      </w:pPr>
      <w:r w:rsidRPr="005408A5">
        <w:t>explain how literacy embedded in a numeracy task can be addressed in a teaching activity.</w:t>
      </w:r>
    </w:p>
    <w:p w:rsidR="00000000" w:rsidRPr="005408A5" w:rsidP="005408A5">
      <w:pPr>
        <w:pStyle w:val="AllowPageBreak"/>
      </w:pPr>
    </w:p>
    <w:p w:rsidR="00000000" w:rsidRPr="005408A5" w:rsidP="005408A5">
      <w:pPr>
        <w:pStyle w:val="Heading1"/>
      </w:pPr>
      <w:bookmarkStart w:id="4" w:name="O_588305"/>
      <w:bookmarkEnd w:id="4"/>
      <w:r w:rsidRPr="005408A5">
        <w:t>Assessment Conditions</w:t>
      </w:r>
    </w:p>
    <w:p w:rsidR="00000000" w:rsidRPr="005408A5" w:rsidP="0014079A">
      <w:pPr>
        <w:pStyle w:val="BodyText"/>
      </w:pPr>
      <w:r w:rsidRPr="005408A5">
        <w:t>Gather evidence to demonstrate consistent performance in conditions that are safe a</w:t>
      </w:r>
      <w:r w:rsidRPr="005408A5">
        <w:t>nd replicate the workplace. Conditions must be typical of those experienced in the language, literacy and numeracy practice field of work and include access to:</w:t>
      </w:r>
    </w:p>
    <w:p w:rsidR="00000000" w:rsidRPr="005408A5" w:rsidP="005408A5">
      <w:pPr>
        <w:pStyle w:val="ListBullet"/>
      </w:pPr>
      <w:r w:rsidRPr="005408A5">
        <w:t>opportunities to participate in practical exercises and projects</w:t>
      </w:r>
    </w:p>
    <w:p w:rsidR="00000000" w:rsidRPr="005408A5" w:rsidP="005408A5">
      <w:pPr>
        <w:pStyle w:val="ListBullet"/>
      </w:pPr>
      <w:r w:rsidRPr="005408A5">
        <w:t>research about profiles of those participating in numeracy provision</w:t>
      </w:r>
    </w:p>
    <w:p w:rsidR="00000000" w:rsidRPr="005408A5" w:rsidP="005408A5">
      <w:pPr>
        <w:pStyle w:val="ListBullet"/>
      </w:pPr>
      <w:r w:rsidRPr="005408A5">
        <w:t>resources about adult numeracy theories and approaches</w:t>
      </w:r>
    </w:p>
    <w:p w:rsidR="00000000" w:rsidRPr="005408A5" w:rsidP="005408A5">
      <w:pPr>
        <w:pStyle w:val="ListBullet"/>
      </w:pPr>
      <w:r w:rsidRPr="005408A5">
        <w:t>resources to support numeracy  teaching.</w:t>
      </w:r>
    </w:p>
    <w:p w:rsidR="00000000" w:rsidRPr="005408A5" w:rsidP="005408A5">
      <w:pPr>
        <w:pStyle w:val="BodyText"/>
      </w:pPr>
    </w:p>
    <w:p w:rsidR="00000000" w:rsidRPr="005408A5" w:rsidP="0014079A">
      <w:pPr>
        <w:pStyle w:val="BodyText"/>
      </w:pPr>
      <w:r w:rsidRPr="005408A5">
        <w:t>Assessors must satisfy NVR/AQTF assessor requirements.</w:t>
      </w:r>
    </w:p>
    <w:p w:rsidR="00000000" w:rsidRPr="005408A5" w:rsidP="005408A5">
      <w:pPr>
        <w:pStyle w:val="Heading1"/>
      </w:pPr>
      <w:bookmarkStart w:id="5" w:name="O_588307"/>
      <w:bookmarkEnd w:id="5"/>
      <w:r w:rsidRPr="005408A5">
        <w:t>Links</w:t>
      </w:r>
    </w:p>
    <w:p w:rsidR="00000000" w:rsidRPr="005408A5" w:rsidP="0014079A">
      <w:pPr>
        <w:pStyle w:val="BodyText"/>
      </w:pPr>
      <w:r w:rsidRPr="005408A5">
        <w:t>Companion Vo</w:t>
      </w:r>
      <w:r w:rsidRPr="005408A5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E680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408A5" w:rsidP="005408A5"/>
    <w:sectPr w:rsidSect="005408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5" w:rsidRPr="0014079A" w:rsidP="00140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9A" w:rsidP="00540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79A" w:rsidP="00540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079A" w:rsidP="00540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8A5" w:rsidRPr="0014079A" w:rsidP="00140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9A" w:rsidRPr="002D2AF8" w:rsidP="00540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TAELLN802 Analyse and apply adult numeracy teaching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4079A" w:rsidP="00540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28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66A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22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8A5"/>
  </w:style>
  <w:style w:type="character" w:customStyle="1" w:styleId="Heading1Char">
    <w:name w:val="Heading 1 Char"/>
    <w:basedOn w:val="DefaultParagraphFont"/>
    <w:link w:val="Heading1"/>
    <w:rsid w:val="00540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8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8A5"/>
    <w:rPr>
      <w:b/>
      <w:spacing w:val="0"/>
    </w:rPr>
  </w:style>
  <w:style w:type="paragraph" w:styleId="ListBullet2">
    <w:name w:val="List Bullet 2"/>
    <w:basedOn w:val="List2"/>
    <w:rsid w:val="005408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08A5"/>
    <w:rPr>
      <w:i/>
    </w:rPr>
  </w:style>
  <w:style w:type="paragraph" w:customStyle="1" w:styleId="SuperHeading">
    <w:name w:val="SuperHeading"/>
    <w:basedOn w:val="Normal"/>
    <w:rsid w:val="00540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8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8A5"/>
  </w:style>
  <w:style w:type="paragraph" w:styleId="TableofFigures">
    <w:name w:val="table of figures"/>
    <w:basedOn w:val="Normal"/>
    <w:next w:val="Normal"/>
    <w:semiHidden/>
    <w:rsid w:val="00540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8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8A5"/>
    <w:rPr>
      <w:rFonts w:ascii="Wingdings" w:hAnsi="Wingdings"/>
    </w:rPr>
  </w:style>
  <w:style w:type="paragraph" w:customStyle="1" w:styleId="TableHeading">
    <w:name w:val="Table Heading"/>
    <w:basedOn w:val="HeadingBase"/>
    <w:rsid w:val="00540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8A5"/>
    <w:rPr>
      <w:color w:val="0033CC"/>
      <w:u w:val="none"/>
    </w:rPr>
  </w:style>
  <w:style w:type="paragraph" w:customStyle="1" w:styleId="BodyTextRight">
    <w:name w:val="Body Text Right"/>
    <w:basedOn w:val="BodyText"/>
    <w:rsid w:val="00540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8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8A5"/>
    <w:rPr>
      <w:sz w:val="32"/>
    </w:rPr>
  </w:style>
  <w:style w:type="paragraph" w:customStyle="1" w:styleId="HeadingProcedure">
    <w:name w:val="Heading Procedure"/>
    <w:basedOn w:val="HeadingBase"/>
    <w:next w:val="Normal"/>
    <w:rsid w:val="00540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8A5"/>
    <w:pPr>
      <w:spacing w:before="60" w:after="60"/>
    </w:pPr>
  </w:style>
  <w:style w:type="paragraph" w:styleId="ListContinue">
    <w:name w:val="List Continue"/>
    <w:basedOn w:val="List"/>
    <w:rsid w:val="005408A5"/>
    <w:pPr>
      <w:ind w:firstLine="0"/>
    </w:pPr>
  </w:style>
  <w:style w:type="paragraph" w:customStyle="1" w:styleId="ListNote">
    <w:name w:val="List Note"/>
    <w:basedOn w:val="List"/>
    <w:rsid w:val="00540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8A5"/>
    <w:rPr>
      <w:rFonts w:ascii="Courier New" w:hAnsi="Courier New"/>
    </w:rPr>
  </w:style>
  <w:style w:type="paragraph" w:customStyle="1" w:styleId="NoteBullet">
    <w:name w:val="Note Bullet"/>
    <w:basedOn w:val="Note"/>
    <w:rsid w:val="00540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8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8A5"/>
    <w:rPr>
      <w:b/>
      <w:smallCaps/>
    </w:rPr>
  </w:style>
  <w:style w:type="paragraph" w:customStyle="1" w:styleId="TableListNumber">
    <w:name w:val="Table List Number"/>
    <w:basedOn w:val="ListNumber"/>
    <w:rsid w:val="00540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8A5"/>
    <w:pPr>
      <w:numPr>
        <w:numId w:val="9"/>
      </w:numPr>
    </w:pPr>
  </w:style>
  <w:style w:type="paragraph" w:customStyle="1" w:styleId="ListAlpha2">
    <w:name w:val="List Alpha 2"/>
    <w:basedOn w:val="List2"/>
    <w:rsid w:val="005408A5"/>
    <w:pPr>
      <w:numPr>
        <w:numId w:val="8"/>
      </w:numPr>
    </w:pPr>
  </w:style>
  <w:style w:type="paragraph" w:styleId="List2">
    <w:name w:val="List 2"/>
    <w:basedOn w:val="BodyText"/>
    <w:rsid w:val="00540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8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8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8A5"/>
    <w:pPr>
      <w:numPr>
        <w:numId w:val="4"/>
      </w:numPr>
    </w:pPr>
  </w:style>
  <w:style w:type="paragraph" w:styleId="ListContinue2">
    <w:name w:val="List Continue 2"/>
    <w:basedOn w:val="List2"/>
    <w:rsid w:val="005408A5"/>
    <w:pPr>
      <w:ind w:firstLine="0"/>
    </w:pPr>
  </w:style>
  <w:style w:type="paragraph" w:styleId="ListContinue3">
    <w:name w:val="List Continue 3"/>
    <w:basedOn w:val="List3"/>
    <w:rsid w:val="005408A5"/>
    <w:pPr>
      <w:ind w:left="1021" w:firstLine="0"/>
    </w:pPr>
  </w:style>
  <w:style w:type="paragraph" w:styleId="ListContinue4">
    <w:name w:val="List Continue 4"/>
    <w:basedOn w:val="List4"/>
    <w:rsid w:val="005408A5"/>
    <w:pPr>
      <w:ind w:firstLine="0"/>
    </w:pPr>
  </w:style>
  <w:style w:type="paragraph" w:styleId="ListContinue5">
    <w:name w:val="List Continue 5"/>
    <w:basedOn w:val="List5"/>
    <w:rsid w:val="005408A5"/>
    <w:pPr>
      <w:ind w:firstLine="0"/>
    </w:pPr>
  </w:style>
  <w:style w:type="paragraph" w:styleId="ListNumber3">
    <w:name w:val="List Number 3"/>
    <w:basedOn w:val="List3"/>
    <w:rsid w:val="005408A5"/>
    <w:pPr>
      <w:numPr>
        <w:numId w:val="5"/>
      </w:numPr>
    </w:pPr>
  </w:style>
  <w:style w:type="paragraph" w:styleId="ListNumber4">
    <w:name w:val="List Number 4"/>
    <w:basedOn w:val="List4"/>
    <w:rsid w:val="005408A5"/>
    <w:pPr>
      <w:numPr>
        <w:numId w:val="6"/>
      </w:numPr>
    </w:pPr>
  </w:style>
  <w:style w:type="paragraph" w:styleId="ListNumber5">
    <w:name w:val="List Number 5"/>
    <w:basedOn w:val="List5"/>
    <w:rsid w:val="005408A5"/>
    <w:pPr>
      <w:numPr>
        <w:numId w:val="7"/>
      </w:numPr>
    </w:pPr>
  </w:style>
  <w:style w:type="paragraph" w:styleId="BlockText">
    <w:name w:val="Block Text"/>
    <w:basedOn w:val="Normal"/>
    <w:rsid w:val="00540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8A5"/>
    <w:rPr>
      <w:sz w:val="16"/>
      <w:vertAlign w:val="superscript"/>
    </w:rPr>
  </w:style>
  <w:style w:type="character" w:customStyle="1" w:styleId="Symbols">
    <w:name w:val="Symbols"/>
    <w:basedOn w:val="DefaultParagraphFont"/>
    <w:rsid w:val="005408A5"/>
    <w:rPr>
      <w:rFonts w:ascii="Symbol" w:hAnsi="Symbol"/>
    </w:rPr>
  </w:style>
  <w:style w:type="character" w:customStyle="1" w:styleId="MenuOptions">
    <w:name w:val="Menu Options"/>
    <w:basedOn w:val="DefaultParagraphFont"/>
    <w:rsid w:val="00540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8A5"/>
    <w:rPr>
      <w:b/>
    </w:rPr>
  </w:style>
  <w:style w:type="character" w:customStyle="1" w:styleId="Underlined">
    <w:name w:val="Underlined"/>
    <w:basedOn w:val="DefaultParagraphFont"/>
    <w:rsid w:val="005408A5"/>
    <w:rPr>
      <w:u w:val="single"/>
    </w:rPr>
  </w:style>
  <w:style w:type="paragraph" w:customStyle="1" w:styleId="TableBodyTextRight">
    <w:name w:val="Table Body Text Right"/>
    <w:basedOn w:val="TableBodyText"/>
    <w:rsid w:val="00540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8A5"/>
    <w:rPr>
      <w:sz w:val="18"/>
    </w:rPr>
  </w:style>
  <w:style w:type="paragraph" w:customStyle="1" w:styleId="BodySmallRight">
    <w:name w:val="Body Small Right"/>
    <w:basedOn w:val="BodyTextRight"/>
    <w:rsid w:val="005408A5"/>
    <w:rPr>
      <w:sz w:val="18"/>
      <w:szCs w:val="18"/>
    </w:rPr>
  </w:style>
  <w:style w:type="paragraph" w:customStyle="1" w:styleId="MarginEdition">
    <w:name w:val="Margin Edition"/>
    <w:basedOn w:val="MarginNote"/>
    <w:rsid w:val="00540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8A5"/>
    <w:rPr>
      <w:sz w:val="2"/>
      <w:szCs w:val="2"/>
    </w:rPr>
  </w:style>
  <w:style w:type="character" w:customStyle="1" w:styleId="Small">
    <w:name w:val="Small"/>
    <w:basedOn w:val="DefaultParagraphFont"/>
    <w:rsid w:val="005408A5"/>
    <w:rPr>
      <w:sz w:val="16"/>
    </w:rPr>
  </w:style>
  <w:style w:type="paragraph" w:customStyle="1" w:styleId="WideTable">
    <w:name w:val="Wide Table"/>
    <w:basedOn w:val="Normal"/>
    <w:rsid w:val="00540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8A5"/>
  </w:style>
  <w:style w:type="paragraph" w:styleId="Quote">
    <w:name w:val="Quote"/>
    <w:basedOn w:val="Heading1"/>
    <w:link w:val="QuoteChar"/>
    <w:qFormat/>
    <w:rsid w:val="00540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8A5"/>
    <w:pPr>
      <w:pageBreakBefore/>
    </w:pPr>
  </w:style>
  <w:style w:type="paragraph" w:customStyle="1" w:styleId="Border">
    <w:name w:val="Border"/>
    <w:basedOn w:val="Normal"/>
    <w:qFormat/>
    <w:rsid w:val="00540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8A5"/>
    <w:rPr>
      <w:u w:val="single"/>
    </w:rPr>
  </w:style>
  <w:style w:type="character" w:customStyle="1" w:styleId="BoldandItalics">
    <w:name w:val="Bold and Italics"/>
    <w:qFormat/>
    <w:rsid w:val="005408A5"/>
    <w:rPr>
      <w:b/>
      <w:i/>
      <w:u w:val="none"/>
    </w:rPr>
  </w:style>
  <w:style w:type="paragraph" w:styleId="BalloonText">
    <w:name w:val="Balloon Text"/>
    <w:basedOn w:val="Normal"/>
    <w:link w:val="BalloonTextChar"/>
    <w:rsid w:val="00540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8A5"/>
    <w:pPr>
      <w:spacing w:before="0" w:after="0"/>
    </w:pPr>
  </w:style>
  <w:style w:type="paragraph" w:customStyle="1" w:styleId="BodyTextBold">
    <w:name w:val="Body Text Bold"/>
    <w:basedOn w:val="BodyText"/>
    <w:qFormat/>
    <w:rsid w:val="005408A5"/>
    <w:rPr>
      <w:b/>
    </w:rPr>
  </w:style>
  <w:style w:type="character" w:styleId="Hyperlink">
    <w:name w:val="Hyperlink"/>
    <w:basedOn w:val="DefaultParagraphFont"/>
    <w:uiPriority w:val="99"/>
    <w:unhideWhenUsed/>
    <w:rsid w:val="00140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3013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TAELLN802 Analyse and apply adult numeracy teaching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