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2DD" w:rsidP="00207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TAELLN511 Lead the development of adult literacy skills</w:t>
      </w:r>
      <w:r>
        <w:fldChar w:fldCharType="end"/>
      </w:r>
    </w:p>
    <w:p w:rsidR="002072DD" w:rsidP="002072DD">
      <w:pPr>
        <w:pStyle w:val="Version"/>
        <w:sectPr w:rsidSect="00DC3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B75" w:rsidP="00DC3B75">
      <w:pPr>
        <w:pStyle w:val="SuperHeading"/>
      </w:pPr>
      <w:r w:rsidRPr="00DC3B75">
        <w:t>Assessment Requirements for TAELLN511 Lead the development of adult literacy skills</w:t>
      </w:r>
    </w:p>
    <w:p w:rsidR="00000000" w:rsidRPr="00DC3B75" w:rsidP="00DC3B75">
      <w:pPr>
        <w:pStyle w:val="Heading1"/>
      </w:pPr>
      <w:bookmarkStart w:id="1" w:name="O_1273180"/>
      <w:bookmarkEnd w:id="1"/>
      <w:r w:rsidRPr="00DC3B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9"/>
        <w:gridCol w:w="7559"/>
      </w:tblGrid>
      <w:tr w:rsidTr="00DC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B75" w:rsidP="00DC3B75">
            <w:pPr>
              <w:pStyle w:val="BodyText"/>
            </w:pPr>
            <w:r w:rsidRPr="00DC3B75">
              <w:rPr>
                <w:rStyle w:val="SpecialBold"/>
              </w:rPr>
              <w:t>Release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B75">
            <w:pPr>
              <w:pStyle w:val="BodyText"/>
              <w:rPr>
                <w:lang w:val="en-NZ"/>
              </w:rPr>
            </w:pPr>
            <w:r w:rsidRPr="00DC3B75">
              <w:rPr>
                <w:rStyle w:val="SpecialBold"/>
              </w:rPr>
              <w:t>Comments</w:t>
            </w:r>
          </w:p>
        </w:tc>
      </w:tr>
      <w:tr w:rsidTr="00DC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B75">
            <w:pPr>
              <w:pStyle w:val="BodyText"/>
              <w:rPr>
                <w:lang w:val="en-NZ"/>
              </w:rPr>
            </w:pPr>
            <w:r w:rsidRPr="00DC3B75">
              <w:t>Release 1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B75" w:rsidP="00DC3B75">
            <w:pPr>
              <w:pStyle w:val="BodyText"/>
            </w:pPr>
            <w:r w:rsidRPr="00DC3B75">
              <w:t>This version first released with TAE Training and Education Training Package Version 5.0.</w:t>
            </w:r>
          </w:p>
          <w:p w:rsidR="00000000" w:rsidRPr="00DC3B75" w:rsidP="00DC3B75">
            <w:pPr>
              <w:pStyle w:val="BodyText"/>
            </w:pPr>
            <w:r w:rsidRPr="00DC3B75">
              <w:t>Supersedes and is not equivalent to TAELLN501 Support the development of adult language, literacy and numeracy skills.</w:t>
            </w:r>
          </w:p>
        </w:tc>
      </w:tr>
    </w:tbl>
    <w:p w:rsidR="00000000" w:rsidRPr="00DC3B75" w:rsidP="00DC3B75">
      <w:pPr>
        <w:pStyle w:val="BodyText"/>
      </w:pPr>
    </w:p>
    <w:p w:rsidR="00000000" w:rsidRPr="00DC3B75" w:rsidP="00DC3B75">
      <w:pPr>
        <w:pStyle w:val="AllowPageBreak"/>
      </w:pPr>
    </w:p>
    <w:p w:rsidR="00000000" w:rsidRPr="00DC3B75" w:rsidP="00DC3B75">
      <w:pPr>
        <w:pStyle w:val="Heading1"/>
      </w:pPr>
      <w:bookmarkStart w:id="2" w:name="O_1273181"/>
      <w:bookmarkEnd w:id="2"/>
      <w:r w:rsidRPr="00DC3B75">
        <w:t>Performance Evidence</w:t>
      </w:r>
    </w:p>
    <w:p w:rsidR="00000000" w:rsidRPr="00DC3B75" w:rsidP="002072DD">
      <w:pPr>
        <w:pStyle w:val="BodyText"/>
      </w:pPr>
      <w:r w:rsidRPr="00DC3B75">
        <w:t>The individual must demonstrate the ability to complete the tasks outlined in the elements, per</w:t>
      </w:r>
      <w:r w:rsidRPr="00DC3B75">
        <w:t>formance criteria and foundation skills of this unit, including evidence of the ability to:</w:t>
      </w:r>
    </w:p>
    <w:p w:rsidR="00000000" w:rsidRPr="00DC3B75" w:rsidP="00DC3B75">
      <w:pPr>
        <w:pStyle w:val="ListBullet"/>
      </w:pPr>
      <w:r w:rsidRPr="00DC3B75">
        <w:t>lead the development of adult literacy skills by providing advice to at least 3 vocational education and training (VET) teachers, trainers or assessors.</w:t>
      </w:r>
    </w:p>
    <w:p w:rsidR="00000000" w:rsidRPr="00DC3B75" w:rsidP="00DC3B75">
      <w:pPr>
        <w:pStyle w:val="ListBullet"/>
      </w:pPr>
    </w:p>
    <w:p w:rsidR="00000000" w:rsidRPr="00DC3B75" w:rsidP="002072DD">
      <w:pPr>
        <w:pStyle w:val="BodyText"/>
      </w:pPr>
      <w:r w:rsidRPr="00DC3B75">
        <w:t>In the course of the above, the individual must:</w:t>
      </w:r>
    </w:p>
    <w:p w:rsidR="00000000" w:rsidRPr="00DC3B75" w:rsidP="00DC3B75">
      <w:pPr>
        <w:pStyle w:val="ListBullet"/>
      </w:pPr>
      <w:r w:rsidRPr="00DC3B75">
        <w:t>analyse and provide advice on the digital literacy, learning, reading, writing, and oral communication skill demands of workplace, learning and assessment context texts and tasks for at least 3 learners</w:t>
      </w:r>
    </w:p>
    <w:p w:rsidR="00000000" w:rsidRPr="00DC3B75" w:rsidP="00DC3B75">
      <w:pPr>
        <w:pStyle w:val="ListBullet"/>
      </w:pPr>
      <w:r w:rsidRPr="00DC3B75">
        <w:t>ass</w:t>
      </w:r>
      <w:r w:rsidRPr="00DC3B75">
        <w:t>ess, analyse and provide advice on the digital literacy, learning, reading, writing, and oral communication skill levels of each of the above learners</w:t>
      </w:r>
    </w:p>
    <w:p w:rsidR="00000000" w:rsidRPr="00DC3B75" w:rsidP="00DC3B75">
      <w:pPr>
        <w:pStyle w:val="ListBullet"/>
      </w:pPr>
      <w:r w:rsidRPr="00DC3B75">
        <w:t>develop, review and provide advice on training and assessment strategies that address digital literacy, l</w:t>
      </w:r>
      <w:r w:rsidRPr="00DC3B75">
        <w:t>earning, reading, writing, and oral communication skill support needs for the each of the above learners</w:t>
      </w:r>
    </w:p>
    <w:p w:rsidR="00000000" w:rsidRPr="00DC3B75" w:rsidP="00DC3B75">
      <w:pPr>
        <w:pStyle w:val="ListBullet"/>
      </w:pPr>
      <w:r w:rsidRPr="00DC3B75">
        <w:t>research, access, review, modify and provide advice on learning and assessment resources that address digital literacy, learning, reading, writing, and</w:t>
      </w:r>
      <w:r w:rsidRPr="00DC3B75">
        <w:t xml:space="preserve"> oral communication skill support needs for each of the above learners</w:t>
      </w:r>
    </w:p>
    <w:p w:rsidR="00000000" w:rsidRPr="00DC3B75" w:rsidP="00DC3B75">
      <w:pPr>
        <w:pStyle w:val="ListBullet"/>
      </w:pPr>
      <w:r w:rsidRPr="00DC3B75">
        <w:t>participate in 2 different professional development activities to extend own practice in supporting adult literacy development.</w:t>
      </w:r>
    </w:p>
    <w:p w:rsidR="00000000" w:rsidRPr="00DC3B75" w:rsidP="00DC3B75">
      <w:pPr>
        <w:pStyle w:val="AllowPageBreak"/>
      </w:pPr>
    </w:p>
    <w:p w:rsidR="00000000" w:rsidRPr="00DC3B75" w:rsidP="00DC3B75">
      <w:pPr>
        <w:pStyle w:val="Heading1"/>
      </w:pPr>
      <w:bookmarkStart w:id="3" w:name="O_1273182"/>
      <w:bookmarkEnd w:id="3"/>
      <w:r w:rsidRPr="00DC3B75">
        <w:t>Knowledge Evidence</w:t>
      </w:r>
    </w:p>
    <w:p w:rsidR="00000000" w:rsidRPr="00DC3B75" w:rsidP="002072DD">
      <w:pPr>
        <w:pStyle w:val="BodyText"/>
      </w:pPr>
      <w:r w:rsidRPr="00DC3B75">
        <w:t>The individual must</w:t>
      </w:r>
      <w:r w:rsidRPr="00DC3B75">
        <w:t xml:space="preserve"> be able to demonstrate knowledge to complete the tasks outlined in the elements, performance criteria and foundation skills of this unit, including knowledge of:</w:t>
      </w:r>
    </w:p>
    <w:p w:rsidR="00000000" w:rsidRPr="00DC3B75" w:rsidP="00DC3B75">
      <w:pPr>
        <w:pStyle w:val="ListBullet"/>
      </w:pPr>
      <w:r w:rsidRPr="00DC3B75">
        <w:t>current function of digital literacy, learning, reading, writing, and oral communication ski</w:t>
      </w:r>
      <w:r w:rsidRPr="00DC3B75">
        <w:t>lls in Australian society, including how those skills impact on an individual’s participation in work, training and community contexts</w:t>
      </w:r>
    </w:p>
    <w:p w:rsidR="00000000" w:rsidRPr="00DC3B75" w:rsidP="00DC3B75">
      <w:pPr>
        <w:pStyle w:val="ListBullet"/>
      </w:pPr>
      <w:r w:rsidRPr="00DC3B75">
        <w:t>current digital literacy, learning, reading, writing, and oral communication skills competence of Australian adults and y</w:t>
      </w:r>
      <w:r w:rsidRPr="00DC3B75">
        <w:t>outh in authoritative research and surveys, including in VET and in relation to literacy skill competence</w:t>
      </w:r>
    </w:p>
    <w:p w:rsidR="00000000" w:rsidRPr="00DC3B75" w:rsidP="00DC3B75">
      <w:pPr>
        <w:pStyle w:val="ListBullet"/>
      </w:pPr>
      <w:r w:rsidRPr="00DC3B75">
        <w:t xml:space="preserve">features and components of current authorised Australian foundation skill frameworks that describe adult literacy skills, and how they can be used to </w:t>
      </w:r>
      <w:r w:rsidRPr="00DC3B75">
        <w:t>describe the digital literacy, learning, reading, writing, and oral communication skill requirements integral to vocational competence</w:t>
      </w:r>
    </w:p>
    <w:p w:rsidR="00000000" w:rsidRPr="00DC3B75" w:rsidP="00DC3B75">
      <w:pPr>
        <w:pStyle w:val="ListBullet"/>
      </w:pPr>
      <w:r w:rsidRPr="00DC3B75">
        <w:t>uses of current authorised Australian foundation skill frameworks that describe adult literacy skills in the design of tr</w:t>
      </w:r>
      <w:r w:rsidRPr="00DC3B75">
        <w:t>aining and assessment strategies and development of learning and assessment resources appropriate to learner and candidate digital literacy, learning, reading, writing, and oral communication skill gaps</w:t>
      </w:r>
    </w:p>
    <w:p w:rsidR="00000000" w:rsidRPr="00DC3B75" w:rsidP="00DC3B75">
      <w:pPr>
        <w:pStyle w:val="ListBullet"/>
      </w:pPr>
      <w:r w:rsidRPr="00DC3B75">
        <w:t>features of validated digital literacy, learning, rea</w:t>
      </w:r>
      <w:r w:rsidRPr="00DC3B75">
        <w:t>ding, writing, and oral communication assessment tasks and the validation process</w:t>
      </w:r>
    </w:p>
    <w:p w:rsidR="00000000" w:rsidRPr="00DC3B75" w:rsidP="00DC3B75">
      <w:pPr>
        <w:pStyle w:val="ListBullet"/>
      </w:pPr>
      <w:r w:rsidRPr="00DC3B75">
        <w:t>strategies and resources used to build digital literacy, learning, reading, writing, and oral communication skills required by the work context, including:</w:t>
      </w:r>
    </w:p>
    <w:p w:rsidR="00000000" w:rsidRPr="00DC3B75" w:rsidP="00DC3B75">
      <w:pPr>
        <w:pStyle w:val="ListBullet2"/>
      </w:pPr>
      <w:r w:rsidRPr="00DC3B75">
        <w:t>use and role of d</w:t>
      </w:r>
      <w:r w:rsidRPr="00DC3B75">
        <w:t>igital technology to underpin literacy development:</w:t>
      </w:r>
    </w:p>
    <w:p w:rsidR="00000000" w:rsidRPr="00DC3B75" w:rsidP="00DC3B75">
      <w:pPr>
        <w:pStyle w:val="ListBullet3"/>
      </w:pPr>
      <w:r w:rsidRPr="00DC3B75">
        <w:t>use and application of devices used in the workplace</w:t>
      </w:r>
    </w:p>
    <w:p w:rsidR="00000000" w:rsidRPr="00DC3B75" w:rsidP="00DC3B75">
      <w:pPr>
        <w:pStyle w:val="ListBullet3"/>
      </w:pPr>
      <w:r w:rsidRPr="00DC3B75">
        <w:t>use and application of software applications in the workplace</w:t>
      </w:r>
    </w:p>
    <w:p w:rsidR="00000000" w:rsidRPr="00DC3B75" w:rsidP="00DC3B75">
      <w:pPr>
        <w:pStyle w:val="ListBullet"/>
      </w:pPr>
      <w:r w:rsidRPr="00DC3B75">
        <w:t>relationship between literacy, language and numeracy, including:</w:t>
      </w:r>
    </w:p>
    <w:p w:rsidR="00000000" w:rsidRPr="00DC3B75" w:rsidP="00DC3B75">
      <w:pPr>
        <w:pStyle w:val="ListBullet2"/>
      </w:pPr>
      <w:r w:rsidRPr="00DC3B75">
        <w:t>how li</w:t>
      </w:r>
      <w:r w:rsidRPr="00DC3B75">
        <w:t>teracy, language and numeracy are related, and interdependent, in work, training and community participation</w:t>
      </w:r>
    </w:p>
    <w:p w:rsidR="00000000" w:rsidRPr="00DC3B75" w:rsidP="00DC3B75">
      <w:pPr>
        <w:pStyle w:val="ListBullet2"/>
      </w:pPr>
      <w:r w:rsidRPr="00DC3B75">
        <w:t>how literacy skill development is related to language skills</w:t>
      </w:r>
    </w:p>
    <w:p w:rsidR="00000000" w:rsidRPr="00DC3B75" w:rsidP="00DC3B75">
      <w:pPr>
        <w:pStyle w:val="ListBullet2"/>
      </w:pPr>
      <w:r w:rsidRPr="00DC3B75">
        <w:t xml:space="preserve">how the difficulty of a literacy task can be related to a combination of literacy and </w:t>
      </w:r>
      <w:r w:rsidRPr="00DC3B75">
        <w:t>language demands</w:t>
      </w:r>
    </w:p>
    <w:p w:rsidR="00000000" w:rsidRPr="00DC3B75" w:rsidP="00DC3B75">
      <w:pPr>
        <w:pStyle w:val="ListBullet"/>
      </w:pPr>
      <w:r w:rsidRPr="00DC3B75">
        <w:t>effect of context on literacy skill use, including:</w:t>
      </w:r>
    </w:p>
    <w:p w:rsidR="00000000" w:rsidRPr="00DC3B75" w:rsidP="00DC3B75">
      <w:pPr>
        <w:pStyle w:val="ListBullet2"/>
      </w:pPr>
      <w:r w:rsidRPr="00DC3B75">
        <w:t>how the choice of linguistic style is affected by roles and relationships</w:t>
      </w:r>
    </w:p>
    <w:p w:rsidR="00000000" w:rsidRPr="00DC3B75" w:rsidP="00DC3B75">
      <w:pPr>
        <w:pStyle w:val="ListBullet2"/>
      </w:pPr>
      <w:r w:rsidRPr="00DC3B75">
        <w:t>how levels of formality are affected by variables including age, role and ethnicity</w:t>
      </w:r>
    </w:p>
    <w:p w:rsidR="00000000" w:rsidRPr="00DC3B75" w:rsidP="00DC3B75">
      <w:pPr>
        <w:pStyle w:val="ListBullet2"/>
      </w:pPr>
      <w:r w:rsidRPr="00DC3B75">
        <w:t>how meaning making relies on linking to context</w:t>
      </w:r>
    </w:p>
    <w:p w:rsidR="00000000" w:rsidRPr="00DC3B75" w:rsidP="00DC3B75">
      <w:pPr>
        <w:pStyle w:val="ListBullet2"/>
      </w:pPr>
      <w:r w:rsidRPr="00DC3B75">
        <w:t>how people may be more proficient in some contexts and less in others</w:t>
      </w:r>
    </w:p>
    <w:p w:rsidR="00000000" w:rsidRPr="00DC3B75" w:rsidP="00DC3B75">
      <w:pPr>
        <w:pStyle w:val="ListBullet"/>
      </w:pPr>
      <w:r w:rsidRPr="00DC3B75">
        <w:t>strategies for approaching written tasks and texts and their relationship to the purpose of reading, including skimming, scanning and cri</w:t>
      </w:r>
      <w:r w:rsidRPr="00DC3B75">
        <w:t>tical analysis</w:t>
      </w:r>
    </w:p>
    <w:p w:rsidR="00000000" w:rsidRPr="00DC3B75" w:rsidP="00DC3B75">
      <w:pPr>
        <w:pStyle w:val="ListBullet"/>
      </w:pPr>
      <w:r w:rsidRPr="00DC3B75">
        <w:t>types of professional development activities that can be used to extend own practice in supporting adult literacy practice.</w:t>
      </w:r>
    </w:p>
    <w:p w:rsidR="00000000" w:rsidRPr="00DC3B75" w:rsidP="00DC3B75">
      <w:pPr>
        <w:pStyle w:val="AllowPageBreak"/>
      </w:pPr>
    </w:p>
    <w:p w:rsidR="00000000" w:rsidRPr="00DC3B75" w:rsidP="00DC3B75">
      <w:pPr>
        <w:pStyle w:val="Heading1"/>
      </w:pPr>
      <w:bookmarkStart w:id="4" w:name="O_1273183"/>
      <w:bookmarkEnd w:id="4"/>
      <w:r w:rsidRPr="00DC3B75">
        <w:t>Assessment Conditions</w:t>
      </w:r>
    </w:p>
    <w:p w:rsidR="00000000" w:rsidRPr="00DC3B75" w:rsidP="002072DD">
      <w:pPr>
        <w:pStyle w:val="BodyText"/>
      </w:pPr>
      <w:r w:rsidRPr="00DC3B75">
        <w:t>Skills in this unit must be demonstrated in a real or simulated vocational e</w:t>
      </w:r>
      <w:r w:rsidRPr="00DC3B75">
        <w:t>ducation and training environment. Evidence gathered for assessment may include that collected in real time or via a submitted recording.</w:t>
      </w:r>
    </w:p>
    <w:p w:rsidR="00000000" w:rsidRPr="00DC3B75" w:rsidP="002072DD">
      <w:pPr>
        <w:pStyle w:val="BodyText"/>
      </w:pPr>
      <w:r w:rsidRPr="00DC3B75">
        <w:t>This includes access to:</w:t>
      </w:r>
    </w:p>
    <w:p w:rsidR="00000000" w:rsidRPr="00DC3B75" w:rsidP="00DC3B75">
      <w:pPr>
        <w:pStyle w:val="ListBullet"/>
      </w:pPr>
      <w:r w:rsidRPr="00DC3B75">
        <w:t>VET teachers, trainers and assessors.</w:t>
      </w:r>
    </w:p>
    <w:p w:rsidR="00000000" w:rsidRPr="00DC3B75" w:rsidP="00DC3B75">
      <w:pPr>
        <w:pStyle w:val="BodyText"/>
      </w:pPr>
    </w:p>
    <w:p w:rsidR="00000000" w:rsidRPr="00DC3B75" w:rsidP="002072DD">
      <w:pPr>
        <w:pStyle w:val="BodyText"/>
      </w:pPr>
      <w:r w:rsidRPr="00DC3B75">
        <w:t>Assessors must:</w:t>
      </w:r>
    </w:p>
    <w:p w:rsidR="00000000" w:rsidRPr="00DC3B75" w:rsidP="00DC3B75">
      <w:pPr>
        <w:pStyle w:val="ListBullet"/>
      </w:pPr>
      <w:r w:rsidRPr="00DC3B75">
        <w:t>satisfy the requirements for assesso</w:t>
      </w:r>
      <w:r w:rsidRPr="00DC3B75">
        <w:t>rs in applicable vocational education and training legislation, frameworks and/or standards, and</w:t>
      </w:r>
    </w:p>
    <w:p w:rsidR="00000000" w:rsidRPr="00DC3B75" w:rsidP="00DC3B75">
      <w:pPr>
        <w:pStyle w:val="ListBullet"/>
      </w:pPr>
      <w:r w:rsidRPr="00DC3B75">
        <w:t>have sound knowledge of current authorised Australian foundation skill frameworks, and</w:t>
      </w:r>
    </w:p>
    <w:p w:rsidR="00000000" w:rsidRPr="00DC3B75" w:rsidP="00DC3B75">
      <w:pPr>
        <w:pStyle w:val="ListBullet"/>
      </w:pPr>
      <w:r w:rsidRPr="00DC3B75">
        <w:t>be able to demonstrate experience, skills and knowledge in the vocational contextualisation and assessment of literacy skills, and</w:t>
      </w:r>
    </w:p>
    <w:p w:rsidR="00000000" w:rsidRPr="00DC3B75" w:rsidP="00DC3B75">
      <w:pPr>
        <w:pStyle w:val="ListBullet"/>
      </w:pPr>
      <w:r w:rsidRPr="00DC3B75">
        <w:t>have achieved the following or equivalent:</w:t>
      </w:r>
    </w:p>
    <w:p w:rsidR="00000000" w:rsidRPr="00DC3B75" w:rsidP="00DC3B75">
      <w:pPr>
        <w:pStyle w:val="ListBullet2"/>
      </w:pPr>
      <w:r w:rsidRPr="00DC3B75">
        <w:t xml:space="preserve">TAE80113 Graduate Diploma of Adult Language, Literacy and Numeracy Practice (and </w:t>
      </w:r>
      <w:r w:rsidRPr="00DC3B75">
        <w:t>its equivalent TAE70111) or equivalent, or</w:t>
      </w:r>
    </w:p>
    <w:p w:rsidR="00000000" w:rsidRPr="00DC3B75" w:rsidP="00DC3B75">
      <w:pPr>
        <w:pStyle w:val="ListBullet2"/>
      </w:pPr>
      <w:r w:rsidRPr="00DC3B75">
        <w:t>higher education qualifications relating to literacy skill development in adult education or vocational education.</w:t>
      </w:r>
    </w:p>
    <w:p w:rsidR="00000000" w:rsidRPr="00DC3B75" w:rsidP="00DC3B75">
      <w:pPr>
        <w:pStyle w:val="AllowPageBreak"/>
      </w:pPr>
    </w:p>
    <w:p w:rsidR="00000000" w:rsidRPr="00DC3B75" w:rsidP="00DC3B75">
      <w:pPr>
        <w:pStyle w:val="Heading1"/>
      </w:pPr>
      <w:bookmarkStart w:id="5" w:name="O_1273186"/>
      <w:bookmarkEnd w:id="5"/>
      <w:r w:rsidRPr="00DC3B75">
        <w:t>Links</w:t>
      </w:r>
    </w:p>
    <w:p w:rsidR="00000000" w:rsidRPr="00DC3B75" w:rsidP="002072DD">
      <w:pPr>
        <w:pStyle w:val="BodyText"/>
      </w:pPr>
      <w:r w:rsidRPr="00DC3B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E673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C3B75" w:rsidP="00DC3B75"/>
    <w:sectPr w:rsidSect="00DC3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5" w:rsidRPr="002072DD" w:rsidP="00207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D" w:rsidP="00DC3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2DD" w:rsidP="00DC3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2DD" w:rsidP="00DC3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B75" w:rsidRPr="002072DD" w:rsidP="00207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D" w:rsidRPr="002D2AF8" w:rsidP="00DC3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TAELLN511 Lead the development of adult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2072DD" w:rsidP="00DC3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C6E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F8E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D4B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B75"/>
  </w:style>
  <w:style w:type="character" w:customStyle="1" w:styleId="Heading1Char">
    <w:name w:val="Heading 1 Char"/>
    <w:basedOn w:val="DefaultParagraphFont"/>
    <w:link w:val="Heading1"/>
    <w:rsid w:val="00DC3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B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3B75"/>
    <w:rPr>
      <w:b/>
      <w:spacing w:val="0"/>
    </w:rPr>
  </w:style>
  <w:style w:type="paragraph" w:styleId="ListBullet2">
    <w:name w:val="List Bullet 2"/>
    <w:basedOn w:val="List2"/>
    <w:rsid w:val="00DC3B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3B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3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B75"/>
    <w:rPr>
      <w:i/>
    </w:rPr>
  </w:style>
  <w:style w:type="paragraph" w:styleId="Caption">
    <w:name w:val="caption"/>
    <w:basedOn w:val="BodyText"/>
    <w:next w:val="Normal"/>
    <w:qFormat/>
    <w:rsid w:val="00DC3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B75"/>
  </w:style>
  <w:style w:type="paragraph" w:styleId="TableofFigures">
    <w:name w:val="table of figures"/>
    <w:basedOn w:val="Normal"/>
    <w:next w:val="Normal"/>
    <w:semiHidden/>
    <w:rsid w:val="00DC3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B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3B75"/>
    <w:rPr>
      <w:rFonts w:ascii="Wingdings" w:hAnsi="Wingdings"/>
    </w:rPr>
  </w:style>
  <w:style w:type="paragraph" w:customStyle="1" w:styleId="TableHeading">
    <w:name w:val="Table Heading"/>
    <w:basedOn w:val="HeadingBase"/>
    <w:rsid w:val="00DC3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B75"/>
    <w:rPr>
      <w:color w:val="0033CC"/>
      <w:u w:val="none"/>
    </w:rPr>
  </w:style>
  <w:style w:type="paragraph" w:customStyle="1" w:styleId="BodyTextRight">
    <w:name w:val="Body Text Right"/>
    <w:basedOn w:val="BodyText"/>
    <w:rsid w:val="00DC3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B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B75"/>
    <w:rPr>
      <w:sz w:val="32"/>
    </w:rPr>
  </w:style>
  <w:style w:type="paragraph" w:customStyle="1" w:styleId="HeadingProcedure">
    <w:name w:val="Heading Procedure"/>
    <w:basedOn w:val="HeadingBase"/>
    <w:next w:val="Normal"/>
    <w:rsid w:val="00DC3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B75"/>
    <w:pPr>
      <w:spacing w:before="60" w:after="60"/>
    </w:pPr>
  </w:style>
  <w:style w:type="paragraph" w:styleId="ListContinue">
    <w:name w:val="List Continue"/>
    <w:basedOn w:val="List"/>
    <w:rsid w:val="00DC3B75"/>
    <w:pPr>
      <w:ind w:firstLine="0"/>
    </w:pPr>
  </w:style>
  <w:style w:type="paragraph" w:customStyle="1" w:styleId="ListNote">
    <w:name w:val="List Note"/>
    <w:basedOn w:val="List"/>
    <w:rsid w:val="00DC3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B75"/>
    <w:rPr>
      <w:rFonts w:ascii="Courier New" w:hAnsi="Courier New"/>
    </w:rPr>
  </w:style>
  <w:style w:type="paragraph" w:customStyle="1" w:styleId="NoteBullet">
    <w:name w:val="Note Bullet"/>
    <w:basedOn w:val="Note"/>
    <w:rsid w:val="00DC3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B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3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B75"/>
    <w:rPr>
      <w:b/>
      <w:smallCaps/>
    </w:rPr>
  </w:style>
  <w:style w:type="paragraph" w:customStyle="1" w:styleId="TableListNumber">
    <w:name w:val="Table List Number"/>
    <w:basedOn w:val="ListNumber"/>
    <w:rsid w:val="00DC3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B75"/>
    <w:pPr>
      <w:numPr>
        <w:numId w:val="10"/>
      </w:numPr>
    </w:pPr>
  </w:style>
  <w:style w:type="paragraph" w:customStyle="1" w:styleId="ListAlpha2">
    <w:name w:val="List Alpha 2"/>
    <w:basedOn w:val="List2"/>
    <w:rsid w:val="00DC3B75"/>
    <w:pPr>
      <w:numPr>
        <w:numId w:val="9"/>
      </w:numPr>
    </w:pPr>
  </w:style>
  <w:style w:type="paragraph" w:styleId="List2">
    <w:name w:val="List 2"/>
    <w:basedOn w:val="BodyText"/>
    <w:rsid w:val="00DC3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B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3B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3B75"/>
    <w:pPr>
      <w:numPr>
        <w:numId w:val="5"/>
      </w:numPr>
    </w:pPr>
  </w:style>
  <w:style w:type="paragraph" w:styleId="ListContinue2">
    <w:name w:val="List Continue 2"/>
    <w:basedOn w:val="List2"/>
    <w:rsid w:val="00DC3B75"/>
    <w:pPr>
      <w:ind w:firstLine="0"/>
    </w:pPr>
  </w:style>
  <w:style w:type="paragraph" w:styleId="ListContinue3">
    <w:name w:val="List Continue 3"/>
    <w:basedOn w:val="List3"/>
    <w:rsid w:val="00DC3B75"/>
    <w:pPr>
      <w:ind w:left="1021" w:firstLine="0"/>
    </w:pPr>
  </w:style>
  <w:style w:type="paragraph" w:styleId="ListContinue4">
    <w:name w:val="List Continue 4"/>
    <w:basedOn w:val="List4"/>
    <w:rsid w:val="00DC3B75"/>
    <w:pPr>
      <w:ind w:firstLine="0"/>
    </w:pPr>
  </w:style>
  <w:style w:type="paragraph" w:styleId="ListContinue5">
    <w:name w:val="List Continue 5"/>
    <w:basedOn w:val="List5"/>
    <w:rsid w:val="00DC3B75"/>
    <w:pPr>
      <w:ind w:firstLine="0"/>
    </w:pPr>
  </w:style>
  <w:style w:type="paragraph" w:styleId="ListNumber3">
    <w:name w:val="List Number 3"/>
    <w:basedOn w:val="List3"/>
    <w:rsid w:val="00DC3B75"/>
    <w:pPr>
      <w:numPr>
        <w:numId w:val="6"/>
      </w:numPr>
    </w:pPr>
  </w:style>
  <w:style w:type="paragraph" w:styleId="ListNumber4">
    <w:name w:val="List Number 4"/>
    <w:basedOn w:val="List4"/>
    <w:rsid w:val="00DC3B75"/>
    <w:pPr>
      <w:numPr>
        <w:numId w:val="7"/>
      </w:numPr>
    </w:pPr>
  </w:style>
  <w:style w:type="paragraph" w:styleId="ListNumber5">
    <w:name w:val="List Number 5"/>
    <w:basedOn w:val="List5"/>
    <w:rsid w:val="00DC3B75"/>
    <w:pPr>
      <w:numPr>
        <w:numId w:val="8"/>
      </w:numPr>
    </w:pPr>
  </w:style>
  <w:style w:type="paragraph" w:styleId="BlockText">
    <w:name w:val="Block Text"/>
    <w:basedOn w:val="Normal"/>
    <w:rsid w:val="00DC3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B75"/>
    <w:rPr>
      <w:sz w:val="16"/>
      <w:vertAlign w:val="superscript"/>
    </w:rPr>
  </w:style>
  <w:style w:type="character" w:customStyle="1" w:styleId="Symbols">
    <w:name w:val="Symbols"/>
    <w:basedOn w:val="DefaultParagraphFont"/>
    <w:rsid w:val="00DC3B75"/>
    <w:rPr>
      <w:rFonts w:ascii="Symbol" w:hAnsi="Symbol"/>
    </w:rPr>
  </w:style>
  <w:style w:type="character" w:customStyle="1" w:styleId="MenuOptions">
    <w:name w:val="Menu Options"/>
    <w:basedOn w:val="DefaultParagraphFont"/>
    <w:rsid w:val="00DC3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B75"/>
    <w:rPr>
      <w:b/>
    </w:rPr>
  </w:style>
  <w:style w:type="character" w:customStyle="1" w:styleId="Underlined">
    <w:name w:val="Underlined"/>
    <w:basedOn w:val="DefaultParagraphFont"/>
    <w:rsid w:val="00DC3B75"/>
    <w:rPr>
      <w:u w:val="single"/>
    </w:rPr>
  </w:style>
  <w:style w:type="paragraph" w:customStyle="1" w:styleId="TableBodyTextRight">
    <w:name w:val="Table Body Text Right"/>
    <w:basedOn w:val="TableBodyText"/>
    <w:rsid w:val="00DC3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B75"/>
    <w:rPr>
      <w:sz w:val="18"/>
    </w:rPr>
  </w:style>
  <w:style w:type="paragraph" w:customStyle="1" w:styleId="BodySmallRight">
    <w:name w:val="Body Small Right"/>
    <w:basedOn w:val="BodyTextRight"/>
    <w:rsid w:val="00DC3B75"/>
    <w:rPr>
      <w:sz w:val="18"/>
      <w:szCs w:val="18"/>
    </w:rPr>
  </w:style>
  <w:style w:type="paragraph" w:customStyle="1" w:styleId="MarginEdition">
    <w:name w:val="Margin Edition"/>
    <w:basedOn w:val="MarginNote"/>
    <w:rsid w:val="00DC3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B75"/>
    <w:rPr>
      <w:sz w:val="2"/>
      <w:szCs w:val="2"/>
    </w:rPr>
  </w:style>
  <w:style w:type="character" w:customStyle="1" w:styleId="Small">
    <w:name w:val="Small"/>
    <w:basedOn w:val="DefaultParagraphFont"/>
    <w:rsid w:val="00DC3B75"/>
    <w:rPr>
      <w:sz w:val="16"/>
    </w:rPr>
  </w:style>
  <w:style w:type="paragraph" w:customStyle="1" w:styleId="WideTable">
    <w:name w:val="Wide Table"/>
    <w:basedOn w:val="Normal"/>
    <w:rsid w:val="00DC3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B75"/>
  </w:style>
  <w:style w:type="paragraph" w:styleId="Quote">
    <w:name w:val="Quote"/>
    <w:basedOn w:val="Heading1"/>
    <w:link w:val="QuoteChar"/>
    <w:qFormat/>
    <w:rsid w:val="00DC3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B75"/>
    <w:pPr>
      <w:pageBreakBefore/>
    </w:pPr>
  </w:style>
  <w:style w:type="paragraph" w:customStyle="1" w:styleId="Border">
    <w:name w:val="Border"/>
    <w:basedOn w:val="Normal"/>
    <w:qFormat/>
    <w:rsid w:val="00DC3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B75"/>
    <w:rPr>
      <w:u w:val="single"/>
    </w:rPr>
  </w:style>
  <w:style w:type="character" w:customStyle="1" w:styleId="BoldandItalics">
    <w:name w:val="Bold and Italics"/>
    <w:qFormat/>
    <w:rsid w:val="00DC3B75"/>
    <w:rPr>
      <w:b/>
      <w:i/>
      <w:u w:val="none"/>
    </w:rPr>
  </w:style>
  <w:style w:type="paragraph" w:styleId="BalloonText">
    <w:name w:val="Balloon Text"/>
    <w:basedOn w:val="Normal"/>
    <w:link w:val="BalloonTextChar"/>
    <w:rsid w:val="00DC3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B75"/>
    <w:pPr>
      <w:spacing w:before="0" w:after="0"/>
    </w:pPr>
  </w:style>
  <w:style w:type="paragraph" w:customStyle="1" w:styleId="BodyTextBold">
    <w:name w:val="Body Text Bold"/>
    <w:basedOn w:val="BodyText"/>
    <w:qFormat/>
    <w:rsid w:val="00DC3B75"/>
    <w:rPr>
      <w:b/>
    </w:rPr>
  </w:style>
  <w:style w:type="character" w:styleId="Hyperlink">
    <w:name w:val="Hyperlink"/>
    <w:basedOn w:val="DefaultParagraphFont"/>
    <w:uiPriority w:val="99"/>
    <w:unhideWhenUsed/>
    <w:rsid w:val="00207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4937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TAELLN511 Lead the development of adult literacy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