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4D3" w:rsidP="001F1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TAELED803 Implement improved learning practice</w:t>
      </w:r>
      <w:r>
        <w:fldChar w:fldCharType="end"/>
      </w:r>
    </w:p>
    <w:p w:rsidR="001F14D3" w:rsidP="001F14D3">
      <w:pPr>
        <w:pStyle w:val="Version"/>
        <w:sectPr w:rsidSect="00791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2CF" w:rsidP="007912CF">
      <w:pPr>
        <w:pStyle w:val="SuperHeading"/>
      </w:pPr>
      <w:r w:rsidRPr="007912CF">
        <w:t>Assessment Requirements for TAELED803 Implement improved learning practice</w:t>
      </w:r>
    </w:p>
    <w:p w:rsidR="00000000" w:rsidRPr="007912CF" w:rsidP="007912CF">
      <w:pPr>
        <w:pStyle w:val="Heading1"/>
      </w:pPr>
      <w:bookmarkStart w:id="1" w:name="O_919401"/>
      <w:bookmarkEnd w:id="1"/>
      <w:r w:rsidRPr="007912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1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2CF" w:rsidP="007912CF">
            <w:pPr>
              <w:pStyle w:val="BodyText"/>
            </w:pPr>
            <w:r w:rsidRPr="007912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2CF">
            <w:pPr>
              <w:pStyle w:val="BodyText"/>
              <w:rPr>
                <w:lang w:val="en-NZ"/>
              </w:rPr>
            </w:pPr>
            <w:r w:rsidRPr="007912CF">
              <w:rPr>
                <w:rStyle w:val="SpecialBold"/>
              </w:rPr>
              <w:t>Comments</w:t>
            </w:r>
          </w:p>
        </w:tc>
      </w:tr>
      <w:tr w:rsidTr="00791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2CF">
            <w:pPr>
              <w:pStyle w:val="BodyText"/>
              <w:rPr>
                <w:lang w:val="en-NZ"/>
              </w:rPr>
            </w:pPr>
            <w:r w:rsidRPr="007912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2CF" w:rsidP="007912CF">
            <w:pPr>
              <w:pStyle w:val="BodyText"/>
            </w:pPr>
            <w:r w:rsidRPr="007912CF">
              <w:t xml:space="preserve">This version first released with </w:t>
            </w:r>
            <w:r w:rsidRPr="007912CF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7912CF" w:rsidP="007912CF">
      <w:pPr>
        <w:pStyle w:val="BodyText"/>
      </w:pPr>
    </w:p>
    <w:p w:rsidR="00000000" w:rsidRPr="007912CF" w:rsidP="007912CF">
      <w:pPr>
        <w:pStyle w:val="AllowPageBreak"/>
      </w:pPr>
    </w:p>
    <w:p w:rsidR="00000000" w:rsidRPr="007912CF" w:rsidP="007912CF">
      <w:pPr>
        <w:pStyle w:val="Heading1"/>
      </w:pPr>
      <w:bookmarkStart w:id="2" w:name="O_919400"/>
      <w:bookmarkEnd w:id="2"/>
      <w:r w:rsidRPr="007912CF">
        <w:t>Performance Evidence</w:t>
      </w:r>
    </w:p>
    <w:p w:rsidR="00000000" w:rsidRPr="007912CF" w:rsidP="001F14D3">
      <w:pPr>
        <w:pStyle w:val="BodyText"/>
      </w:pPr>
      <w:r w:rsidRPr="007912CF">
        <w:t>The candidate must show evidence of the ability to complete tasks outlined in the elements and performance criteria of this unit, including:</w:t>
      </w:r>
    </w:p>
    <w:p w:rsidR="00000000" w:rsidRPr="007912CF" w:rsidP="007912CF">
      <w:pPr>
        <w:pStyle w:val="ListBullet"/>
      </w:pPr>
      <w:r w:rsidRPr="007912CF">
        <w:t xml:space="preserve">implementing improved practice in at least one learning environment, including documentation </w:t>
      </w:r>
      <w:r w:rsidRPr="007912CF">
        <w:t>to show:</w:t>
      </w:r>
    </w:p>
    <w:p w:rsidR="00000000" w:rsidRPr="007912CF" w:rsidP="007912CF">
      <w:pPr>
        <w:pStyle w:val="ListBullet2"/>
      </w:pPr>
      <w:r w:rsidRPr="007912CF">
        <w:t>an evaluation of ways in which to improve learning practice</w:t>
      </w:r>
    </w:p>
    <w:p w:rsidR="00000000" w:rsidRPr="007912CF" w:rsidP="007912CF">
      <w:pPr>
        <w:pStyle w:val="ListBullet2"/>
      </w:pPr>
      <w:r w:rsidRPr="007912CF">
        <w:t>how the process was managed and monitored</w:t>
      </w:r>
    </w:p>
    <w:p w:rsidR="00000000" w:rsidRPr="007912CF" w:rsidP="007912CF">
      <w:pPr>
        <w:pStyle w:val="ListBullet2"/>
      </w:pPr>
      <w:r w:rsidRPr="007912CF">
        <w:t>how learning was improved</w:t>
      </w:r>
    </w:p>
    <w:p w:rsidR="00000000" w:rsidRPr="007912CF" w:rsidP="007912CF">
      <w:pPr>
        <w:pStyle w:val="ListBullet2"/>
      </w:pPr>
      <w:r w:rsidRPr="007912CF">
        <w:t>how improved learning practice was advocated for</w:t>
      </w:r>
    </w:p>
    <w:p w:rsidR="00000000" w:rsidRPr="007912CF" w:rsidP="007912CF">
      <w:pPr>
        <w:pStyle w:val="ListBullet2"/>
      </w:pPr>
      <w:r w:rsidRPr="007912CF">
        <w:t>how colleagues were mentored in order to promote learning practice.</w:t>
      </w:r>
    </w:p>
    <w:p w:rsidR="00000000" w:rsidRPr="007912CF" w:rsidP="007912CF">
      <w:pPr>
        <w:pStyle w:val="AllowPageBreak"/>
      </w:pPr>
    </w:p>
    <w:p w:rsidR="00000000" w:rsidRPr="007912CF" w:rsidP="007912CF">
      <w:pPr>
        <w:pStyle w:val="Heading1"/>
      </w:pPr>
      <w:bookmarkStart w:id="3" w:name="O_919399"/>
      <w:bookmarkEnd w:id="3"/>
      <w:r w:rsidRPr="007912CF">
        <w:t>Knowledge Evidence</w:t>
      </w:r>
    </w:p>
    <w:p w:rsidR="00000000" w:rsidRPr="007912CF" w:rsidP="001F14D3">
      <w:pPr>
        <w:pStyle w:val="BodyText"/>
      </w:pPr>
      <w:r w:rsidRPr="007912CF">
        <w:t>The candidate must be able to demonstrate essential knowledge to effectively complete the task outlined in the elements and performance criteria of this unit. This includes knowledge of:</w:t>
      </w:r>
    </w:p>
    <w:p w:rsidR="00000000" w:rsidRPr="007912CF" w:rsidP="007912CF">
      <w:pPr>
        <w:pStyle w:val="ListBullet"/>
      </w:pPr>
      <w:r w:rsidRPr="007912CF">
        <w:t xml:space="preserve">adult learning practice </w:t>
      </w:r>
    </w:p>
    <w:p w:rsidR="00000000" w:rsidRPr="007912CF" w:rsidP="007912CF">
      <w:pPr>
        <w:pStyle w:val="ListBullet"/>
      </w:pPr>
      <w:r w:rsidRPr="007912CF">
        <w:t>contempo</w:t>
      </w:r>
      <w:r w:rsidRPr="007912CF">
        <w:t>rary policy and approaches to vocational learning and assessment</w:t>
      </w:r>
    </w:p>
    <w:p w:rsidR="00000000" w:rsidRPr="007912CF" w:rsidP="007912CF">
      <w:pPr>
        <w:pStyle w:val="ListBullet"/>
      </w:pPr>
      <w:r w:rsidRPr="007912CF">
        <w:t>the content and requirements of the relevant delivery and assessment strategies</w:t>
      </w:r>
    </w:p>
    <w:p w:rsidR="00000000" w:rsidRPr="007912CF" w:rsidP="007912CF">
      <w:pPr>
        <w:pStyle w:val="ListBullet"/>
      </w:pPr>
      <w:r w:rsidRPr="007912CF">
        <w:t>the content of learning resources and learning materials</w:t>
      </w:r>
    </w:p>
    <w:p w:rsidR="00000000" w:rsidRPr="007912CF" w:rsidP="007912CF">
      <w:pPr>
        <w:pStyle w:val="ListBullet"/>
      </w:pPr>
      <w:r w:rsidRPr="007912CF">
        <w:t>the design and management of learning objects and cont</w:t>
      </w:r>
      <w:r w:rsidRPr="007912CF">
        <w:t>ent</w:t>
      </w:r>
    </w:p>
    <w:p w:rsidR="00000000" w:rsidRPr="007912CF" w:rsidP="007912CF">
      <w:pPr>
        <w:pStyle w:val="ListBullet"/>
      </w:pPr>
      <w:r w:rsidRPr="007912CF">
        <w:t>different learning styles, and how to encourage learners, including:</w:t>
      </w:r>
    </w:p>
    <w:p w:rsidR="00000000" w:rsidRPr="007912CF" w:rsidP="007912CF">
      <w:pPr>
        <w:pStyle w:val="ListBullet2"/>
      </w:pPr>
      <w:r w:rsidRPr="007912CF">
        <w:t>theoretical learners</w:t>
      </w:r>
    </w:p>
    <w:p w:rsidR="00000000" w:rsidRPr="007912CF" w:rsidP="007912CF">
      <w:pPr>
        <w:pStyle w:val="ListBullet2"/>
      </w:pPr>
      <w:r w:rsidRPr="007912CF">
        <w:t>pragmatic learners</w:t>
      </w:r>
    </w:p>
    <w:p w:rsidR="00000000" w:rsidRPr="007912CF" w:rsidP="007912CF">
      <w:pPr>
        <w:pStyle w:val="ListBullet2"/>
      </w:pPr>
      <w:r w:rsidRPr="007912CF">
        <w:t>activist learners</w:t>
      </w:r>
    </w:p>
    <w:p w:rsidR="00000000" w:rsidRPr="007912CF" w:rsidP="007912CF">
      <w:pPr>
        <w:pStyle w:val="ListBullet2"/>
      </w:pPr>
      <w:r w:rsidRPr="007912CF">
        <w:t>reflective learners</w:t>
      </w:r>
    </w:p>
    <w:p w:rsidR="00000000" w:rsidRPr="007912CF" w:rsidP="007912CF">
      <w:pPr>
        <w:pStyle w:val="ListBullet2"/>
      </w:pPr>
      <w:r w:rsidRPr="007912CF">
        <w:t>kinaesthetic learners</w:t>
      </w:r>
    </w:p>
    <w:p w:rsidR="00000000" w:rsidRPr="007912CF" w:rsidP="007912CF">
      <w:pPr>
        <w:pStyle w:val="ListBullet2"/>
      </w:pPr>
      <w:r w:rsidRPr="007912CF">
        <w:t>audio learners</w:t>
      </w:r>
    </w:p>
    <w:p w:rsidR="00000000" w:rsidRPr="007912CF" w:rsidP="007912CF">
      <w:pPr>
        <w:pStyle w:val="ListBullet2"/>
      </w:pPr>
      <w:r w:rsidRPr="007912CF">
        <w:t>visual learners</w:t>
      </w:r>
    </w:p>
    <w:p w:rsidR="00000000" w:rsidRPr="007912CF" w:rsidP="007912CF">
      <w:pPr>
        <w:pStyle w:val="ListBullet2"/>
      </w:pPr>
      <w:r w:rsidRPr="007912CF">
        <w:t>tactile learners</w:t>
      </w:r>
    </w:p>
    <w:p w:rsidR="00000000" w:rsidRPr="007912CF" w:rsidP="007912CF">
      <w:pPr>
        <w:pStyle w:val="ListBullet2"/>
      </w:pPr>
      <w:r w:rsidRPr="007912CF">
        <w:t>left and right brain learners</w:t>
      </w:r>
    </w:p>
    <w:p w:rsidR="00000000" w:rsidRPr="007912CF" w:rsidP="007912CF">
      <w:pPr>
        <w:pStyle w:val="ListBullet"/>
      </w:pPr>
      <w:r w:rsidRPr="007912CF">
        <w:t>learning strategies, teaching, and assessment methods</w:t>
      </w:r>
    </w:p>
    <w:p w:rsidR="00000000" w:rsidRPr="007912CF" w:rsidP="007912CF">
      <w:pPr>
        <w:pStyle w:val="ListBullet"/>
      </w:pPr>
      <w:r w:rsidRPr="007912CF">
        <w:t xml:space="preserve">research relating to pedagogical theory and practice, learner interests and changing learning styles, and the application of information and communications technology (ICT) to learning and teaching </w:t>
      </w:r>
    </w:p>
    <w:p w:rsidR="00000000" w:rsidRPr="007912CF" w:rsidP="007912CF">
      <w:pPr>
        <w:pStyle w:val="ListBullet"/>
      </w:pPr>
      <w:r w:rsidRPr="007912CF">
        <w:t>the</w:t>
      </w:r>
      <w:r w:rsidRPr="007912CF">
        <w:t xml:space="preserve"> sources and availability of relevant learning resources, and learning materials</w:t>
      </w:r>
    </w:p>
    <w:p w:rsidR="00000000" w:rsidRPr="007912CF" w:rsidP="007912CF">
      <w:pPr>
        <w:pStyle w:val="ListBullet"/>
      </w:pPr>
      <w:r w:rsidRPr="007912CF">
        <w:t>the theory and practice relating to adult learning</w:t>
      </w:r>
    </w:p>
    <w:p w:rsidR="00000000" w:rsidRPr="007912CF" w:rsidP="007912CF">
      <w:pPr>
        <w:pStyle w:val="ListBullet"/>
      </w:pPr>
      <w:r w:rsidRPr="007912CF">
        <w:t>training techniques that enhance learning and when to use them, including:</w:t>
      </w:r>
    </w:p>
    <w:p w:rsidR="00000000" w:rsidRPr="007912CF" w:rsidP="007912CF">
      <w:pPr>
        <w:pStyle w:val="ListBullet2"/>
      </w:pPr>
      <w:r w:rsidRPr="007912CF">
        <w:t>instruction and explanation</w:t>
      </w:r>
    </w:p>
    <w:p w:rsidR="00000000" w:rsidRPr="007912CF" w:rsidP="007912CF">
      <w:pPr>
        <w:pStyle w:val="ListBullet2"/>
      </w:pPr>
      <w:r w:rsidRPr="007912CF">
        <w:t>questioning</w:t>
      </w:r>
    </w:p>
    <w:p w:rsidR="00000000" w:rsidRPr="007912CF" w:rsidP="007912CF">
      <w:pPr>
        <w:pStyle w:val="ListBullet2"/>
      </w:pPr>
      <w:r w:rsidRPr="007912CF">
        <w:t>practice</w:t>
      </w:r>
    </w:p>
    <w:p w:rsidR="00000000" w:rsidRPr="007912CF" w:rsidP="007912CF">
      <w:pPr>
        <w:pStyle w:val="ListBullet2"/>
      </w:pPr>
      <w:r w:rsidRPr="007912CF">
        <w:t>written information</w:t>
      </w:r>
    </w:p>
    <w:p w:rsidR="00000000" w:rsidRPr="007912CF" w:rsidP="007912CF">
      <w:pPr>
        <w:pStyle w:val="ListBullet2"/>
      </w:pPr>
      <w:r w:rsidRPr="007912CF">
        <w:t>group, pair and team activities</w:t>
      </w:r>
    </w:p>
    <w:p w:rsidR="00000000" w:rsidRPr="007912CF" w:rsidP="007912CF">
      <w:pPr>
        <w:pStyle w:val="ListBullet2"/>
      </w:pPr>
      <w:r w:rsidRPr="007912CF">
        <w:t>individual activities</w:t>
      </w:r>
    </w:p>
    <w:p w:rsidR="00000000" w:rsidRPr="007912CF" w:rsidP="007912CF">
      <w:pPr>
        <w:pStyle w:val="ListBullet2"/>
      </w:pPr>
      <w:r w:rsidRPr="007912CF">
        <w:t>demonstration.</w:t>
      </w:r>
    </w:p>
    <w:p w:rsidR="00000000" w:rsidRPr="007912CF" w:rsidP="007912CF">
      <w:pPr>
        <w:pStyle w:val="AllowPageBreak"/>
      </w:pPr>
    </w:p>
    <w:p w:rsidR="00000000" w:rsidRPr="007912CF" w:rsidP="007912CF">
      <w:pPr>
        <w:pStyle w:val="Heading1"/>
      </w:pPr>
      <w:bookmarkStart w:id="4" w:name="O_919398"/>
      <w:bookmarkEnd w:id="4"/>
      <w:r w:rsidRPr="007912CF">
        <w:t>Assessment Conditions</w:t>
      </w:r>
    </w:p>
    <w:p w:rsidR="00000000" w:rsidRPr="007912CF" w:rsidP="001F14D3">
      <w:pPr>
        <w:pStyle w:val="BodyText"/>
      </w:pPr>
      <w:r w:rsidRPr="007912CF">
        <w:t xml:space="preserve">Gather evidence to demonstrate consistent performance in conditions that are safe and replicate the workplace. Conditions must </w:t>
      </w:r>
      <w:r w:rsidRPr="007912CF">
        <w:t>be typical of those experienced in the training and assessment environment.</w:t>
      </w:r>
    </w:p>
    <w:p w:rsidR="00000000" w:rsidRPr="007912CF" w:rsidP="001F14D3">
      <w:pPr>
        <w:pStyle w:val="BodyText"/>
      </w:pPr>
      <w:r w:rsidRPr="007912CF">
        <w:t>Assessors must satisfy the requirements for assessors in applicable vocational education and training legislation, frameworks and/or standards.</w:t>
      </w:r>
    </w:p>
    <w:p w:rsidR="00000000" w:rsidRPr="007912CF" w:rsidP="007912CF">
      <w:pPr>
        <w:pStyle w:val="Heading1"/>
      </w:pPr>
      <w:bookmarkStart w:id="5" w:name="O_919410"/>
      <w:bookmarkEnd w:id="5"/>
      <w:r w:rsidRPr="007912CF">
        <w:t>Links</w:t>
      </w:r>
    </w:p>
    <w:p w:rsidR="00000000" w:rsidRPr="007912CF" w:rsidP="001F14D3">
      <w:pPr>
        <w:pStyle w:val="BodyText"/>
      </w:pPr>
      <w:r w:rsidRPr="007912CF">
        <w:t>Companion Vo</w:t>
      </w:r>
      <w:r w:rsidRPr="007912CF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006E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912CF" w:rsidP="007912CF"/>
    <w:sectPr w:rsidSect="007912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CF" w:rsidRPr="001F14D3" w:rsidP="001F1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D3" w:rsidP="00791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14D3" w:rsidP="00791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14D3" w:rsidP="00791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2CF" w:rsidRPr="001F14D3" w:rsidP="001F1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D3" w:rsidRPr="002D2AF8" w:rsidP="00791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TAELED803 Implement improved learning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F14D3" w:rsidP="00791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764A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C03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1082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2CF"/>
  </w:style>
  <w:style w:type="character" w:customStyle="1" w:styleId="Heading1Char">
    <w:name w:val="Heading 1 Char"/>
    <w:basedOn w:val="DefaultParagraphFont"/>
    <w:link w:val="Heading1"/>
    <w:rsid w:val="00791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2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2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2CF"/>
    <w:rPr>
      <w:b/>
      <w:spacing w:val="0"/>
    </w:rPr>
  </w:style>
  <w:style w:type="paragraph" w:styleId="ListBullet2">
    <w:name w:val="List Bullet 2"/>
    <w:basedOn w:val="List2"/>
    <w:rsid w:val="007912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12CF"/>
    <w:rPr>
      <w:i/>
    </w:rPr>
  </w:style>
  <w:style w:type="paragraph" w:customStyle="1" w:styleId="SuperHeading">
    <w:name w:val="SuperHeading"/>
    <w:basedOn w:val="Normal"/>
    <w:rsid w:val="00791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2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2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2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1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2CF"/>
  </w:style>
  <w:style w:type="paragraph" w:styleId="TableofFigures">
    <w:name w:val="table of figures"/>
    <w:basedOn w:val="Normal"/>
    <w:next w:val="Normal"/>
    <w:semiHidden/>
    <w:rsid w:val="00791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2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12CF"/>
    <w:rPr>
      <w:rFonts w:ascii="Wingdings" w:hAnsi="Wingdings"/>
    </w:rPr>
  </w:style>
  <w:style w:type="paragraph" w:customStyle="1" w:styleId="TableHeading">
    <w:name w:val="Table Heading"/>
    <w:basedOn w:val="HeadingBase"/>
    <w:rsid w:val="00791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2CF"/>
    <w:rPr>
      <w:color w:val="0033CC"/>
      <w:u w:val="none"/>
    </w:rPr>
  </w:style>
  <w:style w:type="paragraph" w:customStyle="1" w:styleId="BodyTextRight">
    <w:name w:val="Body Text Right"/>
    <w:basedOn w:val="BodyText"/>
    <w:rsid w:val="00791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2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2CF"/>
    <w:rPr>
      <w:sz w:val="32"/>
    </w:rPr>
  </w:style>
  <w:style w:type="paragraph" w:customStyle="1" w:styleId="HeadingProcedure">
    <w:name w:val="Heading Procedure"/>
    <w:basedOn w:val="HeadingBase"/>
    <w:next w:val="Normal"/>
    <w:rsid w:val="00791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2CF"/>
    <w:pPr>
      <w:spacing w:before="60" w:after="60"/>
    </w:pPr>
  </w:style>
  <w:style w:type="paragraph" w:styleId="ListContinue">
    <w:name w:val="List Continue"/>
    <w:basedOn w:val="List"/>
    <w:rsid w:val="007912CF"/>
    <w:pPr>
      <w:ind w:firstLine="0"/>
    </w:pPr>
  </w:style>
  <w:style w:type="paragraph" w:customStyle="1" w:styleId="ListNote">
    <w:name w:val="List Note"/>
    <w:basedOn w:val="List"/>
    <w:rsid w:val="00791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2CF"/>
    <w:rPr>
      <w:rFonts w:ascii="Courier New" w:hAnsi="Courier New"/>
    </w:rPr>
  </w:style>
  <w:style w:type="paragraph" w:customStyle="1" w:styleId="NoteBullet">
    <w:name w:val="Note Bullet"/>
    <w:basedOn w:val="Note"/>
    <w:rsid w:val="00791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2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1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2CF"/>
    <w:rPr>
      <w:b/>
      <w:smallCaps/>
    </w:rPr>
  </w:style>
  <w:style w:type="paragraph" w:customStyle="1" w:styleId="TableListNumber">
    <w:name w:val="Table List Number"/>
    <w:basedOn w:val="ListNumber"/>
    <w:rsid w:val="00791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2CF"/>
    <w:pPr>
      <w:numPr>
        <w:numId w:val="9"/>
      </w:numPr>
    </w:pPr>
  </w:style>
  <w:style w:type="paragraph" w:customStyle="1" w:styleId="ListAlpha2">
    <w:name w:val="List Alpha 2"/>
    <w:basedOn w:val="List2"/>
    <w:rsid w:val="007912CF"/>
    <w:pPr>
      <w:numPr>
        <w:numId w:val="8"/>
      </w:numPr>
    </w:pPr>
  </w:style>
  <w:style w:type="paragraph" w:styleId="List2">
    <w:name w:val="List 2"/>
    <w:basedOn w:val="BodyText"/>
    <w:rsid w:val="00791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2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2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12CF"/>
    <w:pPr>
      <w:numPr>
        <w:numId w:val="4"/>
      </w:numPr>
    </w:pPr>
  </w:style>
  <w:style w:type="paragraph" w:styleId="ListContinue2">
    <w:name w:val="List Continue 2"/>
    <w:basedOn w:val="List2"/>
    <w:rsid w:val="007912CF"/>
    <w:pPr>
      <w:ind w:firstLine="0"/>
    </w:pPr>
  </w:style>
  <w:style w:type="paragraph" w:styleId="ListContinue3">
    <w:name w:val="List Continue 3"/>
    <w:basedOn w:val="List3"/>
    <w:rsid w:val="007912CF"/>
    <w:pPr>
      <w:ind w:left="1021" w:firstLine="0"/>
    </w:pPr>
  </w:style>
  <w:style w:type="paragraph" w:styleId="ListContinue4">
    <w:name w:val="List Continue 4"/>
    <w:basedOn w:val="List4"/>
    <w:rsid w:val="007912CF"/>
    <w:pPr>
      <w:ind w:firstLine="0"/>
    </w:pPr>
  </w:style>
  <w:style w:type="paragraph" w:styleId="ListContinue5">
    <w:name w:val="List Continue 5"/>
    <w:basedOn w:val="List5"/>
    <w:rsid w:val="007912CF"/>
    <w:pPr>
      <w:ind w:firstLine="0"/>
    </w:pPr>
  </w:style>
  <w:style w:type="paragraph" w:styleId="ListNumber3">
    <w:name w:val="List Number 3"/>
    <w:basedOn w:val="List3"/>
    <w:rsid w:val="007912CF"/>
    <w:pPr>
      <w:numPr>
        <w:numId w:val="5"/>
      </w:numPr>
    </w:pPr>
  </w:style>
  <w:style w:type="paragraph" w:styleId="ListNumber4">
    <w:name w:val="List Number 4"/>
    <w:basedOn w:val="List4"/>
    <w:rsid w:val="007912CF"/>
    <w:pPr>
      <w:numPr>
        <w:numId w:val="6"/>
      </w:numPr>
    </w:pPr>
  </w:style>
  <w:style w:type="paragraph" w:styleId="ListNumber5">
    <w:name w:val="List Number 5"/>
    <w:basedOn w:val="List5"/>
    <w:rsid w:val="007912CF"/>
    <w:pPr>
      <w:numPr>
        <w:numId w:val="7"/>
      </w:numPr>
    </w:pPr>
  </w:style>
  <w:style w:type="paragraph" w:styleId="BlockText">
    <w:name w:val="Block Text"/>
    <w:basedOn w:val="Normal"/>
    <w:rsid w:val="00791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2CF"/>
    <w:rPr>
      <w:sz w:val="16"/>
      <w:vertAlign w:val="superscript"/>
    </w:rPr>
  </w:style>
  <w:style w:type="character" w:customStyle="1" w:styleId="Symbols">
    <w:name w:val="Symbols"/>
    <w:basedOn w:val="DefaultParagraphFont"/>
    <w:rsid w:val="007912CF"/>
    <w:rPr>
      <w:rFonts w:ascii="Symbol" w:hAnsi="Symbol"/>
    </w:rPr>
  </w:style>
  <w:style w:type="character" w:customStyle="1" w:styleId="MenuOptions">
    <w:name w:val="Menu Options"/>
    <w:basedOn w:val="DefaultParagraphFont"/>
    <w:rsid w:val="00791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2CF"/>
    <w:rPr>
      <w:b/>
    </w:rPr>
  </w:style>
  <w:style w:type="character" w:customStyle="1" w:styleId="Underlined">
    <w:name w:val="Underlined"/>
    <w:basedOn w:val="DefaultParagraphFont"/>
    <w:rsid w:val="007912CF"/>
    <w:rPr>
      <w:u w:val="single"/>
    </w:rPr>
  </w:style>
  <w:style w:type="paragraph" w:customStyle="1" w:styleId="TableBodyTextRight">
    <w:name w:val="Table Body Text Right"/>
    <w:basedOn w:val="TableBodyText"/>
    <w:rsid w:val="00791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2CF"/>
    <w:rPr>
      <w:sz w:val="18"/>
    </w:rPr>
  </w:style>
  <w:style w:type="paragraph" w:customStyle="1" w:styleId="BodySmallRight">
    <w:name w:val="Body Small Right"/>
    <w:basedOn w:val="BodyTextRight"/>
    <w:rsid w:val="007912CF"/>
    <w:rPr>
      <w:sz w:val="18"/>
      <w:szCs w:val="18"/>
    </w:rPr>
  </w:style>
  <w:style w:type="paragraph" w:customStyle="1" w:styleId="MarginEdition">
    <w:name w:val="Margin Edition"/>
    <w:basedOn w:val="MarginNote"/>
    <w:rsid w:val="00791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2CF"/>
    <w:rPr>
      <w:sz w:val="2"/>
      <w:szCs w:val="2"/>
    </w:rPr>
  </w:style>
  <w:style w:type="character" w:customStyle="1" w:styleId="Small">
    <w:name w:val="Small"/>
    <w:basedOn w:val="DefaultParagraphFont"/>
    <w:rsid w:val="007912CF"/>
    <w:rPr>
      <w:sz w:val="16"/>
    </w:rPr>
  </w:style>
  <w:style w:type="paragraph" w:customStyle="1" w:styleId="WideTable">
    <w:name w:val="Wide Table"/>
    <w:basedOn w:val="Normal"/>
    <w:rsid w:val="00791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2CF"/>
  </w:style>
  <w:style w:type="paragraph" w:styleId="Quote">
    <w:name w:val="Quote"/>
    <w:basedOn w:val="Heading1"/>
    <w:link w:val="QuoteChar"/>
    <w:qFormat/>
    <w:rsid w:val="00791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2CF"/>
    <w:pPr>
      <w:pageBreakBefore/>
    </w:pPr>
  </w:style>
  <w:style w:type="paragraph" w:customStyle="1" w:styleId="Border">
    <w:name w:val="Border"/>
    <w:basedOn w:val="Normal"/>
    <w:qFormat/>
    <w:rsid w:val="00791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2CF"/>
    <w:rPr>
      <w:u w:val="single"/>
    </w:rPr>
  </w:style>
  <w:style w:type="character" w:customStyle="1" w:styleId="BoldandItalics">
    <w:name w:val="Bold and Italics"/>
    <w:qFormat/>
    <w:rsid w:val="007912CF"/>
    <w:rPr>
      <w:b/>
      <w:i/>
      <w:u w:val="none"/>
    </w:rPr>
  </w:style>
  <w:style w:type="paragraph" w:styleId="BalloonText">
    <w:name w:val="Balloon Text"/>
    <w:basedOn w:val="Normal"/>
    <w:link w:val="BalloonTextChar"/>
    <w:rsid w:val="00791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2CF"/>
    <w:pPr>
      <w:spacing w:before="0" w:after="0"/>
    </w:pPr>
  </w:style>
  <w:style w:type="paragraph" w:customStyle="1" w:styleId="BodyTextBold">
    <w:name w:val="Body Text Bold"/>
    <w:basedOn w:val="BodyText"/>
    <w:qFormat/>
    <w:rsid w:val="007912CF"/>
    <w:rPr>
      <w:b/>
    </w:rPr>
  </w:style>
  <w:style w:type="character" w:styleId="Hyperlink">
    <w:name w:val="Hyperlink"/>
    <w:basedOn w:val="DefaultParagraphFont"/>
    <w:uiPriority w:val="99"/>
    <w:unhideWhenUsed/>
    <w:rsid w:val="001F1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2488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TAELED803 Implement improved learning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2022-12-08T09:10:00Z</dcterms:modified>
</cp:coreProperties>
</file>