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31EA" w:rsidP="00B331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TAEDES501 Design and develop learning strategies</w:t>
      </w:r>
      <w:r>
        <w:fldChar w:fldCharType="end"/>
      </w:r>
    </w:p>
    <w:p w:rsidR="00B331EA" w:rsidP="00B331EA">
      <w:pPr>
        <w:pStyle w:val="Version"/>
        <w:sectPr w:rsidSect="004A04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A046C" w:rsidP="004A046C">
      <w:pPr>
        <w:pStyle w:val="SuperHeading"/>
      </w:pPr>
      <w:r w:rsidRPr="004A046C">
        <w:t>Assessment Requirements for TAEDES501 Design and develop learning strategies</w:t>
      </w:r>
    </w:p>
    <w:p w:rsidR="00000000" w:rsidRPr="004A046C" w:rsidP="004A046C">
      <w:pPr>
        <w:pStyle w:val="Heading1"/>
      </w:pPr>
      <w:bookmarkStart w:id="1" w:name="O_953334"/>
      <w:bookmarkEnd w:id="1"/>
      <w:r w:rsidRPr="004A04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A0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46C" w:rsidP="004A046C">
            <w:pPr>
              <w:pStyle w:val="BodyText"/>
            </w:pPr>
            <w:r w:rsidRPr="004A046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6C">
            <w:pPr>
              <w:pStyle w:val="BodyText"/>
              <w:rPr>
                <w:lang w:val="en-NZ"/>
              </w:rPr>
            </w:pPr>
            <w:r w:rsidRPr="004A046C">
              <w:rPr>
                <w:rStyle w:val="SpecialBold"/>
              </w:rPr>
              <w:t>Comments</w:t>
            </w:r>
          </w:p>
        </w:tc>
      </w:tr>
      <w:tr w:rsidTr="004A0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6C">
            <w:pPr>
              <w:pStyle w:val="BodyText"/>
              <w:rPr>
                <w:lang w:val="en-NZ"/>
              </w:rPr>
            </w:pPr>
            <w:r w:rsidRPr="004A046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46C" w:rsidP="004A046C">
            <w:pPr>
              <w:pStyle w:val="BodyText"/>
            </w:pPr>
            <w:r w:rsidRPr="004A046C">
              <w:t xml:space="preserve">This was first released with </w:t>
            </w:r>
            <w:r w:rsidRPr="004A046C">
              <w:rPr>
                <w:rStyle w:val="Emphasis"/>
              </w:rPr>
              <w:t>TAE Training and Education Training Package Release 2.1</w:t>
            </w:r>
            <w:r w:rsidRPr="004A046C">
              <w:t>.</w:t>
            </w:r>
          </w:p>
          <w:p w:rsidR="00000000" w:rsidP="004A046C">
            <w:pPr>
              <w:pStyle w:val="BodyText"/>
              <w:rPr>
                <w:lang w:val="en-NZ"/>
              </w:rPr>
            </w:pPr>
            <w:r w:rsidRPr="004A046C">
              <w:t>Minor update to Assessment Conditions.</w:t>
            </w:r>
          </w:p>
        </w:tc>
      </w:tr>
      <w:tr w:rsidTr="004A0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6C">
            <w:pPr>
              <w:pStyle w:val="BodyText"/>
              <w:rPr>
                <w:lang w:val="en-NZ"/>
              </w:rPr>
            </w:pPr>
            <w:r w:rsidRPr="004A046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46C" w:rsidP="004A046C">
            <w:pPr>
              <w:pStyle w:val="BodyText"/>
            </w:pPr>
            <w:r w:rsidRPr="004A046C">
              <w:t xml:space="preserve">This version first released with </w:t>
            </w:r>
            <w:r w:rsidRPr="004A046C">
              <w:rPr>
                <w:rStyle w:val="Emphasis"/>
              </w:rPr>
              <w:t>TAE Training and Education Training Package Release 2.0.</w:t>
            </w:r>
          </w:p>
        </w:tc>
      </w:tr>
    </w:tbl>
    <w:p w:rsidR="00000000" w:rsidRPr="004A046C" w:rsidP="004A046C">
      <w:pPr>
        <w:pStyle w:val="BodyText"/>
      </w:pPr>
    </w:p>
    <w:p w:rsidR="00000000" w:rsidRPr="004A046C" w:rsidP="004A046C">
      <w:pPr>
        <w:pStyle w:val="AllowPageBreak"/>
      </w:pPr>
    </w:p>
    <w:p w:rsidR="00000000" w:rsidRPr="004A046C" w:rsidP="004A046C">
      <w:pPr>
        <w:pStyle w:val="Heading1"/>
      </w:pPr>
      <w:bookmarkStart w:id="2" w:name="O_953333"/>
      <w:bookmarkEnd w:id="2"/>
      <w:r w:rsidRPr="004A046C">
        <w:t>Performance Evidence</w:t>
      </w:r>
    </w:p>
    <w:p w:rsidR="00000000" w:rsidRPr="004A046C" w:rsidP="00B331EA">
      <w:pPr>
        <w:pStyle w:val="BodyText"/>
      </w:pPr>
      <w:r w:rsidRPr="004A046C">
        <w:t>The candidate must show evidence of the ability to complete tasks outlined i</w:t>
      </w:r>
      <w:r w:rsidRPr="004A046C">
        <w:t>n the elements and performance criteria of this unit, including:</w:t>
      </w:r>
    </w:p>
    <w:p w:rsidR="00000000" w:rsidRPr="004A046C" w:rsidP="004A046C">
      <w:pPr>
        <w:pStyle w:val="ListBullet"/>
      </w:pPr>
      <w:r w:rsidRPr="004A046C">
        <w:t>preparation and presentation of a minimum of two examples of learning strategies designed by the candidate, with differentiated design structures in each that:</w:t>
      </w:r>
    </w:p>
    <w:p w:rsidR="00000000" w:rsidRPr="004A046C" w:rsidP="004A046C">
      <w:pPr>
        <w:pStyle w:val="ListBullet2"/>
      </w:pPr>
      <w:r w:rsidRPr="004A046C">
        <w:t>reflect the specific requirements of the qualification or skill set, and</w:t>
      </w:r>
    </w:p>
    <w:p w:rsidR="00000000" w:rsidRPr="004A046C" w:rsidP="004A046C">
      <w:pPr>
        <w:pStyle w:val="ListBullet2"/>
      </w:pPr>
      <w:r w:rsidRPr="004A046C">
        <w:t>reflect client needs and the contexts of application</w:t>
      </w:r>
    </w:p>
    <w:p w:rsidR="00000000" w:rsidRPr="004A046C" w:rsidP="004A046C">
      <w:pPr>
        <w:pStyle w:val="ListBullet"/>
      </w:pPr>
      <w:r w:rsidRPr="004A046C">
        <w:t>documentation of a review that provides outcomes and evidence of continuous improvement.</w:t>
      </w:r>
    </w:p>
    <w:p w:rsidR="00000000" w:rsidRPr="004A046C" w:rsidP="004A046C">
      <w:pPr>
        <w:pStyle w:val="AllowPageBreak"/>
      </w:pPr>
    </w:p>
    <w:p w:rsidR="00000000" w:rsidRPr="004A046C" w:rsidP="004A046C">
      <w:pPr>
        <w:pStyle w:val="Heading1"/>
      </w:pPr>
      <w:bookmarkStart w:id="3" w:name="O_953332"/>
      <w:bookmarkEnd w:id="3"/>
      <w:r w:rsidRPr="004A046C">
        <w:t>Knowledge Evidence</w:t>
      </w:r>
    </w:p>
    <w:p w:rsidR="00000000" w:rsidRPr="004A046C" w:rsidP="00B331EA">
      <w:pPr>
        <w:pStyle w:val="BodyText"/>
      </w:pPr>
      <w:r w:rsidRPr="004A046C">
        <w:t xml:space="preserve">The </w:t>
      </w:r>
      <w:r w:rsidRPr="004A046C">
        <w:t>candidate must be able to demonstrate essential knowledge to effectively complete the task outlined in the elements and performance criteria of this unit. This includes knowledge of:</w:t>
      </w:r>
    </w:p>
    <w:p w:rsidR="00000000" w:rsidRPr="004A046C" w:rsidP="004A046C">
      <w:pPr>
        <w:pStyle w:val="ListBullet"/>
      </w:pPr>
      <w:r w:rsidRPr="004A046C">
        <w:t>Training Packages, including the content of Training Packages relevant t</w:t>
      </w:r>
      <w:r w:rsidRPr="004A046C">
        <w:t>o the learning strategy</w:t>
      </w:r>
    </w:p>
    <w:p w:rsidR="00000000" w:rsidRPr="004A046C" w:rsidP="004A046C">
      <w:pPr>
        <w:pStyle w:val="ListBullet"/>
      </w:pPr>
      <w:r w:rsidRPr="004A046C">
        <w:t xml:space="preserve">accredited courses and the similarities and differences between them and the skill sets, or qualifications, within training packages </w:t>
      </w:r>
    </w:p>
    <w:p w:rsidR="00000000" w:rsidRPr="004A046C" w:rsidP="004A046C">
      <w:pPr>
        <w:pStyle w:val="ListBullet"/>
      </w:pPr>
      <w:r w:rsidRPr="004A046C">
        <w:t>NVR/AQTF requirements for Registered Training Organisations (RTOs) in terms of their effect on the</w:t>
      </w:r>
      <w:r w:rsidRPr="004A046C">
        <w:t xml:space="preserve"> design, and development, of learning strategies</w:t>
      </w:r>
    </w:p>
    <w:p w:rsidR="00000000" w:rsidRPr="004A046C" w:rsidP="004A046C">
      <w:pPr>
        <w:pStyle w:val="ListBullet"/>
      </w:pPr>
      <w:r w:rsidRPr="004A046C">
        <w:t>The Australian Qualifications Framework (AQF) including:</w:t>
      </w:r>
    </w:p>
    <w:p w:rsidR="00000000" w:rsidRPr="004A046C" w:rsidP="004A046C">
      <w:pPr>
        <w:pStyle w:val="ListBullet2"/>
      </w:pPr>
      <w:r w:rsidRPr="004A046C">
        <w:t>key features of each qualification type</w:t>
      </w:r>
    </w:p>
    <w:p w:rsidR="00000000" w:rsidRPr="004A046C" w:rsidP="004A046C">
      <w:pPr>
        <w:pStyle w:val="ListBullet2"/>
      </w:pPr>
      <w:r w:rsidRPr="004A046C">
        <w:t xml:space="preserve">AQF pathways policy including credit transfer </w:t>
      </w:r>
    </w:p>
    <w:p w:rsidR="00000000" w:rsidRPr="004A046C" w:rsidP="004A046C">
      <w:pPr>
        <w:pStyle w:val="ListBullet"/>
      </w:pPr>
      <w:r w:rsidRPr="004A046C">
        <w:t>industry and enterprise requirements, including:</w:t>
      </w:r>
    </w:p>
    <w:p w:rsidR="00000000" w:rsidRPr="004A046C" w:rsidP="004A046C">
      <w:pPr>
        <w:pStyle w:val="ListBullet2"/>
      </w:pPr>
      <w:r w:rsidRPr="004A046C">
        <w:t>those relev</w:t>
      </w:r>
      <w:r w:rsidRPr="004A046C">
        <w:t>ant to the learning strategy</w:t>
      </w:r>
    </w:p>
    <w:p w:rsidR="00000000" w:rsidRPr="004A046C" w:rsidP="004A046C">
      <w:pPr>
        <w:pStyle w:val="ListBullet2"/>
      </w:pPr>
      <w:r w:rsidRPr="004A046C">
        <w:t>industry licensing arrangements, where relevant</w:t>
      </w:r>
    </w:p>
    <w:p w:rsidR="00000000" w:rsidRPr="004A046C" w:rsidP="004A046C">
      <w:pPr>
        <w:pStyle w:val="ListBullet"/>
      </w:pPr>
      <w:r w:rsidRPr="004A046C">
        <w:t xml:space="preserve">the main branches of learning theory incorporating behavioural learning theory, cognitive </w:t>
      </w:r>
      <w:r w:rsidRPr="004A046C">
        <w:t>learning theory, experiential learning theory, information processing theory and current research on learning, as it relates to teaching in an adult environment</w:t>
      </w:r>
    </w:p>
    <w:p w:rsidR="00000000" w:rsidRPr="004A046C" w:rsidP="004A046C">
      <w:pPr>
        <w:pStyle w:val="ListBullet"/>
      </w:pPr>
      <w:r w:rsidRPr="004A046C">
        <w:t>assessment approaches, including:</w:t>
      </w:r>
    </w:p>
    <w:p w:rsidR="00B331EA" w:rsidP="004A046C">
      <w:pPr>
        <w:pStyle w:val="ListBullet2"/>
      </w:pPr>
      <w:r w:rsidRPr="004A046C">
        <w:t>the basis and rationale for different assessment methods app</w:t>
      </w:r>
      <w:r w:rsidRPr="004A046C">
        <w:t>ropriate to the learning strategy.</w:t>
      </w:r>
    </w:p>
    <w:p w:rsidR="00B331EA" w:rsidP="004A046C">
      <w:pPr>
        <w:pStyle w:val="ListBullet2"/>
      </w:pPr>
    </w:p>
    <w:p w:rsidR="00000000" w:rsidRPr="004A046C" w:rsidP="004A046C">
      <w:pPr>
        <w:pStyle w:val="Heading1"/>
      </w:pPr>
      <w:bookmarkStart w:id="4" w:name="O_953331"/>
      <w:bookmarkEnd w:id="4"/>
      <w:r w:rsidRPr="004A046C">
        <w:t>Assessment Conditions</w:t>
      </w:r>
    </w:p>
    <w:p w:rsidR="00000000" w:rsidRPr="004A046C" w:rsidP="00B331EA">
      <w:pPr>
        <w:pStyle w:val="BodyText"/>
      </w:pPr>
      <w:r w:rsidRPr="004A046C">
        <w:t>Gather evidence to demonstrate consistent performance in conditions that are safe and replicate the workplace. Conditions must be typical of those experienced in the training and as</w:t>
      </w:r>
      <w:r w:rsidRPr="004A046C">
        <w:t>sessment environment, and include access to NVR/AQTF requirements for RTOs.</w:t>
      </w:r>
    </w:p>
    <w:p w:rsidR="00B331EA" w:rsidP="00B331EA">
      <w:pPr>
        <w:pStyle w:val="BodyText"/>
      </w:pPr>
      <w:r w:rsidRPr="004A046C">
        <w:t>Assessors must satisfy the requirements for assessors in applicable vocational education and training legislation, frameworks and/or standards.</w:t>
      </w:r>
    </w:p>
    <w:p w:rsidR="00000000" w:rsidRPr="004A046C" w:rsidP="004A046C">
      <w:pPr>
        <w:pStyle w:val="Heading1"/>
      </w:pPr>
      <w:bookmarkStart w:id="5" w:name="O_953349"/>
      <w:bookmarkEnd w:id="5"/>
      <w:r w:rsidRPr="004A046C">
        <w:t>Links</w:t>
      </w:r>
    </w:p>
    <w:p w:rsidR="00000000" w:rsidRPr="004A046C" w:rsidP="00B331EA">
      <w:pPr>
        <w:pStyle w:val="BodyText"/>
      </w:pPr>
      <w:r w:rsidRPr="004A04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3D3C4C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4A046C" w:rsidP="004A046C"/>
    <w:sectPr w:rsidSect="004A04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4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46C" w:rsidRPr="00B331EA" w:rsidP="00B331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4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1EA" w:rsidP="004A04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31EA" w:rsidP="004A04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31EA" w:rsidP="004A04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4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1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046C" w:rsidRPr="00B331EA" w:rsidP="00B331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4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1EA" w:rsidRPr="002D2AF8" w:rsidP="004A04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TAEDES501 Design and develop learning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B331EA" w:rsidP="004A04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C6B7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D014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3604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4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04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04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04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04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04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04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04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04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04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04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046C"/>
  </w:style>
  <w:style w:type="character" w:customStyle="1" w:styleId="Heading1Char">
    <w:name w:val="Heading 1 Char"/>
    <w:basedOn w:val="DefaultParagraphFont"/>
    <w:link w:val="Heading1"/>
    <w:rsid w:val="004A04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04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04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04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046C"/>
    <w:rPr>
      <w:b/>
      <w:spacing w:val="0"/>
    </w:rPr>
  </w:style>
  <w:style w:type="paragraph" w:styleId="ListBullet2">
    <w:name w:val="List Bullet 2"/>
    <w:basedOn w:val="List2"/>
    <w:rsid w:val="004A046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A046C"/>
    <w:rPr>
      <w:i/>
    </w:rPr>
  </w:style>
  <w:style w:type="paragraph" w:customStyle="1" w:styleId="SuperHeading">
    <w:name w:val="SuperHeading"/>
    <w:basedOn w:val="Normal"/>
    <w:rsid w:val="004A04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04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04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04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04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04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04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04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04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04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04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04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04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04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04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04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04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04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04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04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04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04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04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04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04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04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04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04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04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04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04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04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04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04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04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04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04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046C"/>
  </w:style>
  <w:style w:type="paragraph" w:styleId="TableofFigures">
    <w:name w:val="table of figures"/>
    <w:basedOn w:val="Normal"/>
    <w:next w:val="Normal"/>
    <w:semiHidden/>
    <w:rsid w:val="004A04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04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046C"/>
    <w:rPr>
      <w:rFonts w:ascii="Wingdings" w:hAnsi="Wingdings"/>
    </w:rPr>
  </w:style>
  <w:style w:type="paragraph" w:customStyle="1" w:styleId="TableHeading">
    <w:name w:val="Table Heading"/>
    <w:basedOn w:val="HeadingBase"/>
    <w:rsid w:val="004A04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046C"/>
    <w:rPr>
      <w:color w:val="0033CC"/>
      <w:u w:val="none"/>
    </w:rPr>
  </w:style>
  <w:style w:type="paragraph" w:customStyle="1" w:styleId="BodyTextRight">
    <w:name w:val="Body Text Right"/>
    <w:basedOn w:val="BodyText"/>
    <w:rsid w:val="004A04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04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04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04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04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04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046C"/>
    <w:rPr>
      <w:sz w:val="32"/>
    </w:rPr>
  </w:style>
  <w:style w:type="paragraph" w:customStyle="1" w:styleId="HeadingProcedure">
    <w:name w:val="Heading Procedure"/>
    <w:basedOn w:val="HeadingBase"/>
    <w:next w:val="Normal"/>
    <w:rsid w:val="004A04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046C"/>
    <w:pPr>
      <w:spacing w:before="60" w:after="60"/>
    </w:pPr>
  </w:style>
  <w:style w:type="paragraph" w:styleId="ListContinue">
    <w:name w:val="List Continue"/>
    <w:basedOn w:val="List"/>
    <w:rsid w:val="004A046C"/>
    <w:pPr>
      <w:ind w:firstLine="0"/>
    </w:pPr>
  </w:style>
  <w:style w:type="paragraph" w:customStyle="1" w:styleId="ListNote">
    <w:name w:val="List Note"/>
    <w:basedOn w:val="List"/>
    <w:rsid w:val="004A04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04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04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046C"/>
    <w:rPr>
      <w:rFonts w:ascii="Courier New" w:hAnsi="Courier New"/>
    </w:rPr>
  </w:style>
  <w:style w:type="paragraph" w:customStyle="1" w:styleId="NoteBullet">
    <w:name w:val="Note Bullet"/>
    <w:basedOn w:val="Note"/>
    <w:rsid w:val="004A04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04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04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04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04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04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04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046C"/>
    <w:rPr>
      <w:b/>
      <w:smallCaps/>
    </w:rPr>
  </w:style>
  <w:style w:type="paragraph" w:customStyle="1" w:styleId="TableListNumber">
    <w:name w:val="Table List Number"/>
    <w:basedOn w:val="ListNumber"/>
    <w:rsid w:val="004A04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04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046C"/>
    <w:pPr>
      <w:numPr>
        <w:numId w:val="9"/>
      </w:numPr>
    </w:pPr>
  </w:style>
  <w:style w:type="paragraph" w:customStyle="1" w:styleId="ListAlpha2">
    <w:name w:val="List Alpha 2"/>
    <w:basedOn w:val="List2"/>
    <w:rsid w:val="004A046C"/>
    <w:pPr>
      <w:numPr>
        <w:numId w:val="8"/>
      </w:numPr>
    </w:pPr>
  </w:style>
  <w:style w:type="paragraph" w:styleId="List2">
    <w:name w:val="List 2"/>
    <w:basedOn w:val="BodyText"/>
    <w:rsid w:val="004A04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04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04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04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04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04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046C"/>
    <w:pPr>
      <w:numPr>
        <w:numId w:val="4"/>
      </w:numPr>
    </w:pPr>
  </w:style>
  <w:style w:type="paragraph" w:styleId="ListContinue2">
    <w:name w:val="List Continue 2"/>
    <w:basedOn w:val="List2"/>
    <w:rsid w:val="004A046C"/>
    <w:pPr>
      <w:ind w:firstLine="0"/>
    </w:pPr>
  </w:style>
  <w:style w:type="paragraph" w:styleId="ListContinue3">
    <w:name w:val="List Continue 3"/>
    <w:basedOn w:val="List3"/>
    <w:rsid w:val="004A046C"/>
    <w:pPr>
      <w:ind w:left="1021" w:firstLine="0"/>
    </w:pPr>
  </w:style>
  <w:style w:type="paragraph" w:styleId="ListContinue4">
    <w:name w:val="List Continue 4"/>
    <w:basedOn w:val="List4"/>
    <w:rsid w:val="004A046C"/>
    <w:pPr>
      <w:ind w:firstLine="0"/>
    </w:pPr>
  </w:style>
  <w:style w:type="paragraph" w:styleId="ListContinue5">
    <w:name w:val="List Continue 5"/>
    <w:basedOn w:val="List5"/>
    <w:rsid w:val="004A046C"/>
    <w:pPr>
      <w:ind w:firstLine="0"/>
    </w:pPr>
  </w:style>
  <w:style w:type="paragraph" w:styleId="ListNumber3">
    <w:name w:val="List Number 3"/>
    <w:basedOn w:val="List3"/>
    <w:rsid w:val="004A046C"/>
    <w:pPr>
      <w:numPr>
        <w:numId w:val="5"/>
      </w:numPr>
    </w:pPr>
  </w:style>
  <w:style w:type="paragraph" w:styleId="ListNumber4">
    <w:name w:val="List Number 4"/>
    <w:basedOn w:val="List4"/>
    <w:rsid w:val="004A046C"/>
    <w:pPr>
      <w:numPr>
        <w:numId w:val="6"/>
      </w:numPr>
    </w:pPr>
  </w:style>
  <w:style w:type="paragraph" w:styleId="ListNumber5">
    <w:name w:val="List Number 5"/>
    <w:basedOn w:val="List5"/>
    <w:rsid w:val="004A046C"/>
    <w:pPr>
      <w:numPr>
        <w:numId w:val="7"/>
      </w:numPr>
    </w:pPr>
  </w:style>
  <w:style w:type="paragraph" w:styleId="BlockText">
    <w:name w:val="Block Text"/>
    <w:basedOn w:val="Normal"/>
    <w:rsid w:val="004A04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04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046C"/>
    <w:rPr>
      <w:sz w:val="16"/>
      <w:vertAlign w:val="superscript"/>
    </w:rPr>
  </w:style>
  <w:style w:type="character" w:customStyle="1" w:styleId="Symbols">
    <w:name w:val="Symbols"/>
    <w:basedOn w:val="DefaultParagraphFont"/>
    <w:rsid w:val="004A046C"/>
    <w:rPr>
      <w:rFonts w:ascii="Symbol" w:hAnsi="Symbol"/>
    </w:rPr>
  </w:style>
  <w:style w:type="character" w:customStyle="1" w:styleId="MenuOptions">
    <w:name w:val="Menu Options"/>
    <w:basedOn w:val="DefaultParagraphFont"/>
    <w:rsid w:val="004A04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046C"/>
    <w:rPr>
      <w:b/>
    </w:rPr>
  </w:style>
  <w:style w:type="character" w:customStyle="1" w:styleId="Underlined">
    <w:name w:val="Underlined"/>
    <w:basedOn w:val="DefaultParagraphFont"/>
    <w:rsid w:val="004A046C"/>
    <w:rPr>
      <w:u w:val="single"/>
    </w:rPr>
  </w:style>
  <w:style w:type="paragraph" w:customStyle="1" w:styleId="TableBodyTextRight">
    <w:name w:val="Table Body Text Right"/>
    <w:basedOn w:val="TableBodyText"/>
    <w:rsid w:val="004A04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046C"/>
    <w:rPr>
      <w:sz w:val="18"/>
    </w:rPr>
  </w:style>
  <w:style w:type="paragraph" w:customStyle="1" w:styleId="BodySmallRight">
    <w:name w:val="Body Small Right"/>
    <w:basedOn w:val="BodyTextRight"/>
    <w:rsid w:val="004A046C"/>
    <w:rPr>
      <w:sz w:val="18"/>
      <w:szCs w:val="18"/>
    </w:rPr>
  </w:style>
  <w:style w:type="paragraph" w:customStyle="1" w:styleId="MarginEdition">
    <w:name w:val="Margin Edition"/>
    <w:basedOn w:val="MarginNote"/>
    <w:rsid w:val="004A04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046C"/>
    <w:rPr>
      <w:sz w:val="2"/>
      <w:szCs w:val="2"/>
    </w:rPr>
  </w:style>
  <w:style w:type="character" w:customStyle="1" w:styleId="Small">
    <w:name w:val="Small"/>
    <w:basedOn w:val="DefaultParagraphFont"/>
    <w:rsid w:val="004A046C"/>
    <w:rPr>
      <w:sz w:val="16"/>
    </w:rPr>
  </w:style>
  <w:style w:type="paragraph" w:customStyle="1" w:styleId="WideTable">
    <w:name w:val="Wide Table"/>
    <w:basedOn w:val="Normal"/>
    <w:rsid w:val="004A04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046C"/>
  </w:style>
  <w:style w:type="paragraph" w:styleId="Quote">
    <w:name w:val="Quote"/>
    <w:basedOn w:val="Heading1"/>
    <w:link w:val="QuoteChar"/>
    <w:qFormat/>
    <w:rsid w:val="004A04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04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046C"/>
    <w:pPr>
      <w:pageBreakBefore/>
    </w:pPr>
  </w:style>
  <w:style w:type="paragraph" w:customStyle="1" w:styleId="Border">
    <w:name w:val="Border"/>
    <w:basedOn w:val="Normal"/>
    <w:qFormat/>
    <w:rsid w:val="004A04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04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4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4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04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04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04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04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04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046C"/>
    <w:rPr>
      <w:u w:val="single"/>
    </w:rPr>
  </w:style>
  <w:style w:type="character" w:customStyle="1" w:styleId="BoldandItalics">
    <w:name w:val="Bold and Italics"/>
    <w:qFormat/>
    <w:rsid w:val="004A046C"/>
    <w:rPr>
      <w:b/>
      <w:i/>
      <w:u w:val="none"/>
    </w:rPr>
  </w:style>
  <w:style w:type="paragraph" w:styleId="BalloonText">
    <w:name w:val="Balloon Text"/>
    <w:basedOn w:val="Normal"/>
    <w:link w:val="BalloonTextChar"/>
    <w:rsid w:val="004A04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04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04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04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04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04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046C"/>
    <w:pPr>
      <w:spacing w:before="0" w:after="0"/>
    </w:pPr>
  </w:style>
  <w:style w:type="paragraph" w:customStyle="1" w:styleId="BodyTextBold">
    <w:name w:val="Body Text Bold"/>
    <w:basedOn w:val="BodyText"/>
    <w:qFormat/>
    <w:rsid w:val="004A046C"/>
    <w:rPr>
      <w:b/>
    </w:rPr>
  </w:style>
  <w:style w:type="character" w:styleId="Hyperlink">
    <w:name w:val="Hyperlink"/>
    <w:basedOn w:val="DefaultParagraphFont"/>
    <w:uiPriority w:val="99"/>
    <w:unhideWhenUsed/>
    <w:rsid w:val="00B331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2584</Characters>
  <Application>Microsoft Office Word</Application>
  <DocSecurity>0</DocSecurity>
  <Lines>66</Lines>
  <Paragraphs>43</Paragraphs>
  <ScaleCrop>false</ScaleCrop>
  <Company>Author-it Software Corporation Ltd.</Company>
  <LinksUpToDate>false</LinksUpToDate>
  <CharactersWithSpaces>2929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TAEDES501 Design and develop learning strategies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2022-12-08T09:12:00Z</dcterms:created>
  <dcterms:modified xsi:type="dcterms:W3CDTF">2022-12-08T09:12:00Z</dcterms:modified>
</cp:coreProperties>
</file>