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2345" w:rsidP="00CD23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TAEASS514 Develop and implement plans for recognition of prior learning</w:t>
      </w:r>
      <w:r>
        <w:fldChar w:fldCharType="end"/>
      </w:r>
    </w:p>
    <w:p w:rsidR="00CD2345" w:rsidP="00CD2345">
      <w:pPr>
        <w:pStyle w:val="Version"/>
        <w:sectPr w:rsidSect="00654E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4EF2" w:rsidP="00654EF2">
      <w:pPr>
        <w:pStyle w:val="SuperHeading"/>
      </w:pPr>
      <w:r w:rsidRPr="00654EF2">
        <w:t>Assessment Requirements for TAEASS514 Develop and implement plans for recognition of prior learning</w:t>
      </w:r>
    </w:p>
    <w:p w:rsidR="00000000" w:rsidRPr="00654EF2" w:rsidP="00654EF2">
      <w:pPr>
        <w:pStyle w:val="Heading1"/>
      </w:pPr>
      <w:bookmarkStart w:id="1" w:name="O_1272014"/>
      <w:bookmarkEnd w:id="1"/>
      <w:r w:rsidRPr="00654E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654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EF2" w:rsidP="00654EF2">
            <w:pPr>
              <w:pStyle w:val="BodyText"/>
            </w:pPr>
            <w:r w:rsidRPr="00654EF2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EF2">
            <w:pPr>
              <w:pStyle w:val="BodyText"/>
              <w:rPr>
                <w:lang w:val="en-NZ"/>
              </w:rPr>
            </w:pPr>
            <w:r w:rsidRPr="00654EF2">
              <w:rPr>
                <w:rStyle w:val="SpecialBold"/>
              </w:rPr>
              <w:t>Comments</w:t>
            </w:r>
          </w:p>
        </w:tc>
      </w:tr>
      <w:tr w:rsidTr="00654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EF2">
            <w:pPr>
              <w:pStyle w:val="BodyText"/>
              <w:rPr>
                <w:lang w:val="en-NZ"/>
              </w:rPr>
            </w:pPr>
            <w:r w:rsidRPr="00654EF2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EF2" w:rsidP="00654EF2">
            <w:pPr>
              <w:pStyle w:val="BodyText"/>
            </w:pPr>
            <w:r w:rsidRPr="00654EF2">
              <w:t>This v</w:t>
            </w:r>
            <w:r w:rsidRPr="00654EF2">
              <w:t>ersion first released with TAE Training and Education Training Package Version 5.0.</w:t>
            </w:r>
          </w:p>
          <w:p w:rsidR="00000000" w:rsidRPr="00654EF2" w:rsidP="00654EF2">
            <w:pPr>
              <w:pStyle w:val="BodyText"/>
            </w:pPr>
            <w:r w:rsidRPr="00654EF2">
              <w:t>Supersedes and is not equivalent to TAEASS504 Develop and implement recognition strategies.</w:t>
            </w:r>
          </w:p>
        </w:tc>
      </w:tr>
    </w:tbl>
    <w:p w:rsidR="00000000" w:rsidRPr="00654EF2" w:rsidP="00654EF2">
      <w:pPr>
        <w:pStyle w:val="BodyText"/>
      </w:pPr>
    </w:p>
    <w:p w:rsidR="00000000" w:rsidRPr="00654EF2" w:rsidP="00654EF2">
      <w:pPr>
        <w:pStyle w:val="AllowPageBreak"/>
      </w:pPr>
    </w:p>
    <w:p w:rsidR="00000000" w:rsidRPr="00654EF2" w:rsidP="00654EF2">
      <w:pPr>
        <w:pStyle w:val="Heading1"/>
      </w:pPr>
      <w:bookmarkStart w:id="2" w:name="O_1272015"/>
      <w:bookmarkEnd w:id="2"/>
      <w:r w:rsidRPr="00654EF2">
        <w:t>Performance Evidence</w:t>
      </w:r>
    </w:p>
    <w:p w:rsidR="00000000" w:rsidRPr="00654EF2" w:rsidP="00CD2345">
      <w:pPr>
        <w:pStyle w:val="BodyText"/>
      </w:pPr>
      <w:r w:rsidRPr="00654EF2">
        <w:t>The individual must demonstrate the ab</w:t>
      </w:r>
      <w:r w:rsidRPr="00654EF2">
        <w:t>ility to complete the tasks outlined in the elements, performance criteria and foundation skills of this unit, including evidence of the ability to:</w:t>
      </w:r>
    </w:p>
    <w:p w:rsidR="00000000" w:rsidRPr="00654EF2" w:rsidP="00654EF2">
      <w:pPr>
        <w:pStyle w:val="ListBullet"/>
      </w:pPr>
      <w:r w:rsidRPr="00654EF2">
        <w:t>plan and develop at least 1 recognition of prior learning (RPL) kit to fully address the requirements of 3</w:t>
      </w:r>
      <w:r w:rsidRPr="00654EF2">
        <w:t xml:space="preserve"> nationally recognised units of competency at AQF 3 level or above from a nationally recognised training package or accredited course</w:t>
      </w:r>
    </w:p>
    <w:p w:rsidR="00000000" w:rsidRPr="00654EF2" w:rsidP="00654EF2">
      <w:pPr>
        <w:pStyle w:val="ListBullet"/>
      </w:pPr>
      <w:r w:rsidRPr="00654EF2">
        <w:t>use the above kit to assess at least 3 different candidates against the units of competency in the plan.</w:t>
      </w:r>
    </w:p>
    <w:p w:rsidR="00000000" w:rsidRPr="00654EF2" w:rsidP="00654EF2">
      <w:pPr>
        <w:pStyle w:val="BodyText"/>
      </w:pPr>
    </w:p>
    <w:p w:rsidR="00000000" w:rsidRPr="00654EF2" w:rsidP="00CD2345">
      <w:pPr>
        <w:pStyle w:val="BodyText"/>
      </w:pPr>
      <w:r w:rsidRPr="00654EF2">
        <w:t>In the course of the above, the individual must:</w:t>
      </w:r>
    </w:p>
    <w:p w:rsidR="00000000" w:rsidRPr="00654EF2" w:rsidP="00654EF2">
      <w:pPr>
        <w:pStyle w:val="ListBullet"/>
      </w:pPr>
      <w:r w:rsidRPr="00654EF2">
        <w:t>follow the instructions for the assessor in the prepared RPL assessment kit</w:t>
      </w:r>
    </w:p>
    <w:p w:rsidR="00000000" w:rsidRPr="00654EF2" w:rsidP="00654EF2">
      <w:pPr>
        <w:pStyle w:val="ListBullet"/>
      </w:pPr>
      <w:r w:rsidRPr="00654EF2">
        <w:t>comply with the principles of assessment, rules of evidence, and organisational procedures</w:t>
      </w:r>
    </w:p>
    <w:p w:rsidR="00000000" w:rsidRPr="00654EF2" w:rsidP="00654EF2">
      <w:pPr>
        <w:pStyle w:val="ListBullet"/>
      </w:pPr>
      <w:r w:rsidRPr="00654EF2">
        <w:t>adjust any mapping documents for altern</w:t>
      </w:r>
      <w:r w:rsidRPr="00654EF2">
        <w:t>ative evidence collected where required according to organisational procedures.</w:t>
      </w:r>
    </w:p>
    <w:p w:rsidR="00000000" w:rsidRPr="00654EF2" w:rsidP="00654EF2">
      <w:pPr>
        <w:pStyle w:val="AllowPageBreak"/>
      </w:pPr>
    </w:p>
    <w:p w:rsidR="00000000" w:rsidRPr="00654EF2" w:rsidP="00654EF2">
      <w:pPr>
        <w:pStyle w:val="Heading1"/>
      </w:pPr>
      <w:bookmarkStart w:id="3" w:name="O_1272016"/>
      <w:bookmarkEnd w:id="3"/>
      <w:r w:rsidRPr="00654EF2">
        <w:t>Knowledge Evidence</w:t>
      </w:r>
    </w:p>
    <w:p w:rsidR="00000000" w:rsidRPr="00654EF2" w:rsidP="00CD2345">
      <w:pPr>
        <w:pStyle w:val="BodyText"/>
      </w:pPr>
      <w:r w:rsidRPr="00654EF2">
        <w:t>The individual must be able to demonstrate knowledge to complete the tasks outlined in the elements, performance criteria and foundation s</w:t>
      </w:r>
      <w:r w:rsidRPr="00654EF2">
        <w:t>kills of this unit, including knowledge of:</w:t>
      </w:r>
    </w:p>
    <w:p w:rsidR="00000000" w:rsidRPr="00654EF2" w:rsidP="00654EF2">
      <w:pPr>
        <w:pStyle w:val="ListBullet"/>
      </w:pPr>
      <w:r w:rsidRPr="00654EF2">
        <w:t>vocational education and training (VET) regulatory requirements for recognition-based assessment, including:</w:t>
      </w:r>
    </w:p>
    <w:p w:rsidR="00000000" w:rsidRPr="00654EF2" w:rsidP="00654EF2">
      <w:pPr>
        <w:pStyle w:val="ListBullet2"/>
      </w:pPr>
      <w:r w:rsidRPr="00654EF2">
        <w:t>assessor requirements, including qualifications and currency</w:t>
      </w:r>
    </w:p>
    <w:p w:rsidR="00000000" w:rsidRPr="00654EF2" w:rsidP="00654EF2">
      <w:pPr>
        <w:pStyle w:val="ListBullet2"/>
      </w:pPr>
      <w:r w:rsidRPr="00654EF2">
        <w:t>principles of assessment</w:t>
      </w:r>
    </w:p>
    <w:p w:rsidR="00000000" w:rsidRPr="00654EF2" w:rsidP="00654EF2">
      <w:pPr>
        <w:pStyle w:val="ListBullet2"/>
      </w:pPr>
      <w:r w:rsidRPr="00654EF2">
        <w:t>rules of eviden</w:t>
      </w:r>
      <w:r w:rsidRPr="00654EF2">
        <w:t>ce</w:t>
      </w:r>
    </w:p>
    <w:p w:rsidR="00000000" w:rsidRPr="00654EF2" w:rsidP="00654EF2">
      <w:pPr>
        <w:pStyle w:val="ListBullet2"/>
      </w:pPr>
      <w:r w:rsidRPr="00654EF2">
        <w:t>privacy and confidentiality requirements of candidates</w:t>
      </w:r>
    </w:p>
    <w:p w:rsidR="00000000" w:rsidRPr="00654EF2" w:rsidP="00654EF2">
      <w:pPr>
        <w:pStyle w:val="ListBullet2"/>
      </w:pPr>
      <w:r w:rsidRPr="00654EF2">
        <w:t>portfolios of evidence, including pictures, documents and other evidence relating to candidate skills, knowledge and experience</w:t>
      </w:r>
    </w:p>
    <w:p w:rsidR="00000000" w:rsidRPr="00654EF2" w:rsidP="00654EF2">
      <w:pPr>
        <w:pStyle w:val="ListBullet2"/>
      </w:pPr>
      <w:r w:rsidRPr="00654EF2">
        <w:t>mapping of evidence collected</w:t>
      </w:r>
    </w:p>
    <w:p w:rsidR="00000000" w:rsidRPr="00654EF2" w:rsidP="00654EF2">
      <w:pPr>
        <w:pStyle w:val="ListBullet"/>
      </w:pPr>
      <w:r w:rsidRPr="00654EF2">
        <w:t>RPL assessment system policies and procedures, including organisational requirements for:</w:t>
      </w:r>
    </w:p>
    <w:p w:rsidR="00000000" w:rsidRPr="00654EF2" w:rsidP="00654EF2">
      <w:pPr>
        <w:pStyle w:val="ListBullet2"/>
      </w:pPr>
      <w:r w:rsidRPr="00654EF2">
        <w:t>preparing candidates and employers for the RPL process for assessment</w:t>
      </w:r>
    </w:p>
    <w:p w:rsidR="00000000" w:rsidRPr="00654EF2" w:rsidP="00654EF2">
      <w:pPr>
        <w:pStyle w:val="ListBullet2"/>
      </w:pPr>
      <w:r w:rsidRPr="00654EF2">
        <w:t>applying reasonable adjustment where applicable</w:t>
      </w:r>
    </w:p>
    <w:p w:rsidR="00000000" w:rsidRPr="00654EF2" w:rsidP="00654EF2">
      <w:pPr>
        <w:pStyle w:val="ListBullet2"/>
      </w:pPr>
      <w:r w:rsidRPr="00654EF2">
        <w:t>contextualising assessments to allow for altern</w:t>
      </w:r>
      <w:r w:rsidRPr="00654EF2">
        <w:t>ative evidence</w:t>
      </w:r>
    </w:p>
    <w:p w:rsidR="00000000" w:rsidRPr="00654EF2" w:rsidP="00654EF2">
      <w:pPr>
        <w:pStyle w:val="ListBullet2"/>
      </w:pPr>
      <w:r w:rsidRPr="00654EF2">
        <w:t>support systems relating to RPL process</w:t>
      </w:r>
    </w:p>
    <w:p w:rsidR="00000000" w:rsidRPr="00654EF2" w:rsidP="00654EF2">
      <w:pPr>
        <w:pStyle w:val="ListBullet2"/>
      </w:pPr>
      <w:r w:rsidRPr="00654EF2">
        <w:t>gathering, organising and recording RPL assessment evidence</w:t>
      </w:r>
    </w:p>
    <w:p w:rsidR="00000000" w:rsidRPr="00654EF2" w:rsidP="00654EF2">
      <w:pPr>
        <w:pStyle w:val="ListBullet2"/>
      </w:pPr>
      <w:r w:rsidRPr="00654EF2">
        <w:t>applying the principles of assessment</w:t>
      </w:r>
    </w:p>
    <w:p w:rsidR="00000000" w:rsidRPr="00654EF2" w:rsidP="00654EF2">
      <w:pPr>
        <w:pStyle w:val="ListBullet2"/>
      </w:pPr>
      <w:r w:rsidRPr="00654EF2">
        <w:t>applying the rules of evidence</w:t>
      </w:r>
    </w:p>
    <w:p w:rsidR="00000000" w:rsidRPr="00654EF2" w:rsidP="00654EF2">
      <w:pPr>
        <w:pStyle w:val="ListBullet2"/>
      </w:pPr>
      <w:r w:rsidRPr="00654EF2">
        <w:t>making and recording assessment judgements</w:t>
      </w:r>
    </w:p>
    <w:p w:rsidR="00000000" w:rsidRPr="00654EF2" w:rsidP="00654EF2">
      <w:pPr>
        <w:pStyle w:val="ListBullet2"/>
      </w:pPr>
      <w:r w:rsidRPr="00654EF2">
        <w:t>communicating assessment judg</w:t>
      </w:r>
      <w:r w:rsidRPr="00654EF2">
        <w:t>ements and feedback to the candidate</w:t>
      </w:r>
    </w:p>
    <w:p w:rsidR="00000000" w:rsidRPr="00654EF2" w:rsidP="00654EF2">
      <w:pPr>
        <w:pStyle w:val="ListBullet"/>
      </w:pPr>
      <w:r w:rsidRPr="00654EF2">
        <w:t>practices and methods that promote assessor-led RPL practices, including:</w:t>
      </w:r>
    </w:p>
    <w:p w:rsidR="00000000" w:rsidRPr="00654EF2" w:rsidP="00654EF2">
      <w:pPr>
        <w:pStyle w:val="ListBullet2"/>
      </w:pPr>
      <w:r w:rsidRPr="00654EF2">
        <w:t>providing candidates and employers with information on their roles in an assessor-led RPL process</w:t>
      </w:r>
    </w:p>
    <w:p w:rsidR="00000000" w:rsidRPr="00654EF2" w:rsidP="00654EF2">
      <w:pPr>
        <w:pStyle w:val="ListBullet2"/>
      </w:pPr>
      <w:r w:rsidRPr="00654EF2">
        <w:t>determining the availability of alternative e</w:t>
      </w:r>
      <w:r w:rsidRPr="00654EF2">
        <w:t>vidence sources</w:t>
      </w:r>
    </w:p>
    <w:p w:rsidR="00000000" w:rsidRPr="00654EF2" w:rsidP="00654EF2">
      <w:pPr>
        <w:pStyle w:val="ListBullet"/>
      </w:pPr>
      <w:r w:rsidRPr="00654EF2">
        <w:t>key content of customised recognition plan, including:</w:t>
      </w:r>
    </w:p>
    <w:p w:rsidR="00000000" w:rsidRPr="00654EF2" w:rsidP="00654EF2">
      <w:pPr>
        <w:pStyle w:val="ListBullet2"/>
      </w:pPr>
      <w:r w:rsidRPr="00654EF2">
        <w:t>goals of assessor-led RPL process for candidate</w:t>
      </w:r>
    </w:p>
    <w:p w:rsidR="00000000" w:rsidRPr="00654EF2" w:rsidP="00654EF2">
      <w:pPr>
        <w:pStyle w:val="ListBullet2"/>
      </w:pPr>
      <w:r w:rsidRPr="00654EF2">
        <w:t>risks associated with collecting evidence for RPL process described in performance evidence</w:t>
      </w:r>
    </w:p>
    <w:p w:rsidR="00000000" w:rsidRPr="00654EF2" w:rsidP="00654EF2">
      <w:pPr>
        <w:pStyle w:val="ListBullet2"/>
      </w:pPr>
      <w:r w:rsidRPr="00654EF2">
        <w:t>scheduled milestones</w:t>
      </w:r>
    </w:p>
    <w:p w:rsidR="00000000" w:rsidRPr="00654EF2" w:rsidP="00654EF2">
      <w:pPr>
        <w:pStyle w:val="ListBullet2"/>
      </w:pPr>
      <w:r w:rsidRPr="00654EF2">
        <w:t>assigned tasks</w:t>
      </w:r>
    </w:p>
    <w:p w:rsidR="00000000" w:rsidRPr="00654EF2" w:rsidP="00654EF2">
      <w:pPr>
        <w:pStyle w:val="ListBullet2"/>
      </w:pPr>
      <w:r w:rsidRPr="00654EF2">
        <w:t>allocated resources</w:t>
      </w:r>
    </w:p>
    <w:p w:rsidR="00000000" w:rsidRPr="00654EF2" w:rsidP="00654EF2">
      <w:pPr>
        <w:pStyle w:val="ListBullet"/>
      </w:pPr>
      <w:r w:rsidRPr="00654EF2">
        <w:t>key features and contents of recognition-based assessment tools:</w:t>
      </w:r>
    </w:p>
    <w:p w:rsidR="00000000" w:rsidRPr="00654EF2" w:rsidP="00654EF2">
      <w:pPr>
        <w:pStyle w:val="ListBullet2"/>
      </w:pPr>
      <w:r w:rsidRPr="00654EF2">
        <w:t>advisory information that:</w:t>
      </w:r>
    </w:p>
    <w:p w:rsidR="00000000" w:rsidRPr="00654EF2" w:rsidP="00654EF2">
      <w:pPr>
        <w:pStyle w:val="ListBullet3"/>
      </w:pPr>
      <w:r w:rsidRPr="00654EF2">
        <w:t>includes context and conditions of assessment</w:t>
      </w:r>
    </w:p>
    <w:p w:rsidR="00000000" w:rsidRPr="00654EF2" w:rsidP="00654EF2">
      <w:pPr>
        <w:pStyle w:val="ListBullet3"/>
      </w:pPr>
      <w:r w:rsidRPr="00654EF2">
        <w:t>explains organisational procedures</w:t>
      </w:r>
    </w:p>
    <w:p w:rsidR="00000000" w:rsidRPr="00654EF2" w:rsidP="00654EF2">
      <w:pPr>
        <w:pStyle w:val="ListBullet3"/>
      </w:pPr>
      <w:r w:rsidRPr="00654EF2">
        <w:t>guides candidate to make informed choices about recognition services and outcomes</w:t>
      </w:r>
    </w:p>
    <w:p w:rsidR="00000000" w:rsidRPr="00654EF2" w:rsidP="00654EF2">
      <w:pPr>
        <w:pStyle w:val="ListBullet2"/>
      </w:pPr>
      <w:r w:rsidRPr="00654EF2">
        <w:t>tasks to be administered to the candidate</w:t>
      </w:r>
    </w:p>
    <w:p w:rsidR="00000000" w:rsidRPr="00654EF2" w:rsidP="00654EF2">
      <w:pPr>
        <w:pStyle w:val="ListBullet2"/>
      </w:pPr>
      <w:r w:rsidRPr="00654EF2">
        <w:t>evidence to be gathered</w:t>
      </w:r>
    </w:p>
    <w:p w:rsidR="00000000" w:rsidRPr="00654EF2" w:rsidP="00654EF2">
      <w:pPr>
        <w:pStyle w:val="ListBullet2"/>
      </w:pPr>
      <w:r w:rsidRPr="00654EF2">
        <w:t>evidence criteria</w:t>
      </w:r>
    </w:p>
    <w:p w:rsidR="00000000" w:rsidRPr="00654EF2" w:rsidP="00654EF2">
      <w:pPr>
        <w:pStyle w:val="ListBullet2"/>
      </w:pPr>
      <w:r w:rsidRPr="00654EF2">
        <w:t>mapping against units of competency</w:t>
      </w:r>
    </w:p>
    <w:p w:rsidR="00000000" w:rsidRPr="00654EF2" w:rsidP="00654EF2">
      <w:pPr>
        <w:pStyle w:val="ListBullet"/>
      </w:pPr>
      <w:r w:rsidRPr="00654EF2">
        <w:t>processes for interpreting nationally recognised uni</w:t>
      </w:r>
      <w:r w:rsidRPr="00654EF2">
        <w:t>ts of competency and other related assessment information to determine the evidence needed to demonstrate competency</w:t>
      </w:r>
    </w:p>
    <w:p w:rsidR="00000000" w:rsidRPr="00654EF2" w:rsidP="00654EF2">
      <w:pPr>
        <w:pStyle w:val="ListBullet"/>
      </w:pPr>
      <w:r w:rsidRPr="00654EF2">
        <w:t>types of evidence relevant to RPL, including workplace settings</w:t>
      </w:r>
    </w:p>
    <w:p w:rsidR="00000000" w:rsidRPr="00654EF2" w:rsidP="00654EF2">
      <w:pPr>
        <w:pStyle w:val="ListBullet"/>
      </w:pPr>
      <w:r w:rsidRPr="00654EF2">
        <w:t>assessment methods, including suitability for gathering RPL evidence, suitability for nationally recognised unit of competency content, and associated assessment instruments:</w:t>
      </w:r>
    </w:p>
    <w:p w:rsidR="00000000" w:rsidRPr="00654EF2" w:rsidP="00654EF2">
      <w:pPr>
        <w:pStyle w:val="ListBullet2"/>
      </w:pPr>
      <w:r w:rsidRPr="00654EF2">
        <w:t>product-based methods</w:t>
      </w:r>
    </w:p>
    <w:p w:rsidR="00000000" w:rsidRPr="00654EF2" w:rsidP="00654EF2">
      <w:pPr>
        <w:pStyle w:val="ListBullet2"/>
      </w:pPr>
      <w:r w:rsidRPr="00654EF2">
        <w:t>workplace evidence gathering including the provision of or</w:t>
      </w:r>
      <w:r w:rsidRPr="00654EF2">
        <w:t xml:space="preserve"> employer templates for evidence gathering and policies and procedures </w:t>
      </w:r>
    </w:p>
    <w:p w:rsidR="00000000" w:rsidRPr="00654EF2" w:rsidP="00654EF2">
      <w:pPr>
        <w:pStyle w:val="ListBullet2"/>
      </w:pPr>
      <w:r w:rsidRPr="00654EF2">
        <w:t>questioning as part of professional conversations, including about workplace practices</w:t>
      </w:r>
    </w:p>
    <w:p w:rsidR="00000000" w:rsidRPr="00654EF2" w:rsidP="00654EF2">
      <w:pPr>
        <w:pStyle w:val="ListBullet2"/>
      </w:pPr>
      <w:r w:rsidRPr="00654EF2">
        <w:t>evidence from other parties</w:t>
      </w:r>
    </w:p>
    <w:p w:rsidR="00000000" w:rsidRPr="00654EF2" w:rsidP="00654EF2">
      <w:pPr>
        <w:pStyle w:val="ListBullet"/>
      </w:pPr>
      <w:r w:rsidRPr="00654EF2">
        <w:t>dimensions of competency and procedures for incorporating into recog</w:t>
      </w:r>
      <w:r w:rsidRPr="00654EF2">
        <w:t>nition-based assessment tools</w:t>
      </w:r>
    </w:p>
    <w:p w:rsidR="00000000" w:rsidRPr="00654EF2" w:rsidP="00654EF2">
      <w:pPr>
        <w:pStyle w:val="ListBullet"/>
      </w:pPr>
      <w:r w:rsidRPr="00654EF2">
        <w:t>target group characteristics and the implications for assessment</w:t>
      </w:r>
    </w:p>
    <w:p w:rsidR="00000000" w:rsidRPr="00654EF2" w:rsidP="00654EF2">
      <w:pPr>
        <w:pStyle w:val="ListBullet"/>
      </w:pPr>
      <w:r w:rsidRPr="00654EF2">
        <w:t>principles and practices relevant to the design and development of recognition-based assessment tools.</w:t>
      </w:r>
    </w:p>
    <w:p w:rsidR="00000000" w:rsidRPr="00654EF2" w:rsidP="00654EF2">
      <w:pPr>
        <w:pStyle w:val="AllowPageBreak"/>
      </w:pPr>
    </w:p>
    <w:p w:rsidR="00000000" w:rsidRPr="00654EF2" w:rsidP="00654EF2">
      <w:pPr>
        <w:pStyle w:val="Heading1"/>
      </w:pPr>
      <w:bookmarkStart w:id="4" w:name="O_1272017"/>
      <w:bookmarkEnd w:id="4"/>
      <w:r w:rsidRPr="00654EF2">
        <w:t>Assessment Conditions</w:t>
      </w:r>
    </w:p>
    <w:p w:rsidR="00000000" w:rsidRPr="00654EF2" w:rsidP="00CD2345">
      <w:pPr>
        <w:pStyle w:val="BodyText"/>
      </w:pPr>
      <w:r w:rsidRPr="00654EF2">
        <w:t>Skills in this un</w:t>
      </w:r>
      <w:r w:rsidRPr="00654EF2">
        <w:t>it must be demonstrated in a real or simulated vocational education and training environment.</w:t>
      </w:r>
    </w:p>
    <w:p w:rsidR="00000000" w:rsidRPr="00654EF2" w:rsidP="00CD2345">
      <w:pPr>
        <w:pStyle w:val="BodyText"/>
      </w:pPr>
      <w:r w:rsidRPr="00654EF2">
        <w:t>This includes access to:</w:t>
      </w:r>
    </w:p>
    <w:p w:rsidR="00000000" w:rsidRPr="00654EF2" w:rsidP="00654EF2">
      <w:pPr>
        <w:pStyle w:val="ListBullet"/>
      </w:pPr>
      <w:r w:rsidRPr="00654EF2">
        <w:t>applicants requiring a recognition service relevant to their vocational expertise</w:t>
      </w:r>
    </w:p>
    <w:p w:rsidR="00000000" w:rsidRPr="00654EF2" w:rsidP="00654EF2">
      <w:pPr>
        <w:pStyle w:val="ListBullet"/>
      </w:pPr>
      <w:r w:rsidRPr="00654EF2">
        <w:t>experienced VET assessors</w:t>
      </w:r>
    </w:p>
    <w:p w:rsidR="00000000" w:rsidRPr="00654EF2" w:rsidP="00654EF2">
      <w:pPr>
        <w:pStyle w:val="ListBullet"/>
      </w:pPr>
      <w:r w:rsidRPr="00654EF2">
        <w:t>assessment system</w:t>
      </w:r>
    </w:p>
    <w:p w:rsidR="00000000" w:rsidRPr="00654EF2" w:rsidP="00654EF2">
      <w:pPr>
        <w:pStyle w:val="ListBullet"/>
      </w:pPr>
      <w:r w:rsidRPr="00654EF2">
        <w:t>current and valid RPL assessment process and tools.</w:t>
      </w:r>
    </w:p>
    <w:p w:rsidR="00000000" w:rsidRPr="00654EF2" w:rsidP="00654EF2">
      <w:pPr>
        <w:pStyle w:val="BodyText"/>
      </w:pPr>
    </w:p>
    <w:p w:rsidR="00000000" w:rsidRPr="00654EF2" w:rsidP="00CD2345">
      <w:pPr>
        <w:pStyle w:val="BodyText"/>
      </w:pPr>
      <w:r w:rsidRPr="00654EF2">
        <w:t>Assessors of this unit must satisfy the requirements for assessors in applicable vocational education and training legislation, frameworks and/or standards.</w:t>
      </w:r>
    </w:p>
    <w:p w:rsidR="00000000" w:rsidRPr="00654EF2" w:rsidP="00654EF2">
      <w:pPr>
        <w:pStyle w:val="Heading1"/>
      </w:pPr>
      <w:bookmarkStart w:id="5" w:name="O_1272020"/>
      <w:bookmarkEnd w:id="5"/>
      <w:r w:rsidRPr="00654EF2">
        <w:t>Links</w:t>
      </w:r>
    </w:p>
    <w:p w:rsidR="00000000" w:rsidRPr="00654EF2" w:rsidP="00CD2345">
      <w:pPr>
        <w:pStyle w:val="BodyText"/>
      </w:pPr>
      <w:r w:rsidRPr="00654EF2">
        <w:t>Companion Volume Impl</w:t>
      </w:r>
      <w:r w:rsidRPr="00654EF2">
        <w:t xml:space="preserve">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7F60E4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654EF2" w:rsidP="00654EF2"/>
    <w:sectPr w:rsidSect="00654E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E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EF2" w:rsidRPr="00CD2345" w:rsidP="00CD23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E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345" w:rsidP="00654E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2345" w:rsidP="00654E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D2345" w:rsidP="00654E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E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3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4EF2" w:rsidRPr="00CD2345" w:rsidP="00CD23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E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345" w:rsidRPr="002D2AF8" w:rsidP="00654E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TAEASS514 Develop and implement plans for recognition of prior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CD2345" w:rsidP="00654E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E0A4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E89D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C04F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E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4E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4E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4E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4E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4E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4E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4E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4E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4E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4E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4EF2"/>
  </w:style>
  <w:style w:type="character" w:customStyle="1" w:styleId="Heading1Char">
    <w:name w:val="Heading 1 Char"/>
    <w:basedOn w:val="DefaultParagraphFont"/>
    <w:link w:val="Heading1"/>
    <w:rsid w:val="00654E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4E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4E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4EF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4EF2"/>
    <w:rPr>
      <w:b/>
      <w:spacing w:val="0"/>
    </w:rPr>
  </w:style>
  <w:style w:type="paragraph" w:styleId="ListBullet2">
    <w:name w:val="List Bullet 2"/>
    <w:basedOn w:val="List2"/>
    <w:rsid w:val="00654EF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4E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4E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54EF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54E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4E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4E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4E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4E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4E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4E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4E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4E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4E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4E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4E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4E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4E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4E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4E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4E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4E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4E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4E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4E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4E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4E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4E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4E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4E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4E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4E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4E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4E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4E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4E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4EF2"/>
    <w:rPr>
      <w:i/>
    </w:rPr>
  </w:style>
  <w:style w:type="paragraph" w:styleId="Caption">
    <w:name w:val="caption"/>
    <w:basedOn w:val="BodyText"/>
    <w:next w:val="Normal"/>
    <w:qFormat/>
    <w:rsid w:val="00654E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4E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4E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4EF2"/>
  </w:style>
  <w:style w:type="paragraph" w:styleId="TableofFigures">
    <w:name w:val="table of figures"/>
    <w:basedOn w:val="Normal"/>
    <w:next w:val="Normal"/>
    <w:semiHidden/>
    <w:rsid w:val="00654E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4EF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54EF2"/>
    <w:rPr>
      <w:rFonts w:ascii="Wingdings" w:hAnsi="Wingdings"/>
    </w:rPr>
  </w:style>
  <w:style w:type="paragraph" w:customStyle="1" w:styleId="TableHeading">
    <w:name w:val="Table Heading"/>
    <w:basedOn w:val="HeadingBase"/>
    <w:rsid w:val="00654E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4EF2"/>
    <w:rPr>
      <w:color w:val="0033CC"/>
      <w:u w:val="none"/>
    </w:rPr>
  </w:style>
  <w:style w:type="paragraph" w:customStyle="1" w:styleId="BodyTextRight">
    <w:name w:val="Body Text Right"/>
    <w:basedOn w:val="BodyText"/>
    <w:rsid w:val="00654E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4E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4EF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4E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4E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4E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4EF2"/>
    <w:rPr>
      <w:sz w:val="32"/>
    </w:rPr>
  </w:style>
  <w:style w:type="paragraph" w:customStyle="1" w:styleId="HeadingProcedure">
    <w:name w:val="Heading Procedure"/>
    <w:basedOn w:val="HeadingBase"/>
    <w:next w:val="Normal"/>
    <w:rsid w:val="00654E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4EF2"/>
    <w:pPr>
      <w:spacing w:before="60" w:after="60"/>
    </w:pPr>
  </w:style>
  <w:style w:type="paragraph" w:styleId="ListContinue">
    <w:name w:val="List Continue"/>
    <w:basedOn w:val="List"/>
    <w:rsid w:val="00654EF2"/>
    <w:pPr>
      <w:ind w:firstLine="0"/>
    </w:pPr>
  </w:style>
  <w:style w:type="paragraph" w:customStyle="1" w:styleId="ListNote">
    <w:name w:val="List Note"/>
    <w:basedOn w:val="List"/>
    <w:rsid w:val="00654E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4E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4E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4EF2"/>
    <w:rPr>
      <w:rFonts w:ascii="Courier New" w:hAnsi="Courier New"/>
    </w:rPr>
  </w:style>
  <w:style w:type="paragraph" w:customStyle="1" w:styleId="NoteBullet">
    <w:name w:val="Note Bullet"/>
    <w:basedOn w:val="Note"/>
    <w:rsid w:val="00654E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4E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4E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4E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4EF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54E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4E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4EF2"/>
    <w:rPr>
      <w:b/>
      <w:smallCaps/>
    </w:rPr>
  </w:style>
  <w:style w:type="paragraph" w:customStyle="1" w:styleId="TableListNumber">
    <w:name w:val="Table List Number"/>
    <w:basedOn w:val="ListNumber"/>
    <w:rsid w:val="00654E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4E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4EF2"/>
    <w:pPr>
      <w:numPr>
        <w:numId w:val="10"/>
      </w:numPr>
    </w:pPr>
  </w:style>
  <w:style w:type="paragraph" w:customStyle="1" w:styleId="ListAlpha2">
    <w:name w:val="List Alpha 2"/>
    <w:basedOn w:val="List2"/>
    <w:rsid w:val="00654EF2"/>
    <w:pPr>
      <w:numPr>
        <w:numId w:val="9"/>
      </w:numPr>
    </w:pPr>
  </w:style>
  <w:style w:type="paragraph" w:styleId="List2">
    <w:name w:val="List 2"/>
    <w:basedOn w:val="BodyText"/>
    <w:rsid w:val="00654E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4E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4E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4EF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54EF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54EF2"/>
    <w:pPr>
      <w:numPr>
        <w:numId w:val="5"/>
      </w:numPr>
    </w:pPr>
  </w:style>
  <w:style w:type="paragraph" w:styleId="ListContinue2">
    <w:name w:val="List Continue 2"/>
    <w:basedOn w:val="List2"/>
    <w:rsid w:val="00654EF2"/>
    <w:pPr>
      <w:ind w:firstLine="0"/>
    </w:pPr>
  </w:style>
  <w:style w:type="paragraph" w:styleId="ListContinue3">
    <w:name w:val="List Continue 3"/>
    <w:basedOn w:val="List3"/>
    <w:rsid w:val="00654EF2"/>
    <w:pPr>
      <w:ind w:left="1021" w:firstLine="0"/>
    </w:pPr>
  </w:style>
  <w:style w:type="paragraph" w:styleId="ListContinue4">
    <w:name w:val="List Continue 4"/>
    <w:basedOn w:val="List4"/>
    <w:rsid w:val="00654EF2"/>
    <w:pPr>
      <w:ind w:firstLine="0"/>
    </w:pPr>
  </w:style>
  <w:style w:type="paragraph" w:styleId="ListContinue5">
    <w:name w:val="List Continue 5"/>
    <w:basedOn w:val="List5"/>
    <w:rsid w:val="00654EF2"/>
    <w:pPr>
      <w:ind w:firstLine="0"/>
    </w:pPr>
  </w:style>
  <w:style w:type="paragraph" w:styleId="ListNumber3">
    <w:name w:val="List Number 3"/>
    <w:basedOn w:val="List3"/>
    <w:rsid w:val="00654EF2"/>
    <w:pPr>
      <w:numPr>
        <w:numId w:val="6"/>
      </w:numPr>
    </w:pPr>
  </w:style>
  <w:style w:type="paragraph" w:styleId="ListNumber4">
    <w:name w:val="List Number 4"/>
    <w:basedOn w:val="List4"/>
    <w:rsid w:val="00654EF2"/>
    <w:pPr>
      <w:numPr>
        <w:numId w:val="7"/>
      </w:numPr>
    </w:pPr>
  </w:style>
  <w:style w:type="paragraph" w:styleId="ListNumber5">
    <w:name w:val="List Number 5"/>
    <w:basedOn w:val="List5"/>
    <w:rsid w:val="00654EF2"/>
    <w:pPr>
      <w:numPr>
        <w:numId w:val="8"/>
      </w:numPr>
    </w:pPr>
  </w:style>
  <w:style w:type="paragraph" w:styleId="BlockText">
    <w:name w:val="Block Text"/>
    <w:basedOn w:val="Normal"/>
    <w:rsid w:val="00654E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4E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4EF2"/>
    <w:rPr>
      <w:sz w:val="16"/>
      <w:vertAlign w:val="superscript"/>
    </w:rPr>
  </w:style>
  <w:style w:type="character" w:customStyle="1" w:styleId="Symbols">
    <w:name w:val="Symbols"/>
    <w:basedOn w:val="DefaultParagraphFont"/>
    <w:rsid w:val="00654EF2"/>
    <w:rPr>
      <w:rFonts w:ascii="Symbol" w:hAnsi="Symbol"/>
    </w:rPr>
  </w:style>
  <w:style w:type="character" w:customStyle="1" w:styleId="MenuOptions">
    <w:name w:val="Menu Options"/>
    <w:basedOn w:val="DefaultParagraphFont"/>
    <w:rsid w:val="00654E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4EF2"/>
    <w:rPr>
      <w:b/>
    </w:rPr>
  </w:style>
  <w:style w:type="character" w:customStyle="1" w:styleId="Underlined">
    <w:name w:val="Underlined"/>
    <w:basedOn w:val="DefaultParagraphFont"/>
    <w:rsid w:val="00654EF2"/>
    <w:rPr>
      <w:u w:val="single"/>
    </w:rPr>
  </w:style>
  <w:style w:type="paragraph" w:customStyle="1" w:styleId="TableBodyTextRight">
    <w:name w:val="Table Body Text Right"/>
    <w:basedOn w:val="TableBodyText"/>
    <w:rsid w:val="00654E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4EF2"/>
    <w:rPr>
      <w:sz w:val="18"/>
    </w:rPr>
  </w:style>
  <w:style w:type="paragraph" w:customStyle="1" w:styleId="BodySmallRight">
    <w:name w:val="Body Small Right"/>
    <w:basedOn w:val="BodyTextRight"/>
    <w:rsid w:val="00654EF2"/>
    <w:rPr>
      <w:sz w:val="18"/>
      <w:szCs w:val="18"/>
    </w:rPr>
  </w:style>
  <w:style w:type="paragraph" w:customStyle="1" w:styleId="MarginEdition">
    <w:name w:val="Margin Edition"/>
    <w:basedOn w:val="MarginNote"/>
    <w:rsid w:val="00654E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4EF2"/>
    <w:rPr>
      <w:sz w:val="2"/>
      <w:szCs w:val="2"/>
    </w:rPr>
  </w:style>
  <w:style w:type="character" w:customStyle="1" w:styleId="Small">
    <w:name w:val="Small"/>
    <w:basedOn w:val="DefaultParagraphFont"/>
    <w:rsid w:val="00654EF2"/>
    <w:rPr>
      <w:sz w:val="16"/>
    </w:rPr>
  </w:style>
  <w:style w:type="paragraph" w:customStyle="1" w:styleId="WideTable">
    <w:name w:val="Wide Table"/>
    <w:basedOn w:val="Normal"/>
    <w:rsid w:val="00654E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4EF2"/>
  </w:style>
  <w:style w:type="paragraph" w:styleId="Quote">
    <w:name w:val="Quote"/>
    <w:basedOn w:val="Heading1"/>
    <w:link w:val="QuoteChar"/>
    <w:qFormat/>
    <w:rsid w:val="00654E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4E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4EF2"/>
    <w:pPr>
      <w:pageBreakBefore/>
    </w:pPr>
  </w:style>
  <w:style w:type="paragraph" w:customStyle="1" w:styleId="Border">
    <w:name w:val="Border"/>
    <w:basedOn w:val="Normal"/>
    <w:qFormat/>
    <w:rsid w:val="00654E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4E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4E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4E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4E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4E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4E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4E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4E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4EF2"/>
    <w:rPr>
      <w:u w:val="single"/>
    </w:rPr>
  </w:style>
  <w:style w:type="character" w:customStyle="1" w:styleId="BoldandItalics">
    <w:name w:val="Bold and Italics"/>
    <w:qFormat/>
    <w:rsid w:val="00654EF2"/>
    <w:rPr>
      <w:b/>
      <w:i/>
      <w:u w:val="none"/>
    </w:rPr>
  </w:style>
  <w:style w:type="paragraph" w:styleId="BalloonText">
    <w:name w:val="Balloon Text"/>
    <w:basedOn w:val="Normal"/>
    <w:link w:val="BalloonTextChar"/>
    <w:rsid w:val="00654E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4E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4E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4E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4E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4E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4EF2"/>
    <w:pPr>
      <w:spacing w:before="0" w:after="0"/>
    </w:pPr>
  </w:style>
  <w:style w:type="paragraph" w:customStyle="1" w:styleId="BodyTextBold">
    <w:name w:val="Body Text Bold"/>
    <w:basedOn w:val="BodyText"/>
    <w:qFormat/>
    <w:rsid w:val="00654EF2"/>
    <w:rPr>
      <w:b/>
    </w:rPr>
  </w:style>
  <w:style w:type="character" w:styleId="Hyperlink">
    <w:name w:val="Hyperlink"/>
    <w:basedOn w:val="DefaultParagraphFont"/>
    <w:uiPriority w:val="99"/>
    <w:unhideWhenUsed/>
    <w:rsid w:val="00CD23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659</Words>
  <Characters>4467</Characters>
  <Application>Microsoft Office Word</Application>
  <DocSecurity>0</DocSecurity>
  <Lines>114</Lines>
  <Paragraphs>86</Paragraphs>
  <ScaleCrop>false</ScaleCrop>
  <Company>Author-it Software Corporation Ltd.</Company>
  <LinksUpToDate>false</LinksUpToDate>
  <CharactersWithSpaces>5040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TAEASS514 Develop and implement plans for recognition of prior learning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2022-12-08T09:06:00Z</dcterms:created>
  <dcterms:modified xsi:type="dcterms:W3CDTF">2022-12-08T09:06:00Z</dcterms:modified>
</cp:coreProperties>
</file>