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27A" w:rsidP="008E2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TAEASS412 Assess competence</w:t>
      </w:r>
      <w:r>
        <w:fldChar w:fldCharType="end"/>
      </w:r>
    </w:p>
    <w:p w:rsidR="008E227A" w:rsidP="008E227A">
      <w:pPr>
        <w:pStyle w:val="Version"/>
        <w:sectPr w:rsidSect="00530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001" w:rsidP="00530001">
      <w:pPr>
        <w:pStyle w:val="SuperHeading"/>
      </w:pPr>
      <w:r w:rsidRPr="00530001">
        <w:t>Assessment Requirements for TAEASS412 Assess competence</w:t>
      </w:r>
    </w:p>
    <w:p w:rsidR="00000000" w:rsidRPr="00530001" w:rsidP="00530001">
      <w:pPr>
        <w:pStyle w:val="Heading1"/>
      </w:pPr>
      <w:bookmarkStart w:id="1" w:name="O_1271919"/>
      <w:bookmarkEnd w:id="1"/>
      <w:r w:rsidRPr="00530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53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001" w:rsidP="00530001">
            <w:pPr>
              <w:pStyle w:val="BodyText"/>
            </w:pPr>
            <w:r w:rsidRPr="0053000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001">
            <w:pPr>
              <w:pStyle w:val="BodyText"/>
              <w:rPr>
                <w:lang w:val="en-NZ"/>
              </w:rPr>
            </w:pPr>
            <w:r w:rsidRPr="00530001">
              <w:rPr>
                <w:rStyle w:val="SpecialBold"/>
              </w:rPr>
              <w:t>Comments</w:t>
            </w:r>
          </w:p>
        </w:tc>
      </w:tr>
      <w:tr w:rsidTr="00530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001">
            <w:pPr>
              <w:pStyle w:val="BodyText"/>
              <w:rPr>
                <w:lang w:val="en-NZ"/>
              </w:rPr>
            </w:pPr>
            <w:r w:rsidRPr="0053000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001" w:rsidP="00530001">
            <w:pPr>
              <w:pStyle w:val="BodyText"/>
            </w:pPr>
            <w:r w:rsidRPr="00530001">
              <w:t>This version first released with TAE Training and Education Training Package Version 5.0.</w:t>
            </w:r>
          </w:p>
          <w:p w:rsidR="00000000" w:rsidRPr="00530001" w:rsidP="00530001">
            <w:pPr>
              <w:pStyle w:val="BodyText"/>
            </w:pPr>
            <w:r w:rsidRPr="00530001">
              <w:t>Supersedes and is not equivalent to TAEASS402 Assess competence.</w:t>
            </w:r>
          </w:p>
        </w:tc>
      </w:tr>
    </w:tbl>
    <w:p w:rsidR="00000000" w:rsidRPr="00530001" w:rsidP="00530001">
      <w:pPr>
        <w:pStyle w:val="BodyText"/>
      </w:pPr>
    </w:p>
    <w:p w:rsidR="00000000" w:rsidRPr="00530001" w:rsidP="00530001">
      <w:pPr>
        <w:pStyle w:val="AllowPageBreak"/>
      </w:pPr>
    </w:p>
    <w:p w:rsidR="00000000" w:rsidRPr="00530001" w:rsidP="00530001">
      <w:pPr>
        <w:pStyle w:val="Heading1"/>
      </w:pPr>
      <w:bookmarkStart w:id="2" w:name="O_1271920"/>
      <w:bookmarkEnd w:id="2"/>
      <w:r w:rsidRPr="00530001">
        <w:t xml:space="preserve">Performance </w:t>
      </w:r>
      <w:r w:rsidRPr="00530001">
        <w:t>Evidence</w:t>
      </w:r>
    </w:p>
    <w:p w:rsidR="00000000" w:rsidRPr="00530001" w:rsidP="008E227A">
      <w:pPr>
        <w:pStyle w:val="BodyText"/>
      </w:pPr>
      <w:r w:rsidRPr="00530001">
        <w:t>The individual must demonstrate the ability to complete the tasks outlined in the elements, performance criteria and foundation skills of this unit, including evidence of the ability to:</w:t>
      </w:r>
    </w:p>
    <w:p w:rsidR="00000000" w:rsidRPr="00530001" w:rsidP="00530001">
      <w:pPr>
        <w:pStyle w:val="ListBullet"/>
      </w:pPr>
      <w:r w:rsidRPr="00530001">
        <w:t>conduct a total of at least 6 assessments, at least 1 of wh</w:t>
      </w:r>
      <w:r w:rsidRPr="00530001">
        <w:t>ich must use recognition of prior learning (RPL).</w:t>
      </w:r>
    </w:p>
    <w:p w:rsidR="00000000" w:rsidRPr="00530001" w:rsidP="00530001">
      <w:pPr>
        <w:pStyle w:val="BodyText"/>
      </w:pPr>
    </w:p>
    <w:p w:rsidR="00000000" w:rsidRPr="00530001" w:rsidP="008E227A">
      <w:pPr>
        <w:pStyle w:val="BodyText"/>
      </w:pPr>
      <w:r w:rsidRPr="00530001">
        <w:t>The above assessments must be for 3 different candidates against all requirements specified in at least 2 different units of competency from a nationally recognised training package or accredited course. The same 2 units may be used for each candidate.</w:t>
      </w:r>
    </w:p>
    <w:p w:rsidR="00000000" w:rsidRPr="00530001" w:rsidP="008E227A">
      <w:pPr>
        <w:pStyle w:val="BodyText"/>
      </w:pPr>
      <w:r w:rsidRPr="00530001">
        <w:t>In</w:t>
      </w:r>
      <w:r w:rsidRPr="00530001">
        <w:t xml:space="preserve"> the course of the above assessments, the individual must:</w:t>
      </w:r>
    </w:p>
    <w:p w:rsidR="00000000" w:rsidRPr="00530001" w:rsidP="00530001">
      <w:pPr>
        <w:pStyle w:val="ListBullet"/>
      </w:pPr>
      <w:r w:rsidRPr="00530001">
        <w:t>use current and validated assessment tools</w:t>
      </w:r>
    </w:p>
    <w:p w:rsidR="00000000" w:rsidRPr="00530001" w:rsidP="00530001">
      <w:pPr>
        <w:pStyle w:val="ListBullet"/>
      </w:pPr>
      <w:r w:rsidRPr="00530001">
        <w:t>customise the assessment process of at least 1 of the above candidates to:</w:t>
      </w:r>
    </w:p>
    <w:p w:rsidR="00000000" w:rsidRPr="00530001" w:rsidP="00530001">
      <w:pPr>
        <w:pStyle w:val="ListBullet2"/>
      </w:pPr>
      <w:r w:rsidRPr="00530001">
        <w:t>contextualise for candidate’s work role and environment, and</w:t>
      </w:r>
    </w:p>
    <w:p w:rsidR="00000000" w:rsidRPr="00530001" w:rsidP="00530001">
      <w:pPr>
        <w:pStyle w:val="ListBullet2"/>
      </w:pPr>
      <w:r w:rsidRPr="00530001">
        <w:t xml:space="preserve">make reasonable </w:t>
      </w:r>
      <w:r w:rsidRPr="00530001">
        <w:t>adjustments for special needs where this will not compromise the requirements of the unit of competency, or explain and justify a reasonable adjustment that could be made in at least one of the above assessments</w:t>
      </w:r>
    </w:p>
    <w:p w:rsidR="00000000" w:rsidRPr="00530001" w:rsidP="00530001">
      <w:pPr>
        <w:pStyle w:val="ListBullet"/>
      </w:pPr>
      <w:r w:rsidRPr="00530001">
        <w:t>make assessment judgements according to voc</w:t>
      </w:r>
      <w:r w:rsidRPr="00530001">
        <w:t>ational education and training (VET) regulatory requirements</w:t>
      </w:r>
    </w:p>
    <w:p w:rsidR="00000000" w:rsidRPr="00530001" w:rsidP="00530001">
      <w:pPr>
        <w:pStyle w:val="ListBullet"/>
      </w:pPr>
      <w:r w:rsidRPr="00530001">
        <w:t>identify and apply at least 3 changes to improve own assessment practice based on feedback from candidate and self-reflection.</w:t>
      </w:r>
    </w:p>
    <w:p w:rsidR="00000000" w:rsidRPr="00530001" w:rsidP="00530001">
      <w:pPr>
        <w:pStyle w:val="AllowPageBreak"/>
      </w:pPr>
    </w:p>
    <w:p w:rsidR="00000000" w:rsidRPr="00530001" w:rsidP="00530001">
      <w:pPr>
        <w:pStyle w:val="Heading1"/>
      </w:pPr>
      <w:bookmarkStart w:id="3" w:name="O_1271921"/>
      <w:bookmarkEnd w:id="3"/>
      <w:r w:rsidRPr="00530001">
        <w:t>Knowledge Evidence</w:t>
      </w:r>
    </w:p>
    <w:p w:rsidR="00000000" w:rsidRPr="00530001" w:rsidP="008E227A">
      <w:pPr>
        <w:pStyle w:val="BodyText"/>
      </w:pPr>
      <w:r w:rsidRPr="00530001">
        <w:t>The individual must be able to</w:t>
      </w:r>
      <w:r w:rsidRPr="00530001">
        <w:t xml:space="preserve"> demonstrate knowledge to complete the tasks outlined in the elements, performance criteria and foundation skills of this unit, including knowledge of:</w:t>
      </w:r>
    </w:p>
    <w:p w:rsidR="00000000" w:rsidRPr="00530001" w:rsidP="00530001">
      <w:pPr>
        <w:pStyle w:val="ListBullet"/>
      </w:pPr>
      <w:r w:rsidRPr="00530001">
        <w:t xml:space="preserve">legislative and VET regulatory requirements relating to assessing competence, including those relating </w:t>
      </w:r>
      <w:r w:rsidRPr="00530001">
        <w:t>to:</w:t>
      </w:r>
    </w:p>
    <w:p w:rsidR="00000000" w:rsidRPr="00530001" w:rsidP="00530001">
      <w:pPr>
        <w:pStyle w:val="ListBullet2"/>
      </w:pPr>
      <w:r w:rsidRPr="00530001">
        <w:t>assessor requirements, including qualifications and currency</w:t>
      </w:r>
    </w:p>
    <w:p w:rsidR="00000000" w:rsidRPr="00530001" w:rsidP="00530001">
      <w:pPr>
        <w:pStyle w:val="ListBullet2"/>
      </w:pPr>
      <w:r w:rsidRPr="00530001">
        <w:t>principles of assessment</w:t>
      </w:r>
    </w:p>
    <w:p w:rsidR="00000000" w:rsidRPr="00530001" w:rsidP="00530001">
      <w:pPr>
        <w:pStyle w:val="ListBullet2"/>
      </w:pPr>
      <w:r w:rsidRPr="00530001">
        <w:t>rules of evidence</w:t>
      </w:r>
    </w:p>
    <w:p w:rsidR="00000000" w:rsidRPr="00530001" w:rsidP="00530001">
      <w:pPr>
        <w:pStyle w:val="ListBullet2"/>
      </w:pPr>
      <w:r w:rsidRPr="00530001">
        <w:t>recognition of prior learning</w:t>
      </w:r>
    </w:p>
    <w:p w:rsidR="00000000" w:rsidRPr="00530001" w:rsidP="00530001">
      <w:pPr>
        <w:pStyle w:val="ListBullet2"/>
      </w:pPr>
      <w:r w:rsidRPr="00530001">
        <w:t>use of industry experts</w:t>
      </w:r>
    </w:p>
    <w:p w:rsidR="00000000" w:rsidRPr="00530001" w:rsidP="00530001">
      <w:pPr>
        <w:pStyle w:val="ListBullet2"/>
      </w:pPr>
      <w:r w:rsidRPr="00530001">
        <w:t>reasonable adjustment</w:t>
      </w:r>
    </w:p>
    <w:p w:rsidR="00000000" w:rsidRPr="00530001" w:rsidP="00530001">
      <w:pPr>
        <w:pStyle w:val="ListBullet"/>
      </w:pPr>
      <w:r w:rsidRPr="00530001">
        <w:t xml:space="preserve">assessment system </w:t>
      </w:r>
      <w:r w:rsidRPr="00530001">
        <w:t>policies and procedures, including organisational requirements for:</w:t>
      </w:r>
    </w:p>
    <w:p w:rsidR="00000000" w:rsidRPr="00530001" w:rsidP="00530001">
      <w:pPr>
        <w:pStyle w:val="ListBullet2"/>
      </w:pPr>
      <w:r w:rsidRPr="00530001">
        <w:t>planning and preparing for assessment</w:t>
      </w:r>
    </w:p>
    <w:p w:rsidR="00000000" w:rsidRPr="00530001" w:rsidP="00530001">
      <w:pPr>
        <w:pStyle w:val="ListBullet2"/>
      </w:pPr>
      <w:r w:rsidRPr="00530001">
        <w:t>preparing candidates for assessment</w:t>
      </w:r>
    </w:p>
    <w:p w:rsidR="00000000" w:rsidRPr="00530001" w:rsidP="00530001">
      <w:pPr>
        <w:pStyle w:val="ListBullet2"/>
      </w:pPr>
      <w:r w:rsidRPr="00530001">
        <w:t>customising assessment process</w:t>
      </w:r>
    </w:p>
    <w:p w:rsidR="00000000" w:rsidRPr="00530001" w:rsidP="00530001">
      <w:pPr>
        <w:pStyle w:val="ListBullet2"/>
      </w:pPr>
      <w:r w:rsidRPr="00530001">
        <w:t>conducting recognition of prior learning</w:t>
      </w:r>
    </w:p>
    <w:p w:rsidR="00000000" w:rsidRPr="00530001" w:rsidP="00530001">
      <w:pPr>
        <w:pStyle w:val="ListBullet2"/>
      </w:pPr>
      <w:r w:rsidRPr="00530001">
        <w:t>making and recording reasonable adjustmen</w:t>
      </w:r>
      <w:r w:rsidRPr="00530001">
        <w:t>ts</w:t>
      </w:r>
    </w:p>
    <w:p w:rsidR="00000000" w:rsidRPr="00530001" w:rsidP="00530001">
      <w:pPr>
        <w:pStyle w:val="ListBullet2"/>
      </w:pPr>
      <w:r w:rsidRPr="00530001">
        <w:t>gathering, organising and recording assessment evidence in line with ethics, privacy and confidentiality requirements</w:t>
      </w:r>
    </w:p>
    <w:p w:rsidR="00000000" w:rsidRPr="00530001" w:rsidP="00530001">
      <w:pPr>
        <w:pStyle w:val="ListBullet2"/>
      </w:pPr>
      <w:r w:rsidRPr="00530001">
        <w:t>making and moderating assessment judgements</w:t>
      </w:r>
    </w:p>
    <w:p w:rsidR="00000000" w:rsidRPr="00530001" w:rsidP="00530001">
      <w:pPr>
        <w:pStyle w:val="ListBullet2"/>
      </w:pPr>
      <w:r w:rsidRPr="00530001">
        <w:t>making and recording assessment judgements</w:t>
      </w:r>
    </w:p>
    <w:p w:rsidR="00000000" w:rsidRPr="00530001" w:rsidP="00530001">
      <w:pPr>
        <w:pStyle w:val="ListBullet2"/>
      </w:pPr>
      <w:r w:rsidRPr="00530001">
        <w:t>communicating assessment judgements and feedback</w:t>
      </w:r>
      <w:r w:rsidRPr="00530001">
        <w:t xml:space="preserve"> to the candidate</w:t>
      </w:r>
    </w:p>
    <w:p w:rsidR="00000000" w:rsidRPr="00530001" w:rsidP="00530001">
      <w:pPr>
        <w:pStyle w:val="ListBullet"/>
      </w:pPr>
      <w:r w:rsidRPr="00530001">
        <w:t>key features of competency-based assessment, including:</w:t>
      </w:r>
    </w:p>
    <w:p w:rsidR="00000000" w:rsidRPr="00530001" w:rsidP="00530001">
      <w:pPr>
        <w:pStyle w:val="ListBullet2"/>
      </w:pPr>
      <w:r w:rsidRPr="00530001">
        <w:t>VET as a competency-based system</w:t>
      </w:r>
    </w:p>
    <w:p w:rsidR="00000000" w:rsidRPr="00530001" w:rsidP="00530001">
      <w:pPr>
        <w:pStyle w:val="ListBullet2"/>
      </w:pPr>
      <w:r w:rsidRPr="00530001">
        <w:t>how competency-based assessment differs from other types of assessment</w:t>
      </w:r>
    </w:p>
    <w:p w:rsidR="00000000" w:rsidRPr="00530001" w:rsidP="00530001">
      <w:pPr>
        <w:pStyle w:val="ListBullet2"/>
      </w:pPr>
      <w:r w:rsidRPr="00530001">
        <w:t>definition of competence</w:t>
      </w:r>
    </w:p>
    <w:p w:rsidR="00000000" w:rsidRPr="00530001" w:rsidP="00530001">
      <w:pPr>
        <w:pStyle w:val="ListBullet2"/>
      </w:pPr>
      <w:r w:rsidRPr="00530001">
        <w:t>assessment purposes and contexts</w:t>
      </w:r>
    </w:p>
    <w:p w:rsidR="00000000" w:rsidRPr="00530001" w:rsidP="00530001">
      <w:pPr>
        <w:pStyle w:val="ListBullet2"/>
      </w:pPr>
      <w:r w:rsidRPr="00530001">
        <w:t>nature and scope of evidence gathered, including evidence collected from other parties</w:t>
      </w:r>
    </w:p>
    <w:p w:rsidR="00000000" w:rsidRPr="00530001" w:rsidP="00530001">
      <w:pPr>
        <w:pStyle w:val="ListBullet"/>
      </w:pPr>
      <w:r w:rsidRPr="00530001">
        <w:t>processes for analysing nationally recognised training products to identify evidence needed to demonstrate competence</w:t>
      </w:r>
    </w:p>
    <w:p w:rsidR="00000000" w:rsidRPr="00530001" w:rsidP="00530001">
      <w:pPr>
        <w:pStyle w:val="ListBullet"/>
      </w:pPr>
      <w:r w:rsidRPr="00530001">
        <w:t>dimensions of competency and how they guide assess</w:t>
      </w:r>
      <w:r w:rsidRPr="00530001">
        <w:t>ment practices</w:t>
      </w:r>
    </w:p>
    <w:p w:rsidR="00000000" w:rsidRPr="00530001" w:rsidP="00530001">
      <w:pPr>
        <w:pStyle w:val="ListBullet"/>
      </w:pPr>
      <w:r w:rsidRPr="00530001">
        <w:t>processes for identifying and organising foundation skills support for candidates, including use of current authorised Australian foundation skills frameworks</w:t>
      </w:r>
    </w:p>
    <w:p w:rsidR="00000000" w:rsidRPr="00530001" w:rsidP="00530001">
      <w:pPr>
        <w:pStyle w:val="ListBullet"/>
      </w:pPr>
      <w:r w:rsidRPr="00530001">
        <w:t>types of assessment pathways, including:</w:t>
      </w:r>
    </w:p>
    <w:p w:rsidR="00000000" w:rsidRPr="00530001" w:rsidP="00530001">
      <w:pPr>
        <w:pStyle w:val="ListBullet2"/>
      </w:pPr>
      <w:r w:rsidRPr="00530001">
        <w:t>learning and assessment</w:t>
      </w:r>
    </w:p>
    <w:p w:rsidR="00000000" w:rsidRPr="00530001" w:rsidP="00530001">
      <w:pPr>
        <w:pStyle w:val="ListBullet2"/>
      </w:pPr>
      <w:r w:rsidRPr="00530001">
        <w:t>assessment only,</w:t>
      </w:r>
      <w:r w:rsidRPr="00530001">
        <w:t xml:space="preserve"> including recognition of prior learning</w:t>
      </w:r>
    </w:p>
    <w:p w:rsidR="00000000" w:rsidRPr="00530001" w:rsidP="00530001">
      <w:pPr>
        <w:pStyle w:val="ListBullet"/>
      </w:pPr>
      <w:r w:rsidRPr="00530001">
        <w:t>difference between assessment tools and assessment instruments</w:t>
      </w:r>
    </w:p>
    <w:p w:rsidR="00000000" w:rsidRPr="00530001" w:rsidP="00530001">
      <w:pPr>
        <w:pStyle w:val="ListBullet"/>
      </w:pPr>
      <w:r w:rsidRPr="00530001">
        <w:t>key structure, functions and content of assessment tools:</w:t>
      </w:r>
    </w:p>
    <w:p w:rsidR="00000000" w:rsidRPr="00530001" w:rsidP="00530001">
      <w:pPr>
        <w:pStyle w:val="ListBullet2"/>
      </w:pPr>
      <w:r w:rsidRPr="00530001">
        <w:t>instructions to the candidate and assessor</w:t>
      </w:r>
    </w:p>
    <w:p w:rsidR="00000000" w:rsidRPr="00530001" w:rsidP="00530001">
      <w:pPr>
        <w:pStyle w:val="ListBullet2"/>
      </w:pPr>
      <w:r w:rsidRPr="00530001">
        <w:t>context and conditions of assessment</w:t>
      </w:r>
    </w:p>
    <w:p w:rsidR="00000000" w:rsidRPr="00530001" w:rsidP="00530001">
      <w:pPr>
        <w:pStyle w:val="ListBullet2"/>
      </w:pPr>
      <w:r w:rsidRPr="00530001">
        <w:t>tasks to be administered to candidate</w:t>
      </w:r>
    </w:p>
    <w:p w:rsidR="00000000" w:rsidRPr="00530001" w:rsidP="00530001">
      <w:pPr>
        <w:pStyle w:val="ListBullet2"/>
      </w:pPr>
      <w:r w:rsidRPr="00530001">
        <w:t>mapping against units of competency</w:t>
      </w:r>
    </w:p>
    <w:p w:rsidR="00000000" w:rsidRPr="00530001" w:rsidP="00530001">
      <w:pPr>
        <w:pStyle w:val="ListBullet"/>
      </w:pPr>
      <w:r w:rsidRPr="00530001">
        <w:t xml:space="preserve">assessment methods, including suitability for gathering evidence, suitability for nationally recognised unit of competency content, resource requirements, and associated assessment </w:t>
      </w:r>
      <w:r w:rsidRPr="00530001">
        <w:t>instruments:</w:t>
      </w:r>
    </w:p>
    <w:p w:rsidR="00000000" w:rsidRPr="00530001" w:rsidP="00530001">
      <w:pPr>
        <w:pStyle w:val="ListBullet2"/>
      </w:pPr>
      <w:r w:rsidRPr="00530001">
        <w:t>direct observation</w:t>
      </w:r>
    </w:p>
    <w:p w:rsidR="00000000" w:rsidRPr="00530001" w:rsidP="00530001">
      <w:pPr>
        <w:pStyle w:val="ListBullet2"/>
      </w:pPr>
      <w:r w:rsidRPr="00530001">
        <w:t>product-based methods</w:t>
      </w:r>
    </w:p>
    <w:p w:rsidR="00000000" w:rsidRPr="00530001" w:rsidP="00530001">
      <w:pPr>
        <w:pStyle w:val="ListBullet2"/>
      </w:pPr>
      <w:r w:rsidRPr="00530001">
        <w:t>questioning</w:t>
      </w:r>
    </w:p>
    <w:p w:rsidR="00000000" w:rsidRPr="00530001" w:rsidP="00530001">
      <w:pPr>
        <w:pStyle w:val="ListBullet"/>
      </w:pPr>
      <w:r w:rsidRPr="00530001">
        <w:t>methods to contextualise an assessment process while maintaining its integrity</w:t>
      </w:r>
    </w:p>
    <w:p w:rsidR="00000000" w:rsidRPr="00530001" w:rsidP="00530001">
      <w:pPr>
        <w:pStyle w:val="ListBullet"/>
      </w:pPr>
      <w:r w:rsidRPr="00530001">
        <w:t>nature and scope of reasonable adjustment in assessment, and when it applies</w:t>
      </w:r>
    </w:p>
    <w:p w:rsidR="00000000" w:rsidRPr="00530001" w:rsidP="00530001">
      <w:pPr>
        <w:pStyle w:val="ListBullet"/>
      </w:pPr>
      <w:r w:rsidRPr="00530001">
        <w:t>how to check and maintain the ri</w:t>
      </w:r>
      <w:r w:rsidRPr="00530001">
        <w:t>gour of the assessment process using the mapping against units of competency</w:t>
      </w:r>
    </w:p>
    <w:p w:rsidR="00000000" w:rsidRPr="00530001" w:rsidP="00530001">
      <w:pPr>
        <w:pStyle w:val="ListBullet"/>
      </w:pPr>
      <w:r w:rsidRPr="00530001">
        <w:t>how the principles of assessment guide the assessment process</w:t>
      </w:r>
    </w:p>
    <w:p w:rsidR="00000000" w:rsidRPr="00530001" w:rsidP="00530001">
      <w:pPr>
        <w:pStyle w:val="ListBullet"/>
      </w:pPr>
      <w:r w:rsidRPr="00530001">
        <w:t>how the rules of evidence guide the assessment process</w:t>
      </w:r>
    </w:p>
    <w:p w:rsidR="00000000" w:rsidRPr="00530001" w:rsidP="00530001">
      <w:pPr>
        <w:pStyle w:val="ListBullet"/>
      </w:pPr>
      <w:r w:rsidRPr="00530001">
        <w:t>how to make objective assessment judgements, and manage own bi</w:t>
      </w:r>
      <w:r w:rsidRPr="00530001">
        <w:t>as and conflicts of interest</w:t>
      </w:r>
    </w:p>
    <w:p w:rsidR="00000000" w:rsidRPr="00530001" w:rsidP="00530001">
      <w:pPr>
        <w:pStyle w:val="ListBullet"/>
      </w:pPr>
      <w:r w:rsidRPr="00530001">
        <w:t>practices and methods that promote safe and inclusive assessment environments, including using appropriate and inclusive language when providing candidates with information</w:t>
      </w:r>
    </w:p>
    <w:p w:rsidR="00000000" w:rsidRPr="00530001" w:rsidP="00530001">
      <w:pPr>
        <w:pStyle w:val="ListBullet"/>
      </w:pPr>
      <w:r w:rsidRPr="00530001">
        <w:t>work health and safety (WHS) responsibilities relating</w:t>
      </w:r>
      <w:r w:rsidRPr="00530001">
        <w:t xml:space="preserve"> to assessing competence.</w:t>
      </w:r>
    </w:p>
    <w:p w:rsidR="00000000" w:rsidRPr="00530001" w:rsidP="00530001">
      <w:pPr>
        <w:pStyle w:val="AllowPageBreak"/>
      </w:pPr>
    </w:p>
    <w:p w:rsidR="00000000" w:rsidRPr="00530001" w:rsidP="00530001">
      <w:pPr>
        <w:pStyle w:val="Heading1"/>
      </w:pPr>
      <w:bookmarkStart w:id="4" w:name="O_1271922"/>
      <w:bookmarkEnd w:id="4"/>
      <w:r w:rsidRPr="00530001">
        <w:t>Assessment Conditions</w:t>
      </w:r>
    </w:p>
    <w:p w:rsidR="00000000" w:rsidRPr="00530001" w:rsidP="008E227A">
      <w:pPr>
        <w:pStyle w:val="BodyText"/>
      </w:pPr>
      <w:r w:rsidRPr="00530001">
        <w:t xml:space="preserve">Skills in this unit must be demonstrated in a real or simulated vocational education and training environment. Evidence gathered for assessment may include </w:t>
      </w:r>
      <w:r w:rsidRPr="00530001">
        <w:t>that collected in real time or via a submitted recording.</w:t>
      </w:r>
    </w:p>
    <w:p w:rsidR="00000000" w:rsidRPr="00530001" w:rsidP="008E227A">
      <w:pPr>
        <w:pStyle w:val="BodyText"/>
      </w:pPr>
      <w:r w:rsidRPr="00530001">
        <w:t>This includes access to:</w:t>
      </w:r>
    </w:p>
    <w:p w:rsidR="00000000" w:rsidRPr="00530001" w:rsidP="00530001">
      <w:pPr>
        <w:pStyle w:val="ListBullet"/>
      </w:pPr>
      <w:r w:rsidRPr="00530001">
        <w:t>assessment system</w:t>
      </w:r>
    </w:p>
    <w:p w:rsidR="00000000" w:rsidRPr="00530001" w:rsidP="00530001">
      <w:pPr>
        <w:pStyle w:val="ListBullet"/>
      </w:pPr>
      <w:r w:rsidRPr="00530001">
        <w:t>current and validated assessment tools, including access to a provided RPL kit.</w:t>
      </w:r>
    </w:p>
    <w:p w:rsidR="00000000" w:rsidRPr="00530001" w:rsidP="00530001">
      <w:pPr>
        <w:pStyle w:val="BodyText"/>
      </w:pPr>
    </w:p>
    <w:p w:rsidR="00000000" w:rsidRPr="00530001" w:rsidP="008E227A">
      <w:pPr>
        <w:pStyle w:val="BodyText"/>
      </w:pPr>
      <w:r w:rsidRPr="00530001">
        <w:t>Assessors of this unit must satisfy the requirements for assessors in app</w:t>
      </w:r>
      <w:r w:rsidRPr="00530001">
        <w:t>licable vocational education and training legislation, frameworks and/or standards.</w:t>
      </w:r>
    </w:p>
    <w:p w:rsidR="00000000" w:rsidRPr="00530001" w:rsidP="00530001">
      <w:pPr>
        <w:pStyle w:val="Heading1"/>
      </w:pPr>
      <w:bookmarkStart w:id="5" w:name="O_1271925"/>
      <w:bookmarkEnd w:id="5"/>
      <w:r w:rsidRPr="00530001">
        <w:t>Links</w:t>
      </w:r>
    </w:p>
    <w:p w:rsidR="00000000" w:rsidRPr="00530001" w:rsidP="008E227A">
      <w:pPr>
        <w:pStyle w:val="BodyText"/>
      </w:pPr>
      <w:r w:rsidRPr="005300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11FA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30001" w:rsidP="00530001"/>
    <w:sectPr w:rsidSect="00530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01" w:rsidRPr="008E227A" w:rsidP="008E2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7A" w:rsidP="0053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27A" w:rsidP="0053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E227A" w:rsidP="00530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001" w:rsidRPr="008E227A" w:rsidP="008E2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7A" w:rsidRPr="002D2AF8" w:rsidP="0053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TAEASS412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E227A" w:rsidP="00530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026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ED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8A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001"/>
  </w:style>
  <w:style w:type="character" w:customStyle="1" w:styleId="Heading1Char">
    <w:name w:val="Heading 1 Char"/>
    <w:basedOn w:val="DefaultParagraphFont"/>
    <w:link w:val="Heading1"/>
    <w:rsid w:val="00530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0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001"/>
    <w:rPr>
      <w:b/>
      <w:spacing w:val="0"/>
    </w:rPr>
  </w:style>
  <w:style w:type="paragraph" w:styleId="ListBullet2">
    <w:name w:val="List Bullet 2"/>
    <w:basedOn w:val="List2"/>
    <w:rsid w:val="005300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001"/>
    <w:rPr>
      <w:i/>
    </w:rPr>
  </w:style>
  <w:style w:type="paragraph" w:styleId="Caption">
    <w:name w:val="caption"/>
    <w:basedOn w:val="BodyText"/>
    <w:next w:val="Normal"/>
    <w:qFormat/>
    <w:rsid w:val="00530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001"/>
  </w:style>
  <w:style w:type="paragraph" w:styleId="TableofFigures">
    <w:name w:val="table of figures"/>
    <w:basedOn w:val="Normal"/>
    <w:next w:val="Normal"/>
    <w:semiHidden/>
    <w:rsid w:val="00530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001"/>
    <w:rPr>
      <w:rFonts w:ascii="Wingdings" w:hAnsi="Wingdings"/>
    </w:rPr>
  </w:style>
  <w:style w:type="paragraph" w:customStyle="1" w:styleId="TableHeading">
    <w:name w:val="Table Heading"/>
    <w:basedOn w:val="HeadingBase"/>
    <w:rsid w:val="00530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001"/>
    <w:rPr>
      <w:color w:val="0033CC"/>
      <w:u w:val="none"/>
    </w:rPr>
  </w:style>
  <w:style w:type="paragraph" w:customStyle="1" w:styleId="BodyTextRight">
    <w:name w:val="Body Text Right"/>
    <w:basedOn w:val="BodyText"/>
    <w:rsid w:val="00530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001"/>
    <w:rPr>
      <w:sz w:val="32"/>
    </w:rPr>
  </w:style>
  <w:style w:type="paragraph" w:customStyle="1" w:styleId="HeadingProcedure">
    <w:name w:val="Heading Procedure"/>
    <w:basedOn w:val="HeadingBase"/>
    <w:next w:val="Normal"/>
    <w:rsid w:val="00530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001"/>
    <w:pPr>
      <w:spacing w:before="60" w:after="60"/>
    </w:pPr>
  </w:style>
  <w:style w:type="paragraph" w:styleId="ListContinue">
    <w:name w:val="List Continue"/>
    <w:basedOn w:val="List"/>
    <w:rsid w:val="00530001"/>
    <w:pPr>
      <w:ind w:firstLine="0"/>
    </w:pPr>
  </w:style>
  <w:style w:type="paragraph" w:customStyle="1" w:styleId="ListNote">
    <w:name w:val="List Note"/>
    <w:basedOn w:val="List"/>
    <w:rsid w:val="00530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001"/>
    <w:rPr>
      <w:rFonts w:ascii="Courier New" w:hAnsi="Courier New"/>
    </w:rPr>
  </w:style>
  <w:style w:type="paragraph" w:customStyle="1" w:styleId="NoteBullet">
    <w:name w:val="Note Bullet"/>
    <w:basedOn w:val="Note"/>
    <w:rsid w:val="00530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001"/>
    <w:rPr>
      <w:b/>
      <w:smallCaps/>
    </w:rPr>
  </w:style>
  <w:style w:type="paragraph" w:customStyle="1" w:styleId="TableListNumber">
    <w:name w:val="Table List Number"/>
    <w:basedOn w:val="ListNumber"/>
    <w:rsid w:val="00530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001"/>
    <w:pPr>
      <w:numPr>
        <w:numId w:val="9"/>
      </w:numPr>
    </w:pPr>
  </w:style>
  <w:style w:type="paragraph" w:customStyle="1" w:styleId="ListAlpha2">
    <w:name w:val="List Alpha 2"/>
    <w:basedOn w:val="List2"/>
    <w:rsid w:val="00530001"/>
    <w:pPr>
      <w:numPr>
        <w:numId w:val="8"/>
      </w:numPr>
    </w:pPr>
  </w:style>
  <w:style w:type="paragraph" w:styleId="List2">
    <w:name w:val="List 2"/>
    <w:basedOn w:val="BodyText"/>
    <w:rsid w:val="00530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001"/>
    <w:pPr>
      <w:numPr>
        <w:numId w:val="4"/>
      </w:numPr>
    </w:pPr>
  </w:style>
  <w:style w:type="paragraph" w:styleId="ListContinue2">
    <w:name w:val="List Continue 2"/>
    <w:basedOn w:val="List2"/>
    <w:rsid w:val="00530001"/>
    <w:pPr>
      <w:ind w:firstLine="0"/>
    </w:pPr>
  </w:style>
  <w:style w:type="paragraph" w:styleId="ListContinue3">
    <w:name w:val="List Continue 3"/>
    <w:basedOn w:val="List3"/>
    <w:rsid w:val="00530001"/>
    <w:pPr>
      <w:ind w:left="1021" w:firstLine="0"/>
    </w:pPr>
  </w:style>
  <w:style w:type="paragraph" w:styleId="ListContinue4">
    <w:name w:val="List Continue 4"/>
    <w:basedOn w:val="List4"/>
    <w:rsid w:val="00530001"/>
    <w:pPr>
      <w:ind w:firstLine="0"/>
    </w:pPr>
  </w:style>
  <w:style w:type="paragraph" w:styleId="ListContinue5">
    <w:name w:val="List Continue 5"/>
    <w:basedOn w:val="List5"/>
    <w:rsid w:val="00530001"/>
    <w:pPr>
      <w:ind w:firstLine="0"/>
    </w:pPr>
  </w:style>
  <w:style w:type="paragraph" w:styleId="ListNumber3">
    <w:name w:val="List Number 3"/>
    <w:basedOn w:val="List3"/>
    <w:rsid w:val="00530001"/>
    <w:pPr>
      <w:numPr>
        <w:numId w:val="5"/>
      </w:numPr>
    </w:pPr>
  </w:style>
  <w:style w:type="paragraph" w:styleId="ListNumber4">
    <w:name w:val="List Number 4"/>
    <w:basedOn w:val="List4"/>
    <w:rsid w:val="00530001"/>
    <w:pPr>
      <w:numPr>
        <w:numId w:val="6"/>
      </w:numPr>
    </w:pPr>
  </w:style>
  <w:style w:type="paragraph" w:styleId="ListNumber5">
    <w:name w:val="List Number 5"/>
    <w:basedOn w:val="List5"/>
    <w:rsid w:val="00530001"/>
    <w:pPr>
      <w:numPr>
        <w:numId w:val="7"/>
      </w:numPr>
    </w:pPr>
  </w:style>
  <w:style w:type="paragraph" w:styleId="BlockText">
    <w:name w:val="Block Text"/>
    <w:basedOn w:val="Normal"/>
    <w:rsid w:val="00530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001"/>
    <w:rPr>
      <w:sz w:val="16"/>
      <w:vertAlign w:val="superscript"/>
    </w:rPr>
  </w:style>
  <w:style w:type="character" w:customStyle="1" w:styleId="Symbols">
    <w:name w:val="Symbols"/>
    <w:basedOn w:val="DefaultParagraphFont"/>
    <w:rsid w:val="00530001"/>
    <w:rPr>
      <w:rFonts w:ascii="Symbol" w:hAnsi="Symbol"/>
    </w:rPr>
  </w:style>
  <w:style w:type="character" w:customStyle="1" w:styleId="MenuOptions">
    <w:name w:val="Menu Options"/>
    <w:basedOn w:val="DefaultParagraphFont"/>
    <w:rsid w:val="00530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001"/>
    <w:rPr>
      <w:b/>
    </w:rPr>
  </w:style>
  <w:style w:type="character" w:customStyle="1" w:styleId="Underlined">
    <w:name w:val="Underlined"/>
    <w:basedOn w:val="DefaultParagraphFont"/>
    <w:rsid w:val="00530001"/>
    <w:rPr>
      <w:u w:val="single"/>
    </w:rPr>
  </w:style>
  <w:style w:type="paragraph" w:customStyle="1" w:styleId="TableBodyTextRight">
    <w:name w:val="Table Body Text Right"/>
    <w:basedOn w:val="TableBodyText"/>
    <w:rsid w:val="00530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001"/>
    <w:rPr>
      <w:sz w:val="18"/>
    </w:rPr>
  </w:style>
  <w:style w:type="paragraph" w:customStyle="1" w:styleId="BodySmallRight">
    <w:name w:val="Body Small Right"/>
    <w:basedOn w:val="BodyTextRight"/>
    <w:rsid w:val="00530001"/>
    <w:rPr>
      <w:sz w:val="18"/>
      <w:szCs w:val="18"/>
    </w:rPr>
  </w:style>
  <w:style w:type="paragraph" w:customStyle="1" w:styleId="MarginEdition">
    <w:name w:val="Margin Edition"/>
    <w:basedOn w:val="MarginNote"/>
    <w:rsid w:val="00530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001"/>
    <w:rPr>
      <w:sz w:val="2"/>
      <w:szCs w:val="2"/>
    </w:rPr>
  </w:style>
  <w:style w:type="character" w:customStyle="1" w:styleId="Small">
    <w:name w:val="Small"/>
    <w:basedOn w:val="DefaultParagraphFont"/>
    <w:rsid w:val="00530001"/>
    <w:rPr>
      <w:sz w:val="16"/>
    </w:rPr>
  </w:style>
  <w:style w:type="paragraph" w:customStyle="1" w:styleId="WideTable">
    <w:name w:val="Wide Table"/>
    <w:basedOn w:val="Normal"/>
    <w:rsid w:val="00530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001"/>
  </w:style>
  <w:style w:type="paragraph" w:styleId="Quote">
    <w:name w:val="Quote"/>
    <w:basedOn w:val="Heading1"/>
    <w:link w:val="QuoteChar"/>
    <w:qFormat/>
    <w:rsid w:val="00530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001"/>
    <w:pPr>
      <w:pageBreakBefore/>
    </w:pPr>
  </w:style>
  <w:style w:type="paragraph" w:customStyle="1" w:styleId="Border">
    <w:name w:val="Border"/>
    <w:basedOn w:val="Normal"/>
    <w:qFormat/>
    <w:rsid w:val="00530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001"/>
    <w:rPr>
      <w:u w:val="single"/>
    </w:rPr>
  </w:style>
  <w:style w:type="character" w:customStyle="1" w:styleId="BoldandItalics">
    <w:name w:val="Bold and Italics"/>
    <w:qFormat/>
    <w:rsid w:val="00530001"/>
    <w:rPr>
      <w:b/>
      <w:i/>
      <w:u w:val="none"/>
    </w:rPr>
  </w:style>
  <w:style w:type="paragraph" w:styleId="BalloonText">
    <w:name w:val="Balloon Text"/>
    <w:basedOn w:val="Normal"/>
    <w:link w:val="BalloonTextChar"/>
    <w:rsid w:val="00530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001"/>
    <w:pPr>
      <w:spacing w:before="0" w:after="0"/>
    </w:pPr>
  </w:style>
  <w:style w:type="paragraph" w:customStyle="1" w:styleId="BodyTextBold">
    <w:name w:val="Body Text Bold"/>
    <w:basedOn w:val="BodyText"/>
    <w:qFormat/>
    <w:rsid w:val="00530001"/>
    <w:rPr>
      <w:b/>
    </w:rPr>
  </w:style>
  <w:style w:type="character" w:styleId="Hyperlink">
    <w:name w:val="Hyperlink"/>
    <w:basedOn w:val="DefaultParagraphFont"/>
    <w:uiPriority w:val="99"/>
    <w:unhideWhenUsed/>
    <w:rsid w:val="008E2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4766</Characters>
  <Application>Microsoft Office Word</Application>
  <DocSecurity>0</DocSecurity>
  <Lines>116</Lines>
  <Paragraphs>90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TAEASS412 Assess competence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