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692" w:rsidP="007106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TAEASS404 Assess competence in an online environment</w:t>
      </w:r>
      <w:r>
        <w:fldChar w:fldCharType="end"/>
      </w:r>
    </w:p>
    <w:p w:rsidR="00710692" w:rsidP="00710692">
      <w:pPr>
        <w:pStyle w:val="Version"/>
        <w:sectPr w:rsidSect="00092D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DCB" w:rsidP="00092DCB">
      <w:pPr>
        <w:pStyle w:val="SuperHeading"/>
      </w:pPr>
      <w:r w:rsidRPr="00092DCB">
        <w:t>Assessment Requirements for TAEASS404 Assess competence in an online environment</w:t>
      </w:r>
    </w:p>
    <w:p w:rsidR="00000000" w:rsidRPr="00092DCB" w:rsidP="00092DCB">
      <w:pPr>
        <w:pStyle w:val="Heading1"/>
      </w:pPr>
      <w:bookmarkStart w:id="1" w:name="O_1234901"/>
      <w:bookmarkEnd w:id="1"/>
      <w:r w:rsidRPr="00092D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92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CB" w:rsidP="00092DCB">
            <w:pPr>
              <w:pStyle w:val="BodyText"/>
            </w:pPr>
            <w:r w:rsidRPr="00092DC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CB">
            <w:pPr>
              <w:pStyle w:val="BodyText"/>
              <w:rPr>
                <w:lang w:val="en-NZ"/>
              </w:rPr>
            </w:pPr>
            <w:r w:rsidRPr="00092DCB">
              <w:rPr>
                <w:rStyle w:val="SpecialBold"/>
              </w:rPr>
              <w:t>Comments</w:t>
            </w:r>
          </w:p>
        </w:tc>
      </w:tr>
      <w:tr w:rsidTr="00092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DCB">
            <w:pPr>
              <w:pStyle w:val="BodyText"/>
              <w:rPr>
                <w:lang w:val="en-NZ"/>
              </w:rPr>
            </w:pPr>
            <w:r w:rsidRPr="00092DC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DCB" w:rsidP="00092DCB">
            <w:pPr>
              <w:pStyle w:val="BodyText"/>
            </w:pPr>
            <w:r w:rsidRPr="00092DCB">
              <w:t>This version first released with the TAE Training and Education Training Package Version 4.0.</w:t>
            </w:r>
          </w:p>
          <w:p w:rsidR="00000000" w:rsidRPr="00092DCB" w:rsidP="00092DCB">
            <w:pPr>
              <w:pStyle w:val="BodyText"/>
            </w:pPr>
            <w:r w:rsidRPr="00092DCB">
              <w:t>Newly creat</w:t>
            </w:r>
            <w:r w:rsidRPr="00092DCB">
              <w:t>ed unit.</w:t>
            </w:r>
          </w:p>
        </w:tc>
      </w:tr>
    </w:tbl>
    <w:p w:rsidR="00000000" w:rsidRPr="00092DCB" w:rsidP="00092DCB">
      <w:pPr>
        <w:pStyle w:val="BodyText"/>
      </w:pPr>
    </w:p>
    <w:p w:rsidR="00000000" w:rsidRPr="00092DCB" w:rsidP="00092DCB">
      <w:pPr>
        <w:pStyle w:val="AllowPageBreak"/>
      </w:pPr>
    </w:p>
    <w:p w:rsidR="00000000" w:rsidRPr="00092DCB" w:rsidP="00092DCB">
      <w:pPr>
        <w:pStyle w:val="Heading1"/>
      </w:pPr>
      <w:bookmarkStart w:id="2" w:name="O_1234902"/>
      <w:bookmarkEnd w:id="2"/>
      <w:r w:rsidRPr="00092DCB">
        <w:t>Performance Evidence</w:t>
      </w:r>
    </w:p>
    <w:p w:rsidR="00000000" w:rsidRPr="00092DCB" w:rsidP="00710692">
      <w:pPr>
        <w:pStyle w:val="BodyText"/>
      </w:pPr>
      <w:r w:rsidRPr="00092DCB">
        <w:t>The candidate must demonstrate the ability to complete the tasks outlined in the elements, performance criteria and foundation skills of this unit, including evidence of the ability to:</w:t>
      </w:r>
    </w:p>
    <w:p w:rsidR="00000000" w:rsidRPr="00092DCB" w:rsidP="00092DCB">
      <w:pPr>
        <w:pStyle w:val="ListBullet"/>
      </w:pPr>
      <w:r w:rsidRPr="00092DCB">
        <w:t>conduct 2 online a</w:t>
      </w:r>
      <w:r w:rsidRPr="00092DCB">
        <w:t>ssessment processes against at least 1 entire or partial unit of competency from a nationally recognised training package or accredited course:</w:t>
      </w:r>
    </w:p>
    <w:p w:rsidR="00000000" w:rsidRPr="00092DCB" w:rsidP="00092DCB">
      <w:pPr>
        <w:pStyle w:val="ListBullet"/>
      </w:pPr>
      <w:r w:rsidRPr="00092DCB">
        <w:t>1 process being asynchronous, for at least 3 candidates</w:t>
      </w:r>
    </w:p>
    <w:p w:rsidR="00000000" w:rsidRPr="00092DCB" w:rsidP="00092DCB">
      <w:pPr>
        <w:pStyle w:val="ListBullet"/>
      </w:pPr>
      <w:r w:rsidRPr="00092DCB">
        <w:t>1 process being synchronous, for at least 3 candidates attending an online assessment session at the same time</w:t>
      </w:r>
    </w:p>
    <w:p w:rsidR="00000000" w:rsidRPr="00092DCB" w:rsidP="00092DCB">
      <w:pPr>
        <w:pStyle w:val="ListBullet"/>
      </w:pPr>
      <w:r w:rsidRPr="00092DCB">
        <w:t>review above online assessment processes and identify opportunities for improvement.</w:t>
      </w:r>
    </w:p>
    <w:p w:rsidR="00000000" w:rsidRPr="00092DCB" w:rsidP="00092DCB">
      <w:pPr>
        <w:pStyle w:val="BodyText"/>
      </w:pPr>
    </w:p>
    <w:p w:rsidR="00000000" w:rsidRPr="00092DCB" w:rsidP="00710692">
      <w:pPr>
        <w:pStyle w:val="BodyText"/>
      </w:pPr>
      <w:r w:rsidRPr="00092DCB">
        <w:t>In the course of the above, the candidate must:</w:t>
      </w:r>
    </w:p>
    <w:p w:rsidR="00000000" w:rsidRPr="00092DCB" w:rsidP="00092DCB">
      <w:pPr>
        <w:pStyle w:val="ListBullet"/>
      </w:pPr>
      <w:r w:rsidRPr="00092DCB">
        <w:t>provide cl</w:t>
      </w:r>
      <w:r w:rsidRPr="00092DCB">
        <w:t>ear instructions of the assessment process to each candidate, including in relation to technology requirements</w:t>
      </w:r>
    </w:p>
    <w:p w:rsidR="00000000" w:rsidRPr="00092DCB" w:rsidP="00092DCB">
      <w:pPr>
        <w:pStyle w:val="ListBullet"/>
      </w:pPr>
      <w:r w:rsidRPr="00092DCB">
        <w:t>conduct assessment process in compliance with the principles of assessment, rules of evidence, organisational policies and procedures, and regula</w:t>
      </w:r>
      <w:r w:rsidRPr="00092DCB">
        <w:t>tory requirements</w:t>
      </w:r>
    </w:p>
    <w:p w:rsidR="00000000" w:rsidRPr="00092DCB" w:rsidP="00092DCB">
      <w:pPr>
        <w:pStyle w:val="ListBullet"/>
      </w:pPr>
      <w:r w:rsidRPr="00092DCB">
        <w:t>ensure that online assessment activities and digital tools used in the assessment process reflect training requirements, assessment conditions, industry context, and candidate needs</w:t>
      </w:r>
    </w:p>
    <w:p w:rsidR="00000000" w:rsidRPr="00092DCB" w:rsidP="00092DCB">
      <w:pPr>
        <w:pStyle w:val="ListBullet"/>
      </w:pPr>
      <w:r w:rsidRPr="00092DCB">
        <w:t>review evidence submitted online and make assessment dec</w:t>
      </w:r>
      <w:r w:rsidRPr="00092DCB">
        <w:t>isions</w:t>
      </w:r>
    </w:p>
    <w:p w:rsidR="00000000" w:rsidRPr="00092DCB" w:rsidP="00092DCB">
      <w:pPr>
        <w:pStyle w:val="ListBullet"/>
      </w:pPr>
      <w:r w:rsidRPr="00092DCB">
        <w:t>communicate assessment decisions to candidates in relation to their assessment completion, seeking and providing feedback electronically on at least one occasion</w:t>
      </w:r>
    </w:p>
    <w:p w:rsidR="00000000" w:rsidRPr="00092DCB" w:rsidP="00092DCB">
      <w:pPr>
        <w:pStyle w:val="ListBullet"/>
      </w:pPr>
      <w:r w:rsidRPr="00092DCB">
        <w:t>ensure required records of assessments, candidate data and assessment outcomes are main</w:t>
      </w:r>
      <w:r w:rsidRPr="00092DCB">
        <w:t>tained according to online assessment system and organisational, regulatory and ethical requirements.</w:t>
      </w:r>
    </w:p>
    <w:p w:rsidR="00000000" w:rsidRPr="00092DCB" w:rsidP="00092DCB">
      <w:pPr>
        <w:pStyle w:val="AllowPageBreak"/>
      </w:pPr>
    </w:p>
    <w:p w:rsidR="00000000" w:rsidRPr="00092DCB" w:rsidP="00092DCB">
      <w:pPr>
        <w:pStyle w:val="Heading1"/>
      </w:pPr>
      <w:bookmarkStart w:id="3" w:name="O_1234903"/>
      <w:bookmarkEnd w:id="3"/>
      <w:r w:rsidRPr="00092DCB">
        <w:t>Knowledge Evidence</w:t>
      </w:r>
    </w:p>
    <w:p w:rsidR="00000000" w:rsidRPr="00092DCB" w:rsidP="00710692">
      <w:pPr>
        <w:pStyle w:val="BodyText"/>
      </w:pPr>
      <w:r w:rsidRPr="00092DCB">
        <w:t>The candidate must be able to demonstrate knowledge to complete the tasks outlined in the elements, performance crit</w:t>
      </w:r>
      <w:r w:rsidRPr="00092DCB">
        <w:t xml:space="preserve">eria and foundation skills of this unit, including knowledge of: </w:t>
      </w:r>
    </w:p>
    <w:p w:rsidR="00000000" w:rsidRPr="00092DCB" w:rsidP="00092DCB">
      <w:pPr>
        <w:pStyle w:val="ListBullet"/>
      </w:pPr>
      <w:r w:rsidRPr="00092DCB">
        <w:t>regulatory requirements relating to online assessments described in the performance evidence, including:</w:t>
      </w:r>
    </w:p>
    <w:p w:rsidR="00000000" w:rsidRPr="00092DCB" w:rsidP="00092DCB">
      <w:pPr>
        <w:pStyle w:val="ListBullet2"/>
      </w:pPr>
      <w:r w:rsidRPr="00092DCB">
        <w:t>principles of assessment and rules of evidence</w:t>
      </w:r>
    </w:p>
    <w:p w:rsidR="00000000" w:rsidRPr="00092DCB" w:rsidP="00092DCB">
      <w:pPr>
        <w:pStyle w:val="ListBullet2"/>
      </w:pPr>
      <w:r w:rsidRPr="00092DCB">
        <w:t>ethical, privacy and confidentiality requirements associated with online assessment context and process</w:t>
      </w:r>
    </w:p>
    <w:p w:rsidR="00000000" w:rsidRPr="00092DCB" w:rsidP="00092DCB">
      <w:pPr>
        <w:pStyle w:val="ListBullet"/>
      </w:pPr>
      <w:r w:rsidRPr="00092DCB">
        <w:t>organisational policies and procedures relating to online assessment, including for:</w:t>
      </w:r>
    </w:p>
    <w:p w:rsidR="00000000" w:rsidRPr="00092DCB" w:rsidP="00092DCB">
      <w:pPr>
        <w:pStyle w:val="ListBullet2"/>
      </w:pPr>
      <w:r w:rsidRPr="00092DCB">
        <w:t>timely, accurate and sufficient records of outcomes and data</w:t>
      </w:r>
    </w:p>
    <w:p w:rsidR="00000000" w:rsidRPr="00092DCB" w:rsidP="00092DCB">
      <w:pPr>
        <w:pStyle w:val="ListBullet2"/>
      </w:pPr>
      <w:r w:rsidRPr="00092DCB">
        <w:t>addr</w:t>
      </w:r>
      <w:r w:rsidRPr="00092DCB">
        <w:t>essing technological challenges or difficulties that arise during online assessment</w:t>
      </w:r>
    </w:p>
    <w:p w:rsidR="00000000" w:rsidRPr="00092DCB" w:rsidP="00092DCB">
      <w:pPr>
        <w:pStyle w:val="ListBullet2"/>
      </w:pPr>
      <w:r w:rsidRPr="00092DCB">
        <w:t>candidate support requirements, including language, literacy, numeracy and digital (LLND) needs and access to relevant technologies</w:t>
      </w:r>
    </w:p>
    <w:p w:rsidR="00000000" w:rsidRPr="00092DCB" w:rsidP="00092DCB">
      <w:pPr>
        <w:pStyle w:val="ListBullet"/>
      </w:pPr>
      <w:r w:rsidRPr="00092DCB">
        <w:t>key features of plan for online assessm</w:t>
      </w:r>
      <w:r w:rsidRPr="00092DCB">
        <w:t>ent, including:</w:t>
      </w:r>
    </w:p>
    <w:p w:rsidR="00000000" w:rsidRPr="00092DCB" w:rsidP="00092DCB">
      <w:pPr>
        <w:pStyle w:val="ListBullet2"/>
      </w:pPr>
      <w:r w:rsidRPr="00092DCB">
        <w:t>instructions and information that support valid and accessible online assessments</w:t>
      </w:r>
    </w:p>
    <w:p w:rsidR="00000000" w:rsidRPr="00092DCB" w:rsidP="00092DCB">
      <w:pPr>
        <w:pStyle w:val="ListBullet2"/>
      </w:pPr>
      <w:r w:rsidRPr="00092DCB">
        <w:t>assessment activities and digital tools that address assessment requirements of unit and provide a safe and inclusive environment for candidates</w:t>
      </w:r>
    </w:p>
    <w:p w:rsidR="00000000" w:rsidRPr="00092DCB" w:rsidP="00092DCB">
      <w:pPr>
        <w:pStyle w:val="ListBullet2"/>
      </w:pPr>
      <w:r w:rsidRPr="00092DCB">
        <w:t>security pri</w:t>
      </w:r>
      <w:r w:rsidRPr="00092DCB">
        <w:t>nciples and procedures that apply to assessment environments, including authenticating candidate identity and supervising assessments, and required associated software</w:t>
      </w:r>
    </w:p>
    <w:p w:rsidR="00000000" w:rsidRPr="00092DCB" w:rsidP="00092DCB">
      <w:pPr>
        <w:pStyle w:val="ListBullet2"/>
      </w:pPr>
      <w:r w:rsidRPr="00092DCB">
        <w:t>methods and tools to record and measure candidate performance and knowledge</w:t>
      </w:r>
    </w:p>
    <w:p w:rsidR="00000000" w:rsidRPr="00092DCB" w:rsidP="00092DCB">
      <w:pPr>
        <w:pStyle w:val="ListBullet2"/>
      </w:pPr>
      <w:r w:rsidRPr="00092DCB">
        <w:t>expected sta</w:t>
      </w:r>
      <w:r w:rsidRPr="00092DCB">
        <w:t>ndards of candidate conduct</w:t>
      </w:r>
    </w:p>
    <w:p w:rsidR="00000000" w:rsidRPr="00092DCB" w:rsidP="00092DCB">
      <w:pPr>
        <w:pStyle w:val="ListBullet2"/>
      </w:pPr>
      <w:r w:rsidRPr="00092DCB">
        <w:t>formats of evidence suitable for determining competence</w:t>
      </w:r>
    </w:p>
    <w:p w:rsidR="00000000" w:rsidRPr="00092DCB" w:rsidP="00092DCB">
      <w:pPr>
        <w:pStyle w:val="ListBullet"/>
      </w:pPr>
      <w:r w:rsidRPr="00092DCB">
        <w:t>strategies and processes for identifying and organising specialist support for candidates, including support relating to:</w:t>
      </w:r>
    </w:p>
    <w:p w:rsidR="00000000" w:rsidRPr="00092DCB" w:rsidP="00092DCB">
      <w:pPr>
        <w:pStyle w:val="ListBullet2"/>
      </w:pPr>
      <w:r w:rsidRPr="00092DCB">
        <w:t>foundation skills, including language, literacy,</w:t>
      </w:r>
      <w:r w:rsidRPr="00092DCB">
        <w:t xml:space="preserve"> numeracy, digital and employment skills</w:t>
      </w:r>
    </w:p>
    <w:p w:rsidR="00000000" w:rsidRPr="00092DCB" w:rsidP="00092DCB">
      <w:pPr>
        <w:pStyle w:val="ListBullet2"/>
      </w:pPr>
      <w:r w:rsidRPr="00092DCB">
        <w:t>technical needs, including software and hardware</w:t>
      </w:r>
    </w:p>
    <w:p w:rsidR="00000000" w:rsidRPr="00092DCB" w:rsidP="00092DCB">
      <w:pPr>
        <w:pStyle w:val="ListBullet"/>
      </w:pPr>
      <w:r w:rsidRPr="00092DCB">
        <w:t>key features and functions of technology, tools and digital resources to be used in online assessment, including of:</w:t>
      </w:r>
    </w:p>
    <w:p w:rsidR="00000000" w:rsidRPr="00092DCB" w:rsidP="00092DCB">
      <w:pPr>
        <w:pStyle w:val="ListBullet2"/>
      </w:pPr>
      <w:r w:rsidRPr="00092DCB">
        <w:t>learning management system (LMS) and/or communication channel</w:t>
      </w:r>
    </w:p>
    <w:p w:rsidR="00000000" w:rsidRPr="00092DCB" w:rsidP="00092DCB">
      <w:pPr>
        <w:pStyle w:val="ListBullet2"/>
      </w:pPr>
      <w:r w:rsidRPr="00092DCB">
        <w:t>electronic applications</w:t>
      </w:r>
    </w:p>
    <w:p w:rsidR="00000000" w:rsidRPr="00092DCB" w:rsidP="00092DCB">
      <w:pPr>
        <w:pStyle w:val="ListBullet2"/>
      </w:pPr>
      <w:r w:rsidRPr="00092DCB">
        <w:t>hardware and digital tools</w:t>
      </w:r>
    </w:p>
    <w:p w:rsidR="00000000" w:rsidRPr="00092DCB" w:rsidP="00092DCB">
      <w:pPr>
        <w:pStyle w:val="ListBullet"/>
      </w:pPr>
      <w:r w:rsidRPr="00092DCB">
        <w:t>practices and methods that promote safe and inclusive online assessment</w:t>
      </w:r>
    </w:p>
    <w:p w:rsidR="00000000" w:rsidRPr="00092DCB" w:rsidP="00092DCB">
      <w:pPr>
        <w:pStyle w:val="ListBullet"/>
      </w:pPr>
      <w:r w:rsidRPr="00092DCB">
        <w:t>challenges and risks of conducting assessment in an online environment</w:t>
      </w:r>
      <w:r w:rsidRPr="00092DCB">
        <w:t>, including cyber security risks and authentication of identity</w:t>
      </w:r>
    </w:p>
    <w:p w:rsidR="00000000" w:rsidRPr="00092DCB" w:rsidP="00092DCB">
      <w:pPr>
        <w:pStyle w:val="ListBullet"/>
      </w:pPr>
      <w:r w:rsidRPr="00092DCB">
        <w:t>work health and safety (WHS) requirements relating to own role.</w:t>
      </w:r>
    </w:p>
    <w:p w:rsidR="00000000" w:rsidRPr="00092DCB" w:rsidP="00092DCB">
      <w:pPr>
        <w:pStyle w:val="AllowPageBreak"/>
      </w:pPr>
    </w:p>
    <w:p w:rsidR="00000000" w:rsidRPr="00092DCB" w:rsidP="00092DCB">
      <w:pPr>
        <w:pStyle w:val="Heading1"/>
      </w:pPr>
      <w:bookmarkStart w:id="4" w:name="O_1234904"/>
      <w:bookmarkEnd w:id="4"/>
      <w:r w:rsidRPr="00092DCB">
        <w:t>Assessment Conditions</w:t>
      </w:r>
    </w:p>
    <w:p w:rsidR="00000000" w:rsidRPr="00092DCB" w:rsidP="00710692">
      <w:pPr>
        <w:pStyle w:val="BodyText"/>
      </w:pPr>
      <w:r w:rsidRPr="00092DCB">
        <w:t>Skills in this unit must be demonstrated in a real or simulated online assessment envir</w:t>
      </w:r>
      <w:r w:rsidRPr="00092DCB">
        <w:t>onment where the conditions require use of electronic applications and communication channels that facilitate the online assessment. Evidence gathered for assessment may include that collected in real time or via a submitted recording.</w:t>
      </w:r>
    </w:p>
    <w:p w:rsidR="00000000" w:rsidRPr="00092DCB" w:rsidP="00710692">
      <w:pPr>
        <w:pStyle w:val="BodyText"/>
      </w:pPr>
      <w:r w:rsidRPr="00092DCB">
        <w:t>This includes access</w:t>
      </w:r>
      <w:r w:rsidRPr="00092DCB">
        <w:t xml:space="preserve"> to:</w:t>
      </w:r>
    </w:p>
    <w:p w:rsidR="00000000" w:rsidRPr="00092DCB" w:rsidP="00092DCB">
      <w:pPr>
        <w:pStyle w:val="ListBullet"/>
      </w:pPr>
      <w:r w:rsidRPr="00092DCB">
        <w:t>candidates in an online assessment context</w:t>
      </w:r>
    </w:p>
    <w:p w:rsidR="00000000" w:rsidRPr="00092DCB" w:rsidP="00092DCB">
      <w:pPr>
        <w:pStyle w:val="ListBullet"/>
      </w:pPr>
      <w:r w:rsidRPr="00092DCB">
        <w:t>required internet connection and technology infrastructure</w:t>
      </w:r>
    </w:p>
    <w:p w:rsidR="00000000" w:rsidRPr="00092DCB" w:rsidP="00092DCB">
      <w:pPr>
        <w:pStyle w:val="ListBullet"/>
      </w:pPr>
      <w:r w:rsidRPr="00092DCB">
        <w:t>required software and hardware, including digital tools and online resources and materials.</w:t>
      </w:r>
    </w:p>
    <w:p w:rsidR="00000000" w:rsidRPr="00092DCB" w:rsidP="00710692">
      <w:pPr>
        <w:pStyle w:val="BodyText"/>
      </w:pPr>
      <w:r w:rsidRPr="00092DCB">
        <w:t>Assessors of this unit must satisfy the requirements for assessors in applicable vocational education and training legislation, frameworks and/or standards.</w:t>
      </w:r>
    </w:p>
    <w:p w:rsidR="00000000" w:rsidRPr="00092DCB" w:rsidP="00092DCB">
      <w:pPr>
        <w:pStyle w:val="Heading1"/>
      </w:pPr>
      <w:bookmarkStart w:id="5" w:name="O_1234907"/>
      <w:bookmarkEnd w:id="5"/>
      <w:r w:rsidRPr="00092DCB">
        <w:t>Links</w:t>
      </w:r>
    </w:p>
    <w:p w:rsidR="00000000" w:rsidRPr="00092DCB" w:rsidP="00710692">
      <w:pPr>
        <w:pStyle w:val="BodyText"/>
      </w:pPr>
      <w:r w:rsidRPr="00092D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5386A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092DCB" w:rsidP="00092DCB"/>
    <w:sectPr w:rsidSect="00092D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CB" w:rsidRPr="00710692" w:rsidP="007106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92" w:rsidP="00092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692" w:rsidP="00092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0692" w:rsidP="00092D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DCB" w:rsidRPr="00710692" w:rsidP="007106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92" w:rsidRPr="002D2AF8" w:rsidP="00092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TAEASS404 Assess competence in an online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10692" w:rsidP="00092D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30BF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16B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0C4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D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D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D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D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D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D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D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D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D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D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D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DCB"/>
  </w:style>
  <w:style w:type="character" w:customStyle="1" w:styleId="Heading1Char">
    <w:name w:val="Heading 1 Char"/>
    <w:basedOn w:val="DefaultParagraphFont"/>
    <w:link w:val="Heading1"/>
    <w:rsid w:val="00092D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D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D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D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DCB"/>
    <w:rPr>
      <w:b/>
      <w:spacing w:val="0"/>
    </w:rPr>
  </w:style>
  <w:style w:type="paragraph" w:styleId="ListBullet2">
    <w:name w:val="List Bullet 2"/>
    <w:basedOn w:val="List2"/>
    <w:rsid w:val="00092D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2D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D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D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D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D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D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D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D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D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D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D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D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D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D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D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D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D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D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D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D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D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2D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D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D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D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D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D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D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D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D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DCB"/>
    <w:rPr>
      <w:i/>
    </w:rPr>
  </w:style>
  <w:style w:type="paragraph" w:styleId="Caption">
    <w:name w:val="caption"/>
    <w:basedOn w:val="BodyText"/>
    <w:next w:val="Normal"/>
    <w:qFormat/>
    <w:rsid w:val="00092D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D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D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DCB"/>
  </w:style>
  <w:style w:type="paragraph" w:styleId="TableofFigures">
    <w:name w:val="table of figures"/>
    <w:basedOn w:val="Normal"/>
    <w:next w:val="Normal"/>
    <w:semiHidden/>
    <w:rsid w:val="00092D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D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2DCB"/>
    <w:rPr>
      <w:rFonts w:ascii="Wingdings" w:hAnsi="Wingdings"/>
    </w:rPr>
  </w:style>
  <w:style w:type="paragraph" w:customStyle="1" w:styleId="TableHeading">
    <w:name w:val="Table Heading"/>
    <w:basedOn w:val="HeadingBase"/>
    <w:rsid w:val="00092D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DCB"/>
    <w:rPr>
      <w:color w:val="0033CC"/>
      <w:u w:val="none"/>
    </w:rPr>
  </w:style>
  <w:style w:type="paragraph" w:customStyle="1" w:styleId="BodyTextRight">
    <w:name w:val="Body Text Right"/>
    <w:basedOn w:val="BodyText"/>
    <w:rsid w:val="00092D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D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D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D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D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D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DCB"/>
    <w:rPr>
      <w:sz w:val="32"/>
    </w:rPr>
  </w:style>
  <w:style w:type="paragraph" w:customStyle="1" w:styleId="HeadingProcedure">
    <w:name w:val="Heading Procedure"/>
    <w:basedOn w:val="HeadingBase"/>
    <w:next w:val="Normal"/>
    <w:rsid w:val="00092D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DCB"/>
    <w:pPr>
      <w:spacing w:before="60" w:after="60"/>
    </w:pPr>
  </w:style>
  <w:style w:type="paragraph" w:styleId="ListContinue">
    <w:name w:val="List Continue"/>
    <w:basedOn w:val="List"/>
    <w:rsid w:val="00092DCB"/>
    <w:pPr>
      <w:ind w:firstLine="0"/>
    </w:pPr>
  </w:style>
  <w:style w:type="paragraph" w:customStyle="1" w:styleId="ListNote">
    <w:name w:val="List Note"/>
    <w:basedOn w:val="List"/>
    <w:rsid w:val="00092D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D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D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DCB"/>
    <w:rPr>
      <w:rFonts w:ascii="Courier New" w:hAnsi="Courier New"/>
    </w:rPr>
  </w:style>
  <w:style w:type="paragraph" w:customStyle="1" w:styleId="NoteBullet">
    <w:name w:val="Note Bullet"/>
    <w:basedOn w:val="Note"/>
    <w:rsid w:val="00092D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D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D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D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D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2D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D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DCB"/>
    <w:rPr>
      <w:b/>
      <w:smallCaps/>
    </w:rPr>
  </w:style>
  <w:style w:type="paragraph" w:customStyle="1" w:styleId="TableListNumber">
    <w:name w:val="Table List Number"/>
    <w:basedOn w:val="ListNumber"/>
    <w:rsid w:val="00092D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D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DCB"/>
    <w:pPr>
      <w:numPr>
        <w:numId w:val="9"/>
      </w:numPr>
    </w:pPr>
  </w:style>
  <w:style w:type="paragraph" w:customStyle="1" w:styleId="ListAlpha2">
    <w:name w:val="List Alpha 2"/>
    <w:basedOn w:val="List2"/>
    <w:rsid w:val="00092DCB"/>
    <w:pPr>
      <w:numPr>
        <w:numId w:val="8"/>
      </w:numPr>
    </w:pPr>
  </w:style>
  <w:style w:type="paragraph" w:styleId="List2">
    <w:name w:val="List 2"/>
    <w:basedOn w:val="BodyText"/>
    <w:rsid w:val="00092D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D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D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D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D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D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2DCB"/>
    <w:pPr>
      <w:numPr>
        <w:numId w:val="4"/>
      </w:numPr>
    </w:pPr>
  </w:style>
  <w:style w:type="paragraph" w:styleId="ListContinue2">
    <w:name w:val="List Continue 2"/>
    <w:basedOn w:val="List2"/>
    <w:rsid w:val="00092DCB"/>
    <w:pPr>
      <w:ind w:firstLine="0"/>
    </w:pPr>
  </w:style>
  <w:style w:type="paragraph" w:styleId="ListContinue3">
    <w:name w:val="List Continue 3"/>
    <w:basedOn w:val="List3"/>
    <w:rsid w:val="00092DCB"/>
    <w:pPr>
      <w:ind w:left="1021" w:firstLine="0"/>
    </w:pPr>
  </w:style>
  <w:style w:type="paragraph" w:styleId="ListContinue4">
    <w:name w:val="List Continue 4"/>
    <w:basedOn w:val="List4"/>
    <w:rsid w:val="00092DCB"/>
    <w:pPr>
      <w:ind w:firstLine="0"/>
    </w:pPr>
  </w:style>
  <w:style w:type="paragraph" w:styleId="ListContinue5">
    <w:name w:val="List Continue 5"/>
    <w:basedOn w:val="List5"/>
    <w:rsid w:val="00092DCB"/>
    <w:pPr>
      <w:ind w:firstLine="0"/>
    </w:pPr>
  </w:style>
  <w:style w:type="paragraph" w:styleId="ListNumber3">
    <w:name w:val="List Number 3"/>
    <w:basedOn w:val="List3"/>
    <w:rsid w:val="00092DCB"/>
    <w:pPr>
      <w:numPr>
        <w:numId w:val="5"/>
      </w:numPr>
    </w:pPr>
  </w:style>
  <w:style w:type="paragraph" w:styleId="ListNumber4">
    <w:name w:val="List Number 4"/>
    <w:basedOn w:val="List4"/>
    <w:rsid w:val="00092DCB"/>
    <w:pPr>
      <w:numPr>
        <w:numId w:val="6"/>
      </w:numPr>
    </w:pPr>
  </w:style>
  <w:style w:type="paragraph" w:styleId="ListNumber5">
    <w:name w:val="List Number 5"/>
    <w:basedOn w:val="List5"/>
    <w:rsid w:val="00092DCB"/>
    <w:pPr>
      <w:numPr>
        <w:numId w:val="7"/>
      </w:numPr>
    </w:pPr>
  </w:style>
  <w:style w:type="paragraph" w:styleId="BlockText">
    <w:name w:val="Block Text"/>
    <w:basedOn w:val="Normal"/>
    <w:rsid w:val="00092D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D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DCB"/>
    <w:rPr>
      <w:sz w:val="16"/>
      <w:vertAlign w:val="superscript"/>
    </w:rPr>
  </w:style>
  <w:style w:type="character" w:customStyle="1" w:styleId="Symbols">
    <w:name w:val="Symbols"/>
    <w:basedOn w:val="DefaultParagraphFont"/>
    <w:rsid w:val="00092DCB"/>
    <w:rPr>
      <w:rFonts w:ascii="Symbol" w:hAnsi="Symbol"/>
    </w:rPr>
  </w:style>
  <w:style w:type="character" w:customStyle="1" w:styleId="MenuOptions">
    <w:name w:val="Menu Options"/>
    <w:basedOn w:val="DefaultParagraphFont"/>
    <w:rsid w:val="00092D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DCB"/>
    <w:rPr>
      <w:b/>
    </w:rPr>
  </w:style>
  <w:style w:type="character" w:customStyle="1" w:styleId="Underlined">
    <w:name w:val="Underlined"/>
    <w:basedOn w:val="DefaultParagraphFont"/>
    <w:rsid w:val="00092DCB"/>
    <w:rPr>
      <w:u w:val="single"/>
    </w:rPr>
  </w:style>
  <w:style w:type="paragraph" w:customStyle="1" w:styleId="TableBodyTextRight">
    <w:name w:val="Table Body Text Right"/>
    <w:basedOn w:val="TableBodyText"/>
    <w:rsid w:val="00092D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DCB"/>
    <w:rPr>
      <w:sz w:val="18"/>
    </w:rPr>
  </w:style>
  <w:style w:type="paragraph" w:customStyle="1" w:styleId="BodySmallRight">
    <w:name w:val="Body Small Right"/>
    <w:basedOn w:val="BodyTextRight"/>
    <w:rsid w:val="00092DCB"/>
    <w:rPr>
      <w:sz w:val="18"/>
      <w:szCs w:val="18"/>
    </w:rPr>
  </w:style>
  <w:style w:type="paragraph" w:customStyle="1" w:styleId="MarginEdition">
    <w:name w:val="Margin Edition"/>
    <w:basedOn w:val="MarginNote"/>
    <w:rsid w:val="00092D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DCB"/>
    <w:rPr>
      <w:sz w:val="2"/>
      <w:szCs w:val="2"/>
    </w:rPr>
  </w:style>
  <w:style w:type="character" w:customStyle="1" w:styleId="Small">
    <w:name w:val="Small"/>
    <w:basedOn w:val="DefaultParagraphFont"/>
    <w:rsid w:val="00092DCB"/>
    <w:rPr>
      <w:sz w:val="16"/>
    </w:rPr>
  </w:style>
  <w:style w:type="paragraph" w:customStyle="1" w:styleId="WideTable">
    <w:name w:val="Wide Table"/>
    <w:basedOn w:val="Normal"/>
    <w:rsid w:val="00092D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DCB"/>
  </w:style>
  <w:style w:type="paragraph" w:styleId="Quote">
    <w:name w:val="Quote"/>
    <w:basedOn w:val="Heading1"/>
    <w:link w:val="QuoteChar"/>
    <w:qFormat/>
    <w:rsid w:val="00092D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D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DCB"/>
    <w:pPr>
      <w:pageBreakBefore/>
    </w:pPr>
  </w:style>
  <w:style w:type="paragraph" w:customStyle="1" w:styleId="Border">
    <w:name w:val="Border"/>
    <w:basedOn w:val="Normal"/>
    <w:qFormat/>
    <w:rsid w:val="00092D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D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D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D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D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D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D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D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D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DCB"/>
    <w:rPr>
      <w:u w:val="single"/>
    </w:rPr>
  </w:style>
  <w:style w:type="character" w:customStyle="1" w:styleId="BoldandItalics">
    <w:name w:val="Bold and Italics"/>
    <w:qFormat/>
    <w:rsid w:val="00092DCB"/>
    <w:rPr>
      <w:b/>
      <w:i/>
      <w:u w:val="none"/>
    </w:rPr>
  </w:style>
  <w:style w:type="paragraph" w:styleId="BalloonText">
    <w:name w:val="Balloon Text"/>
    <w:basedOn w:val="Normal"/>
    <w:link w:val="BalloonTextChar"/>
    <w:rsid w:val="00092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D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D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D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D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D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DCB"/>
    <w:pPr>
      <w:spacing w:before="0" w:after="0"/>
    </w:pPr>
  </w:style>
  <w:style w:type="paragraph" w:customStyle="1" w:styleId="BodyTextBold">
    <w:name w:val="Body Text Bold"/>
    <w:basedOn w:val="BodyText"/>
    <w:qFormat/>
    <w:rsid w:val="00092DCB"/>
    <w:rPr>
      <w:b/>
    </w:rPr>
  </w:style>
  <w:style w:type="character" w:styleId="Hyperlink">
    <w:name w:val="Hyperlink"/>
    <w:basedOn w:val="DefaultParagraphFont"/>
    <w:uiPriority w:val="99"/>
    <w:unhideWhenUsed/>
    <w:rsid w:val="007106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4482</Characters>
  <Application>Microsoft Office Word</Application>
  <DocSecurity>0</DocSecurity>
  <Lines>97</Lines>
  <Paragraphs>66</Paragraphs>
  <ScaleCrop>false</ScaleCrop>
  <Company>Author-it Software Corporation Ltd.</Company>
  <LinksUpToDate>false</LinksUpToDate>
  <CharactersWithSpaces>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TAEASS404 Assess competence in an online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