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130" w:rsidP="00B37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TAEASS402 Assess competence</w:t>
      </w:r>
      <w:r>
        <w:fldChar w:fldCharType="end"/>
      </w:r>
    </w:p>
    <w:p w:rsidR="00B37130" w:rsidP="00B37130">
      <w:pPr>
        <w:pStyle w:val="Version"/>
        <w:sectPr w:rsidSect="00AD5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5858" w:rsidP="00AD5858">
      <w:pPr>
        <w:pStyle w:val="SuperHeading"/>
      </w:pPr>
      <w:r w:rsidRPr="00AD5858">
        <w:t>TAEASS402 Assess competence</w:t>
      </w:r>
    </w:p>
    <w:p w:rsidR="00000000" w:rsidRPr="00AD5858" w:rsidP="00AD5858">
      <w:pPr>
        <w:pStyle w:val="Heading1"/>
      </w:pPr>
      <w:bookmarkStart w:id="1" w:name="O_953294"/>
      <w:bookmarkEnd w:id="1"/>
      <w:r w:rsidRPr="00AD58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5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rPr>
                <w:rStyle w:val="SpecialBold"/>
              </w:rPr>
              <w:t>Comments</w:t>
            </w:r>
          </w:p>
        </w:tc>
      </w:tr>
      <w:tr w:rsidTr="00AD5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 xml:space="preserve">Release 2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 xml:space="preserve">This was first released with </w:t>
            </w:r>
            <w:r w:rsidRPr="00AD5858">
              <w:rPr>
                <w:rStyle w:val="Emphasis"/>
              </w:rPr>
              <w:t>TAE Training and Education Training Package Release 2.1.</w:t>
            </w:r>
          </w:p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Minor update to Assessment Conditions.</w:t>
            </w:r>
          </w:p>
        </w:tc>
      </w:tr>
      <w:tr w:rsidTr="00AD5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 xml:space="preserve">This version first released with </w:t>
            </w:r>
            <w:r w:rsidRPr="00AD5858">
              <w:rPr>
                <w:rStyle w:val="Emphasis"/>
              </w:rPr>
              <w:t>TAE Training and Education Training P</w:t>
            </w:r>
            <w:r w:rsidRPr="00AD5858">
              <w:rPr>
                <w:rStyle w:val="Emphasis"/>
              </w:rPr>
              <w:t>ackage Release 2.0.</w:t>
            </w:r>
          </w:p>
        </w:tc>
      </w:tr>
    </w:tbl>
    <w:p w:rsidR="00000000" w:rsidRPr="00AD5858" w:rsidP="00AD5858">
      <w:pPr>
        <w:pStyle w:val="BodyText"/>
      </w:pPr>
    </w:p>
    <w:p w:rsidR="00000000" w:rsidRPr="00AD5858" w:rsidP="00AD5858">
      <w:pPr>
        <w:pStyle w:val="AllowPageBreak"/>
      </w:pPr>
    </w:p>
    <w:p w:rsidR="00000000" w:rsidRPr="00AD5858" w:rsidP="00AD5858">
      <w:pPr>
        <w:pStyle w:val="Heading1"/>
      </w:pPr>
      <w:bookmarkStart w:id="2" w:name="O_953292"/>
      <w:bookmarkEnd w:id="2"/>
      <w:r w:rsidRPr="00AD5858">
        <w:t>Application</w:t>
      </w:r>
    </w:p>
    <w:p w:rsidR="00000000" w:rsidRPr="00AD5858" w:rsidP="00B37130">
      <w:pPr>
        <w:pStyle w:val="BodyText"/>
      </w:pPr>
      <w:r w:rsidRPr="00AD5858">
        <w:t>This unit describes the skills and knowledge required to implement an assessment plan, and gather quality evidence to assess the competence of a candidate using compliant assessment tools.</w:t>
      </w:r>
    </w:p>
    <w:p w:rsidR="00000000" w:rsidRPr="00AD5858" w:rsidP="00B37130">
      <w:pPr>
        <w:pStyle w:val="BodyText"/>
      </w:pPr>
      <w:r w:rsidRPr="00AD5858">
        <w:t>It applies to t</w:t>
      </w:r>
      <w:r w:rsidRPr="00AD5858">
        <w:t>eachers, trainers and assessors in enterprises and registered training organisations (RTOs) and those providing assessment advisory services.</w:t>
      </w:r>
    </w:p>
    <w:p w:rsidR="00B37130" w:rsidP="00B37130">
      <w:pPr>
        <w:pStyle w:val="BodyText"/>
      </w:pPr>
      <w:r w:rsidRPr="00AD5858">
        <w:t>No licensing, legislative or certification requirements apply to this unit at the time of publication.</w:t>
      </w:r>
    </w:p>
    <w:p w:rsidR="00000000" w:rsidRPr="00AD5858" w:rsidP="00AD5858">
      <w:pPr>
        <w:pStyle w:val="Heading1"/>
      </w:pPr>
      <w:bookmarkStart w:id="3" w:name="O_953290"/>
      <w:bookmarkEnd w:id="3"/>
      <w:r w:rsidRPr="00AD5858">
        <w:t>Unit Sector</w:t>
      </w:r>
    </w:p>
    <w:p w:rsidR="00000000" w:rsidRPr="00AD5858" w:rsidP="00B37130">
      <w:pPr>
        <w:pStyle w:val="BodyText"/>
      </w:pPr>
      <w:r w:rsidRPr="00AD5858">
        <w:t>Assessment</w:t>
      </w:r>
    </w:p>
    <w:p w:rsidR="00000000" w:rsidRPr="00AD5858" w:rsidP="00AD5858">
      <w:pPr>
        <w:pStyle w:val="Heading1"/>
      </w:pPr>
      <w:bookmarkStart w:id="4" w:name="O_953288"/>
      <w:bookmarkEnd w:id="4"/>
      <w:r w:rsidRPr="00AD585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D58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rPr>
                <w:rStyle w:val="SpecialBold"/>
              </w:rPr>
              <w:t>PERFORMANCE CRITERIA</w:t>
            </w:r>
          </w:p>
        </w:tc>
      </w:tr>
      <w:tr w:rsidTr="00AD58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8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1. Pr</w:t>
            </w:r>
            <w:r w:rsidRPr="00AD5858">
              <w:t>epare for the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>1.1 Interpret assessment planning documentation and applicable organisational, legal and ethical requirements for conducting the assessment and confirm with the relevant people</w:t>
            </w:r>
          </w:p>
          <w:p w:rsidR="00000000" w:rsidRPr="00AD5858" w:rsidP="00AD5858">
            <w:pPr>
              <w:pStyle w:val="BodyText"/>
            </w:pPr>
            <w:r w:rsidRPr="00AD5858">
              <w:t xml:space="preserve">1.2 Access and interpret units of competency that are </w:t>
            </w:r>
            <w:r w:rsidRPr="00AD5858">
              <w:t xml:space="preserve">to be used as </w:t>
            </w:r>
            <w:r w:rsidRPr="00AD5858">
              <w:t>benchmarks for assessment, and the nominated assessment tools, to confirm the requirements for the evidence to be collected</w:t>
            </w:r>
          </w:p>
          <w:p w:rsidR="00000000" w:rsidRPr="00AD5858" w:rsidP="00AD5858">
            <w:pPr>
              <w:pStyle w:val="BodyText"/>
            </w:pPr>
            <w:r w:rsidRPr="00AD5858">
              <w:t>1.3 Determine opportunities for integrated assessment activities and document any changes to the assessment instrument</w:t>
            </w:r>
            <w:r w:rsidRPr="00AD5858">
              <w:t>s, where required</w:t>
            </w:r>
          </w:p>
          <w:p w:rsidR="00000000" w:rsidRPr="00AD5858" w:rsidP="00AD5858">
            <w:pPr>
              <w:pStyle w:val="BodyText"/>
            </w:pPr>
            <w:r w:rsidRPr="00AD5858">
              <w:t xml:space="preserve">1.4 Determine opportunities for evidence-gathering in actual or simulated activities, through consultation with the candidate and relevant personnel </w:t>
            </w:r>
          </w:p>
          <w:p w:rsidR="00000000" w:rsidRPr="00AD5858" w:rsidP="00AD5858">
            <w:pPr>
              <w:pStyle w:val="BodyText"/>
            </w:pPr>
            <w:r w:rsidRPr="00AD5858">
              <w:t>1.5 Conduct a candidate briefing and exp</w:t>
            </w:r>
            <w:r w:rsidRPr="00AD5858">
              <w:t xml:space="preserve">lain, discuss and agree on the details of the planned assessment </w:t>
            </w:r>
          </w:p>
          <w:p w:rsidR="00000000" w:rsidRPr="00AD5858" w:rsidP="00AD5858">
            <w:pPr>
              <w:pStyle w:val="BodyText"/>
            </w:pPr>
            <w:r w:rsidRPr="00AD5858">
              <w:t xml:space="preserve">1.6 Arrange identified material and physical resource requirements </w:t>
            </w:r>
          </w:p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1.7 Identify any specialist support requirements for the assessment, and organise if necessary</w:t>
            </w:r>
          </w:p>
        </w:tc>
      </w:tr>
      <w:tr w:rsidTr="00AD58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2. Gather quality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>2.1 Use agreed assessment methods and tools to gather, organise and document evidence in a format suitable for determining competence</w:t>
            </w:r>
          </w:p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 xml:space="preserve">2.2 Apply the principles of assessment and rules of evidence in gathering quality evidence </w:t>
            </w:r>
          </w:p>
        </w:tc>
      </w:tr>
      <w:tr w:rsidTr="00AD58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3. Support the candidate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>3.1</w:t>
            </w:r>
            <w:r w:rsidRPr="00AD5858">
              <w:t xml:space="preserve"> Discuss and guide candidates in gathering their own evidence to support the recognition of prior learning (RPL)</w:t>
            </w:r>
          </w:p>
          <w:p w:rsidR="00000000" w:rsidRPr="00AD5858" w:rsidP="00AD5858">
            <w:pPr>
              <w:pStyle w:val="BodyText"/>
            </w:pPr>
            <w:r w:rsidRPr="00AD5858">
              <w:t xml:space="preserve">3.2 Use appropriate communication and interpersonal skills to develop a professional relationship with the candidate that reflects sensitivity </w:t>
            </w:r>
            <w:r w:rsidRPr="00AD5858">
              <w:t>to individual differences and enables two-way feedback</w:t>
            </w:r>
          </w:p>
          <w:p w:rsidR="00000000" w:rsidRPr="00AD5858" w:rsidP="00AD5858">
            <w:pPr>
              <w:pStyle w:val="BodyText"/>
            </w:pPr>
            <w:r w:rsidRPr="00AD5858">
              <w:t>3.3 Make decisions on reasonable adjustments with the candidate, based on the candidate’s needs and characteristics</w:t>
            </w:r>
          </w:p>
          <w:p w:rsidR="00000000" w:rsidRPr="00AD5858" w:rsidP="00AD5858">
            <w:pPr>
              <w:pStyle w:val="BodyText"/>
            </w:pPr>
            <w:r w:rsidRPr="00AD5858">
              <w:t>3.4 Access specialist support, if required, in accordance with the assessment plan</w:t>
            </w:r>
          </w:p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3.</w:t>
            </w:r>
            <w:r w:rsidRPr="00AD5858">
              <w:t>5 Address any workplace health and safety (WHS) risk to a person or equipment immediately</w:t>
            </w:r>
          </w:p>
        </w:tc>
      </w:tr>
      <w:tr w:rsidTr="00AD58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4. Make the assessment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>4.1 Assess the collected evidence, and to evaluate whether it reflects the evidence required to demonstrate competence</w:t>
            </w:r>
          </w:p>
          <w:p w:rsidR="00000000" w:rsidRPr="00AD5858" w:rsidP="00AD5858">
            <w:pPr>
              <w:pStyle w:val="BodyText"/>
            </w:pPr>
            <w:r w:rsidRPr="00AD5858">
              <w:t>4.2 Use judgem</w:t>
            </w:r>
            <w:r w:rsidRPr="00AD5858">
              <w:t>ent to infer whether competence has been demonstrated, based on the available evidence</w:t>
            </w:r>
          </w:p>
          <w:p w:rsidR="00000000" w:rsidRPr="00AD5858" w:rsidP="00AD5858">
            <w:pPr>
              <w:pStyle w:val="BodyText"/>
            </w:pPr>
            <w:r w:rsidRPr="00AD5858">
              <w:t>4.3 Make the assessment decision in line with agreed assessment procedures and according to the agreed assessment plan</w:t>
            </w:r>
          </w:p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4.4 Provide clear and constructive feedback to the</w:t>
            </w:r>
            <w:r w:rsidRPr="00AD5858">
              <w:t xml:space="preserve"> candidate regarding the assessment decision, and clearly document </w:t>
            </w:r>
            <w:r w:rsidRPr="00AD5858">
              <w:t xml:space="preserve">follow-up, if required </w:t>
            </w:r>
          </w:p>
        </w:tc>
      </w:tr>
      <w:tr w:rsidTr="00AD58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5. Record and report the assessment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>5.1 Record assessment outcomes promptly and accurately</w:t>
            </w:r>
          </w:p>
          <w:p w:rsidR="00000000" w:rsidRPr="00AD5858" w:rsidP="00AD5858">
            <w:pPr>
              <w:pStyle w:val="BodyText"/>
            </w:pPr>
            <w:r w:rsidRPr="00AD5858">
              <w:t>5.2 Complete and submit required assessment documentation, according to assessment procedures and confidentiality conventions</w:t>
            </w:r>
          </w:p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5.3 Inform other relevant parties of the assessment decision, according to confidentiality conventions</w:t>
            </w:r>
          </w:p>
        </w:tc>
      </w:tr>
      <w:tr w:rsidTr="00AD585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6. Review the assessment p</w:t>
            </w:r>
            <w:r w:rsidRPr="00AD5858">
              <w:t>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>6.1 Review the assessment process in consultation with candidates and other relevant people to improve future practice</w:t>
            </w:r>
          </w:p>
          <w:p w:rsidR="00000000" w:rsidRPr="00AD5858" w:rsidP="00AD5858">
            <w:pPr>
              <w:pStyle w:val="BodyText"/>
            </w:pPr>
            <w:r w:rsidRPr="00AD5858">
              <w:t>6.2 Document and record the review according to relevant assessment system policies and procedures</w:t>
            </w:r>
          </w:p>
        </w:tc>
      </w:tr>
    </w:tbl>
    <w:p w:rsidR="00B37130" w:rsidP="00AD5858">
      <w:pPr>
        <w:pStyle w:val="BodyText"/>
      </w:pPr>
    </w:p>
    <w:p w:rsidR="00B37130" w:rsidP="00AD5858">
      <w:pPr>
        <w:pStyle w:val="BodyText"/>
      </w:pPr>
    </w:p>
    <w:p w:rsidR="00000000" w:rsidRPr="00AD5858" w:rsidP="00AD5858">
      <w:pPr>
        <w:pStyle w:val="Heading1"/>
      </w:pPr>
      <w:bookmarkStart w:id="5" w:name="O_953286"/>
      <w:bookmarkEnd w:id="5"/>
      <w:r w:rsidRPr="00AD5858">
        <w:t xml:space="preserve">Foundation </w:t>
      </w:r>
      <w:r w:rsidRPr="00AD5858">
        <w:t>Skills</w:t>
      </w:r>
    </w:p>
    <w:p w:rsidR="00000000" w:rsidRPr="00B37130" w:rsidP="00B37130">
      <w:pPr>
        <w:pStyle w:val="BodyText"/>
        <w:rPr>
          <w:i/>
        </w:rPr>
      </w:pPr>
      <w:r w:rsidRPr="00B3713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D5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Performance</w:t>
            </w:r>
          </w:p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rPr>
                <w:rStyle w:val="SpecialBold"/>
              </w:rPr>
              <w:t>Description</w:t>
            </w:r>
          </w:p>
        </w:tc>
      </w:tr>
      <w:tr w:rsidTr="00AD5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1.1, 1.2, 2.1, 4.1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ListBullet"/>
            </w:pPr>
            <w:r w:rsidRPr="00AD5858">
              <w:t>Accesses and interprets procedural and compliance documentation relevant to the assessment process</w:t>
            </w:r>
          </w:p>
          <w:p w:rsidR="00000000" w:rsidP="00AD5858">
            <w:pPr>
              <w:pStyle w:val="ListBullet"/>
              <w:rPr>
                <w:lang w:val="en-NZ"/>
              </w:rPr>
            </w:pPr>
            <w:r w:rsidRPr="00AD5858">
              <w:t xml:space="preserve">Examines and evaluates assessment evidence </w:t>
            </w:r>
          </w:p>
        </w:tc>
      </w:tr>
      <w:tr w:rsidTr="00AD5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1.1, 1.3, 1.5, 2.1, 3.1, 5.1, 5.2, 5.3, 6.2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ListBullet"/>
              <w:rPr>
                <w:lang w:val="en-NZ"/>
              </w:rPr>
            </w:pPr>
            <w:r w:rsidRPr="00AD5858">
              <w:t>Completes workplace documentation accurately using appropri</w:t>
            </w:r>
            <w:r w:rsidRPr="00AD5858">
              <w:t>ate language and following organisational requirements</w:t>
            </w:r>
          </w:p>
        </w:tc>
      </w:tr>
      <w:tr w:rsidTr="00AD5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1.1, 1.4, 1.5, 3.1, 3.4, 4.4, 5.3, 6.1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ListBullet"/>
            </w:pPr>
            <w:r w:rsidRPr="00AD5858">
              <w:t xml:space="preserve">Communicates information and assessment process requirements clearly, using techniques appropriate to the audience and environment </w:t>
            </w:r>
          </w:p>
          <w:p w:rsidR="00000000" w:rsidP="00AD5858">
            <w:pPr>
              <w:pStyle w:val="ListBullet"/>
              <w:rPr>
                <w:lang w:val="en-NZ"/>
              </w:rPr>
            </w:pPr>
            <w:r w:rsidRPr="00AD5858">
              <w:t>Interacts</w:t>
            </w:r>
            <w:r w:rsidRPr="00AD5858">
              <w:t xml:space="preserve"> appropriately with candidates to build rapport and understanding, and obtain specific information to support the assessment process</w:t>
            </w:r>
          </w:p>
        </w:tc>
      </w:tr>
      <w:tr w:rsidTr="00AD5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1.1, 3.5, 5.3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ListBullet"/>
            </w:pPr>
            <w:r w:rsidRPr="00AD5858">
              <w:t>Identifies, confirms and takes responsibility for adherence to legal and ethical requirements</w:t>
            </w:r>
          </w:p>
          <w:p w:rsidR="00000000" w:rsidP="00AD5858">
            <w:pPr>
              <w:pStyle w:val="ListBullet"/>
              <w:rPr>
                <w:lang w:val="en-NZ"/>
              </w:rPr>
            </w:pPr>
            <w:r w:rsidRPr="00AD5858">
              <w:t>Recognises, and follows, explicit and implicit protocols and meets expectations associated with own role</w:t>
            </w:r>
          </w:p>
        </w:tc>
      </w:tr>
      <w:tr w:rsidTr="00AD5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 xml:space="preserve">1.1, 1.4, 1.5, 3.1, 3.2, 3.4, 5.3, </w:t>
            </w:r>
            <w:r w:rsidRPr="00AD5858">
              <w:t>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ListBullet"/>
            </w:pPr>
            <w:r w:rsidRPr="00AD5858">
              <w:t>Adjusts personal communication style in recognition of the values and experiences of others to build rapport</w:t>
            </w:r>
          </w:p>
          <w:p w:rsidR="00000000" w:rsidP="00AD5858">
            <w:pPr>
              <w:pStyle w:val="ListBullet"/>
              <w:rPr>
                <w:lang w:val="en-NZ"/>
              </w:rPr>
            </w:pPr>
            <w:r w:rsidRPr="00AD5858">
              <w:t xml:space="preserve">Cooperates and collaborates with others and contributes to activities requiring joint responsibility and accountability </w:t>
            </w:r>
          </w:p>
        </w:tc>
      </w:tr>
      <w:tr w:rsidTr="00AD58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1</w:t>
            </w:r>
            <w:r w:rsidRPr="00AD5858">
              <w:t>.1, 1.2, 1.3, 1.4, 1.6, 1.7, 2.1, 2.2, 3.3, 3.4, 4.1, 4.2, 4.3,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ListBullet"/>
            </w:pPr>
            <w:r w:rsidRPr="00AD5858">
              <w:t>Uses systematic, analytical processes in complex, non-routine situations, gathering information, and identifying and evaluating options against agreed criteria</w:t>
            </w:r>
          </w:p>
          <w:p w:rsidR="00000000" w:rsidRPr="00AD5858" w:rsidP="00AD5858">
            <w:pPr>
              <w:pStyle w:val="ListBullet"/>
            </w:pPr>
            <w:r w:rsidRPr="00AD5858">
              <w:t>Organises work accordi</w:t>
            </w:r>
            <w:r w:rsidRPr="00AD5858">
              <w:t>ng to specific requirements taking some responsibility for decisions regarding the format of information</w:t>
            </w:r>
          </w:p>
          <w:p w:rsidR="00000000" w:rsidRPr="00AD5858" w:rsidP="00AD5858">
            <w:pPr>
              <w:pStyle w:val="ListBullet"/>
            </w:pPr>
            <w:r w:rsidRPr="00AD5858">
              <w:t xml:space="preserve">With guidance, reviews the effectiveness of solutions in relation to the set goals </w:t>
            </w:r>
          </w:p>
        </w:tc>
      </w:tr>
    </w:tbl>
    <w:p w:rsidR="00B37130" w:rsidP="00AD5858">
      <w:pPr>
        <w:pStyle w:val="BodyText"/>
      </w:pPr>
    </w:p>
    <w:p w:rsidR="00B37130" w:rsidP="00AD5858">
      <w:pPr>
        <w:pStyle w:val="BodyText"/>
      </w:pPr>
    </w:p>
    <w:p w:rsidR="00000000" w:rsidRPr="00AD5858" w:rsidP="00AD5858">
      <w:pPr>
        <w:pStyle w:val="Heading1"/>
      </w:pPr>
      <w:bookmarkStart w:id="6" w:name="O_953285"/>
      <w:bookmarkEnd w:id="6"/>
      <w:r w:rsidRPr="00AD58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4"/>
        <w:gridCol w:w="1647"/>
        <w:gridCol w:w="1401"/>
        <w:gridCol w:w="1543"/>
      </w:tblGrid>
      <w:tr w:rsidTr="00AD5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 xml:space="preserve">Code and title </w:t>
            </w:r>
          </w:p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current version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Code and title</w:t>
            </w:r>
          </w:p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rPr>
                <w:rStyle w:val="SpecialBold"/>
              </w:rPr>
              <w:t>Equivalence status</w:t>
            </w:r>
          </w:p>
        </w:tc>
      </w:tr>
      <w:tr w:rsidTr="00AD5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TAEASS402 Assess competence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 xml:space="preserve">TAEASS402B Assess competence  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58">
            <w:pPr>
              <w:pStyle w:val="BodyText"/>
              <w:rPr>
                <w:lang w:val="en-NZ"/>
              </w:rPr>
            </w:pPr>
            <w:r w:rsidRPr="00AD5858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58" w:rsidP="00AD5858">
            <w:pPr>
              <w:pStyle w:val="BodyText"/>
            </w:pPr>
            <w:r w:rsidRPr="00AD5858">
              <w:t>Equivalent unit</w:t>
            </w:r>
          </w:p>
        </w:tc>
      </w:tr>
    </w:tbl>
    <w:p w:rsidR="00000000" w:rsidRPr="00AD5858" w:rsidP="00AD5858">
      <w:pPr>
        <w:pStyle w:val="BodyText"/>
      </w:pPr>
    </w:p>
    <w:p w:rsidR="00000000" w:rsidRPr="00AD5858" w:rsidP="00AD5858">
      <w:pPr>
        <w:pStyle w:val="AllowPageBreak"/>
      </w:pPr>
    </w:p>
    <w:p w:rsidR="00000000" w:rsidRPr="00AD5858" w:rsidP="00AD5858">
      <w:pPr>
        <w:pStyle w:val="Heading1"/>
      </w:pPr>
      <w:bookmarkStart w:id="7" w:name="O_953296"/>
      <w:bookmarkEnd w:id="7"/>
      <w:r w:rsidRPr="00AD5858">
        <w:t>Links</w:t>
      </w:r>
    </w:p>
    <w:p w:rsidR="00000000" w:rsidRPr="00AD5858" w:rsidP="00B37130">
      <w:pPr>
        <w:pStyle w:val="BodyText"/>
      </w:pPr>
      <w:r w:rsidRPr="00AD58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66D0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D5858" w:rsidP="00AD5858"/>
    <w:sectPr w:rsidSect="00AD58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58" w:rsidRPr="00B37130" w:rsidP="00B37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30" w:rsidP="00AD5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130" w:rsidP="00AD5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37130" w:rsidP="00AD5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858" w:rsidRPr="00B37130" w:rsidP="00B37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30" w:rsidRPr="002D2AF8" w:rsidP="00AD5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TAEASS402 Assess competence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37130" w:rsidP="00AD5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3A7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402F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858"/>
  </w:style>
  <w:style w:type="character" w:customStyle="1" w:styleId="Heading1Char">
    <w:name w:val="Heading 1 Char"/>
    <w:basedOn w:val="DefaultParagraphFont"/>
    <w:link w:val="Heading1"/>
    <w:rsid w:val="00AD5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8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858"/>
    <w:rPr>
      <w:b/>
      <w:spacing w:val="0"/>
    </w:rPr>
  </w:style>
  <w:style w:type="character" w:styleId="Emphasis">
    <w:name w:val="Emphasis"/>
    <w:basedOn w:val="DefaultParagraphFont"/>
    <w:qFormat/>
    <w:rsid w:val="00AD5858"/>
    <w:rPr>
      <w:i/>
    </w:rPr>
  </w:style>
  <w:style w:type="paragraph" w:customStyle="1" w:styleId="SuperHeading">
    <w:name w:val="SuperHeading"/>
    <w:basedOn w:val="Normal"/>
    <w:rsid w:val="00AD5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8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8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858"/>
  </w:style>
  <w:style w:type="paragraph" w:styleId="TableofFigures">
    <w:name w:val="table of figures"/>
    <w:basedOn w:val="Normal"/>
    <w:next w:val="Normal"/>
    <w:semiHidden/>
    <w:rsid w:val="00AD5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8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858"/>
    <w:rPr>
      <w:rFonts w:ascii="Wingdings" w:hAnsi="Wingdings"/>
    </w:rPr>
  </w:style>
  <w:style w:type="paragraph" w:customStyle="1" w:styleId="TableHeading">
    <w:name w:val="Table Heading"/>
    <w:basedOn w:val="HeadingBase"/>
    <w:rsid w:val="00AD5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858"/>
    <w:rPr>
      <w:color w:val="0033CC"/>
      <w:u w:val="none"/>
    </w:rPr>
  </w:style>
  <w:style w:type="paragraph" w:customStyle="1" w:styleId="BodyTextRight">
    <w:name w:val="Body Text Right"/>
    <w:basedOn w:val="BodyText"/>
    <w:rsid w:val="00AD5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8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858"/>
    <w:rPr>
      <w:sz w:val="32"/>
    </w:rPr>
  </w:style>
  <w:style w:type="paragraph" w:customStyle="1" w:styleId="HeadingProcedure">
    <w:name w:val="Heading Procedure"/>
    <w:basedOn w:val="HeadingBase"/>
    <w:next w:val="Normal"/>
    <w:rsid w:val="00AD5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858"/>
    <w:pPr>
      <w:spacing w:before="60" w:after="60"/>
    </w:pPr>
  </w:style>
  <w:style w:type="paragraph" w:styleId="ListContinue">
    <w:name w:val="List Continue"/>
    <w:basedOn w:val="List"/>
    <w:rsid w:val="00AD5858"/>
    <w:pPr>
      <w:ind w:firstLine="0"/>
    </w:pPr>
  </w:style>
  <w:style w:type="paragraph" w:customStyle="1" w:styleId="ListNote">
    <w:name w:val="List Note"/>
    <w:basedOn w:val="List"/>
    <w:rsid w:val="00AD5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858"/>
    <w:rPr>
      <w:rFonts w:ascii="Courier New" w:hAnsi="Courier New"/>
    </w:rPr>
  </w:style>
  <w:style w:type="paragraph" w:customStyle="1" w:styleId="NoteBullet">
    <w:name w:val="Note Bullet"/>
    <w:basedOn w:val="Note"/>
    <w:rsid w:val="00AD5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8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858"/>
    <w:rPr>
      <w:b/>
      <w:smallCaps/>
    </w:rPr>
  </w:style>
  <w:style w:type="paragraph" w:customStyle="1" w:styleId="TableListNumber">
    <w:name w:val="Table List Number"/>
    <w:basedOn w:val="ListNumber"/>
    <w:rsid w:val="00AD5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858"/>
    <w:pPr>
      <w:numPr>
        <w:numId w:val="8"/>
      </w:numPr>
    </w:pPr>
  </w:style>
  <w:style w:type="paragraph" w:customStyle="1" w:styleId="ListAlpha2">
    <w:name w:val="List Alpha 2"/>
    <w:basedOn w:val="List2"/>
    <w:rsid w:val="00AD5858"/>
    <w:pPr>
      <w:numPr>
        <w:numId w:val="7"/>
      </w:numPr>
    </w:pPr>
  </w:style>
  <w:style w:type="paragraph" w:styleId="List2">
    <w:name w:val="List 2"/>
    <w:basedOn w:val="BodyText"/>
    <w:rsid w:val="00AD5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8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8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858"/>
    <w:pPr>
      <w:numPr>
        <w:numId w:val="3"/>
      </w:numPr>
    </w:pPr>
  </w:style>
  <w:style w:type="paragraph" w:styleId="ListContinue2">
    <w:name w:val="List Continue 2"/>
    <w:basedOn w:val="List2"/>
    <w:rsid w:val="00AD5858"/>
    <w:pPr>
      <w:ind w:firstLine="0"/>
    </w:pPr>
  </w:style>
  <w:style w:type="paragraph" w:styleId="ListContinue3">
    <w:name w:val="List Continue 3"/>
    <w:basedOn w:val="List3"/>
    <w:rsid w:val="00AD5858"/>
    <w:pPr>
      <w:ind w:left="1021" w:firstLine="0"/>
    </w:pPr>
  </w:style>
  <w:style w:type="paragraph" w:styleId="ListContinue4">
    <w:name w:val="List Continue 4"/>
    <w:basedOn w:val="List4"/>
    <w:rsid w:val="00AD5858"/>
    <w:pPr>
      <w:ind w:firstLine="0"/>
    </w:pPr>
  </w:style>
  <w:style w:type="paragraph" w:styleId="ListContinue5">
    <w:name w:val="List Continue 5"/>
    <w:basedOn w:val="List5"/>
    <w:rsid w:val="00AD5858"/>
    <w:pPr>
      <w:ind w:firstLine="0"/>
    </w:pPr>
  </w:style>
  <w:style w:type="paragraph" w:styleId="ListNumber3">
    <w:name w:val="List Number 3"/>
    <w:basedOn w:val="List3"/>
    <w:rsid w:val="00AD5858"/>
    <w:pPr>
      <w:numPr>
        <w:numId w:val="4"/>
      </w:numPr>
    </w:pPr>
  </w:style>
  <w:style w:type="paragraph" w:styleId="ListNumber4">
    <w:name w:val="List Number 4"/>
    <w:basedOn w:val="List4"/>
    <w:rsid w:val="00AD5858"/>
    <w:pPr>
      <w:numPr>
        <w:numId w:val="5"/>
      </w:numPr>
    </w:pPr>
  </w:style>
  <w:style w:type="paragraph" w:styleId="ListNumber5">
    <w:name w:val="List Number 5"/>
    <w:basedOn w:val="List5"/>
    <w:rsid w:val="00AD5858"/>
    <w:pPr>
      <w:numPr>
        <w:numId w:val="6"/>
      </w:numPr>
    </w:pPr>
  </w:style>
  <w:style w:type="paragraph" w:styleId="BlockText">
    <w:name w:val="Block Text"/>
    <w:basedOn w:val="Normal"/>
    <w:rsid w:val="00AD5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858"/>
    <w:rPr>
      <w:sz w:val="16"/>
      <w:vertAlign w:val="superscript"/>
    </w:rPr>
  </w:style>
  <w:style w:type="character" w:customStyle="1" w:styleId="Symbols">
    <w:name w:val="Symbols"/>
    <w:basedOn w:val="DefaultParagraphFont"/>
    <w:rsid w:val="00AD5858"/>
    <w:rPr>
      <w:rFonts w:ascii="Symbol" w:hAnsi="Symbol"/>
    </w:rPr>
  </w:style>
  <w:style w:type="character" w:customStyle="1" w:styleId="MenuOptions">
    <w:name w:val="Menu Options"/>
    <w:basedOn w:val="DefaultParagraphFont"/>
    <w:rsid w:val="00AD5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858"/>
    <w:rPr>
      <w:b/>
    </w:rPr>
  </w:style>
  <w:style w:type="character" w:customStyle="1" w:styleId="Underlined">
    <w:name w:val="Underlined"/>
    <w:basedOn w:val="DefaultParagraphFont"/>
    <w:rsid w:val="00AD5858"/>
    <w:rPr>
      <w:u w:val="single"/>
    </w:rPr>
  </w:style>
  <w:style w:type="paragraph" w:customStyle="1" w:styleId="TableBodyTextRight">
    <w:name w:val="Table Body Text Right"/>
    <w:basedOn w:val="TableBodyText"/>
    <w:rsid w:val="00AD5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858"/>
    <w:rPr>
      <w:sz w:val="18"/>
    </w:rPr>
  </w:style>
  <w:style w:type="paragraph" w:customStyle="1" w:styleId="BodySmallRight">
    <w:name w:val="Body Small Right"/>
    <w:basedOn w:val="BodyTextRight"/>
    <w:rsid w:val="00AD5858"/>
    <w:rPr>
      <w:sz w:val="18"/>
      <w:szCs w:val="18"/>
    </w:rPr>
  </w:style>
  <w:style w:type="paragraph" w:customStyle="1" w:styleId="MarginEdition">
    <w:name w:val="Margin Edition"/>
    <w:basedOn w:val="MarginNote"/>
    <w:rsid w:val="00AD5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858"/>
    <w:rPr>
      <w:sz w:val="2"/>
      <w:szCs w:val="2"/>
    </w:rPr>
  </w:style>
  <w:style w:type="character" w:customStyle="1" w:styleId="Small">
    <w:name w:val="Small"/>
    <w:basedOn w:val="DefaultParagraphFont"/>
    <w:rsid w:val="00AD5858"/>
    <w:rPr>
      <w:sz w:val="16"/>
    </w:rPr>
  </w:style>
  <w:style w:type="paragraph" w:customStyle="1" w:styleId="WideTable">
    <w:name w:val="Wide Table"/>
    <w:basedOn w:val="Normal"/>
    <w:rsid w:val="00AD5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858"/>
  </w:style>
  <w:style w:type="paragraph" w:styleId="Quote">
    <w:name w:val="Quote"/>
    <w:basedOn w:val="Heading1"/>
    <w:link w:val="QuoteChar"/>
    <w:qFormat/>
    <w:rsid w:val="00AD5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858"/>
    <w:pPr>
      <w:pageBreakBefore/>
    </w:pPr>
  </w:style>
  <w:style w:type="paragraph" w:customStyle="1" w:styleId="Border">
    <w:name w:val="Border"/>
    <w:basedOn w:val="Normal"/>
    <w:qFormat/>
    <w:rsid w:val="00AD5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858"/>
    <w:rPr>
      <w:u w:val="single"/>
    </w:rPr>
  </w:style>
  <w:style w:type="character" w:customStyle="1" w:styleId="BoldandItalics">
    <w:name w:val="Bold and Italics"/>
    <w:qFormat/>
    <w:rsid w:val="00AD5858"/>
    <w:rPr>
      <w:b/>
      <w:i/>
      <w:u w:val="none"/>
    </w:rPr>
  </w:style>
  <w:style w:type="paragraph" w:styleId="BalloonText">
    <w:name w:val="Balloon Text"/>
    <w:basedOn w:val="Normal"/>
    <w:link w:val="BalloonTextChar"/>
    <w:rsid w:val="00AD5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858"/>
    <w:pPr>
      <w:spacing w:before="0" w:after="0"/>
    </w:pPr>
  </w:style>
  <w:style w:type="paragraph" w:customStyle="1" w:styleId="BodyTextBold">
    <w:name w:val="Body Text Bold"/>
    <w:basedOn w:val="BodyText"/>
    <w:qFormat/>
    <w:rsid w:val="00AD5858"/>
    <w:rPr>
      <w:b/>
    </w:rPr>
  </w:style>
  <w:style w:type="character" w:styleId="Hyperlink">
    <w:name w:val="Hyperlink"/>
    <w:basedOn w:val="DefaultParagraphFont"/>
    <w:uiPriority w:val="99"/>
    <w:unhideWhenUsed/>
    <w:rsid w:val="00B37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5556</Characters>
  <Application>Microsoft Office Word</Application>
  <DocSecurity>0</DocSecurity>
  <Lines>205</Lines>
  <Paragraphs>110</Paragraphs>
  <ScaleCrop>false</ScaleCrop>
  <Company>Author-it Software Corporation Ltd.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TAEASS402 Assess competence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